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jc w:val="center"/>
      </w:pPr>
      <w:r>
        <w:rPr>
          <w:color w:val="1b324f"/>
          <w:sz w:val="28"/>
          <w:szCs w:val="28"/>
          <w:rFonts w:ascii="黑体" w:cs="黑体" w:eastAsia="黑体" w:hAnsi="黑体"/>
        </w:rPr>
        <w:t xml:space="preserve">前    言</w:t>
      </w:r>
    </w:p>
    <w:p>
      <w:pPr>
        <w:spacing w:before="0" w:after="0"/>
        <w:jc w:val="center"/>
      </w:pPr>
      <w:r>
        <w:rPr>
          <w:color w:val="1b324f"/>
          <w:sz w:val="21"/>
          <w:szCs w:val="21"/>
          <w:rFonts w:ascii="宋体" w:cs="宋体" w:eastAsia="宋体" w:hAnsi="宋体"/>
        </w:rPr>
        <w:t xml:space="preserve"> </w:t>
      </w:r>
    </w:p>
    <w:p>
      <w:pPr>
        <w:spacing w:before="0" w:after="0"/>
        <w:jc w:val="center"/>
      </w:pPr>
      <w:r>
        <w:rPr>
          <w:color w:val="1b324f"/>
          <w:sz w:val="21"/>
          <w:szCs w:val="21"/>
          <w:rFonts w:ascii="宋体" w:cs="宋体" w:eastAsia="宋体" w:hAnsi="宋体"/>
        </w:rPr>
        <w:t xml:space="preserve"> </w:t>
      </w:r>
    </w:p>
    <w:p>
      <w:pPr>
        <w:spacing w:before="0" w:after="0"/>
        <w:jc w:val="both"/>
      </w:pPr>
      <w:r>
        <w:rPr>
          <w:color w:val="1b324f"/>
          <w:sz w:val="21"/>
          <w:szCs w:val="21"/>
          <w:rFonts w:ascii="宋体" w:cs="宋体" w:eastAsia="宋体" w:hAnsi="宋体"/>
        </w:rPr>
        <w:t xml:space="preserve">本制度属于支撑类管理制度。</w:t>
      </w:r>
    </w:p>
    <w:p>
      <w:pPr>
        <w:spacing w:before="0" w:after="0"/>
        <w:jc w:val="both"/>
      </w:pPr>
      <w:r>
        <w:rPr>
          <w:color w:val="1b324f"/>
          <w:sz w:val="21"/>
          <w:szCs w:val="21"/>
          <w:rFonts w:ascii="宋体" w:cs="宋体" w:eastAsia="宋体" w:hAnsi="宋体"/>
        </w:rPr>
        <w:t xml:space="preserve">本制度由科技创新部提出，</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参与起草。</w:t>
      </w:r>
    </w:p>
    <w:p>
      <w:pPr>
        <w:spacing w:before="0" w:after="0"/>
        <w:jc w:val="both"/>
      </w:pPr>
      <w:r>
        <w:rPr>
          <w:color w:val="1b324f"/>
          <w:sz w:val="21"/>
          <w:szCs w:val="21"/>
          <w:rFonts w:ascii="宋体" w:cs="宋体" w:eastAsia="宋体" w:hAnsi="宋体"/>
        </w:rPr>
        <w:t xml:space="preserve">本制度由</w:t>
      </w:r>
      <w:r>
        <w:rPr>
          <w:color w:val="1b324f"/>
          <w:sz w:val="21"/>
          <w:szCs w:val="21"/>
          <w:rFonts w:ascii="宋体" w:cs="宋体" w:eastAsia="宋体" w:hAnsi="宋体"/>
        </w:rPr>
        <w:t xml:space="preserve">科技创新部</w:t>
      </w:r>
      <w:r>
        <w:rPr>
          <w:color w:val="1b324f"/>
          <w:sz w:val="21"/>
          <w:szCs w:val="21"/>
          <w:rFonts w:ascii="宋体" w:cs="宋体" w:eastAsia="宋体" w:hAnsi="宋体"/>
        </w:rPr>
        <w:t xml:space="preserve">负责解释。</w:t>
      </w:r>
      <w:r>
        <w:rPr>
          <w:sz w:val="28"/>
          <w:szCs w:val="28"/>
          <w:rFonts w:ascii="宋体" w:cs="宋体" w:eastAsia="宋体" w:hAnsi="宋体"/>
        </w:rPr>
        <w:br/>
      </w:r>
    </w:p>
    <w:p>
      <w:pPr>
        <w:spacing w:before="0" w:after="0" w:line="280" w:lineRule="exact"/>
      </w:pPr>
      <w:r>
        <w:rPr>
          <w:sz w:val="28"/>
          <w:szCs w:val="28"/>
          <w:rFonts w:ascii="宋体" w:cs="宋体" w:eastAsia="宋体" w:hAnsi="宋体"/>
        </w:rPr>
      </w:r>
    </w:p>
    <w:p>
      <w:pPr>
        <w:sectPr>
          <w:headerReference w:type="default" r:id="rId6"/>
          <w:footerReference w:type="default" r:id="rId7"/>
          <w:pgSz w:w="11906" w:h="16838" w:orient="portrait"/>
          <w:pgMar w:top="1440" w:right="1802" w:bottom="1440" w:left="1802" w:header="708" w:footer="708" w:gutter="0"/>
          <w:pgNumType w:start="1" w:fmt="decimal"/>
          <w:docGrid w:linePitch="360"/>
        </w:sectPr>
      </w:pPr>
    </w:p>
    <w:p>
      <w:pPr>
        <w:spacing w:before="0" w:after="0"/>
        <w:jc w:val="center"/>
      </w:pPr>
      <w:r>
        <w:rPr>
          <w:color w:val="000000"/>
          <w:sz w:val="28"/>
          <w:szCs w:val="28"/>
          <w:rFonts w:ascii="华文黑体" w:cs="华文黑体" w:eastAsia="华文黑体" w:hAnsi="华文黑体"/>
        </w:rPr>
        <w:t xml:space="preserve">工具接收管理标准</w:t>
      </w:r>
    </w:p>
    <w:p>
      <w:pPr>
        <w:spacing w:before="0" w:after="0" w:line="280" w:lineRule="exact"/>
      </w:pPr>
      <w:r>
        <w:rPr>
          <w:color w:val="000000"/>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1  范围</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000000"/>
          <w:sz w:val="28"/>
          <w:szCs w:val="28"/>
          <w:rFonts w:ascii="华文黑体" w:cs="华文黑体" w:eastAsia="华文黑体" w:hAnsi="华文黑体"/>
        </w:rPr>
        <w:t xml:space="preserve">本文件规定了工具接收管理标准。</w:t>
      </w:r>
    </w:p>
    <w:p>
      <w:pPr>
        <w:spacing w:before="0" w:after="0"/>
        <w:jc w:val="both"/>
      </w:pPr>
      <w:r>
        <w:rPr>
          <w:color w:val="1b324f"/>
          <w:sz w:val="28"/>
          <w:szCs w:val="28"/>
          <w:rFonts w:ascii="华文黑体" w:cs="华文黑体" w:eastAsia="华文黑体" w:hAnsi="华文黑体"/>
        </w:rPr>
        <w:t xml:space="preserve">本文件适用于所有项目。</w:t>
      </w:r>
    </w:p>
    <w:p>
      <w:pPr>
        <w:spacing w:before="0" w:after="0"/>
        <w:jc w:val="both"/>
      </w:pPr>
      <w:r>
        <w:rPr>
          <w:color w:val="1b324f"/>
          <w:sz w:val="28"/>
          <w:szCs w:val="28"/>
          <w:rFonts w:ascii="华文黑体" w:cs="华文黑体" w:eastAsia="华文黑体" w:hAnsi="华文黑体"/>
        </w:rPr>
        <w:t xml:space="preserve">本文件依据GLG1407制定。</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2  规范性引用文件</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下列文件对于本文件的应用是必不可少的。凡是注日期或（和）版次的引用文件，仅注日期或（和）版次的版本适用于本文件。凡是不注日期或（和）版次的引用文件，其最新版本（包括所有的修改单）适用于本文件。</w:t>
      </w:r>
    </w:p>
    <w:p>
      <w:pPr>
        <w:spacing w:before="0" w:after="0"/>
        <w:jc w:val="both"/>
      </w:pPr>
      <w:r>
        <w:rPr>
          <w:color w:val="1b324f"/>
          <w:sz w:val="28"/>
          <w:szCs w:val="28"/>
          <w:rFonts w:ascii="华文黑体" w:cs="华文黑体" w:eastAsia="华文黑体" w:hAnsi="华文黑体"/>
        </w:rPr>
        <w:t xml:space="preserve">GLG1407 工装工具管理规则</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3  表格</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3.1规定表格</w:t>
      </w:r>
    </w:p>
    <w:p>
      <w:pPr>
        <w:spacing w:before="0" w:after="0"/>
        <w:jc w:val="both"/>
      </w:pPr>
      <w:r>
        <w:rPr>
          <w:color w:val="1b324f"/>
          <w:sz w:val="28"/>
          <w:szCs w:val="28"/>
          <w:rFonts w:ascii="华文黑体" w:cs="华文黑体" w:eastAsia="华文黑体" w:hAnsi="华文黑体"/>
        </w:rPr>
        <w:t xml:space="preserve">FM1407-118 -工具验收单</w:t>
      </w:r>
    </w:p>
    <w:p>
      <w:pPr>
        <w:spacing w:before="0" w:after="0" w:line="210" w:lineRule="exact"/>
      </w:pPr>
      <w:r>
        <w:rPr>
          <w:color w:val="0070c0"/>
          <w:sz w:val="21"/>
          <w:szCs w:val="21"/>
          <w:rFonts w:ascii="华文黑体" w:cs="华文黑体" w:eastAsia="华文黑体" w:hAnsi="华文黑体"/>
        </w:rPr>
      </w:r>
    </w:p>
    <w:p>
      <w:pPr>
        <w:spacing w:before="0" w:after="0" w:line="210" w:lineRule="exact"/>
      </w:pPr>
      <w:r>
        <w:rPr>
          <w:color w:val="0070c0"/>
          <w:sz w:val="21"/>
          <w:szCs w:val="21"/>
          <w:rFonts w:ascii="华文黑体" w:cs="华文黑体" w:eastAsia="华文黑体" w:hAnsi="华文黑体"/>
        </w:rPr>
      </w:r>
    </w:p>
    <w:p>
      <w:pPr>
        <w:spacing w:before="0" w:after="0" w:line="280" w:lineRule="exact"/>
      </w:pPr>
      <w:r>
        <w:rPr>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4  术语和定义</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无</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8"/>
          <w:footerReference w:type="default" r:id="rId9"/>
          <w:pgSz w:w="11906" w:h="16838" w:orient="portrait"/>
          <w:pgMar w:top="1440" w:right="1802" w:bottom="1440" w:left="1802" w:header="708" w:footer="708" w:gutter="0"/>
          <w:pgNumType w:start="2" w:fmt="decimal"/>
          <w:docGrid w:linePitch="360"/>
        </w:sectPr>
      </w:pPr>
    </w:p>
    <w:p>
      <w:pPr>
        <w:spacing w:before="0" w:after="0"/>
        <w:jc w:val="both"/>
      </w:pPr>
      <w:r>
        <w:rPr>
          <w:color w:val="1b324f"/>
          <w:sz w:val="28"/>
          <w:szCs w:val="28"/>
          <w:rFonts w:ascii="华文黑体" w:cs="华文黑体" w:eastAsia="华文黑体" w:hAnsi="华文黑体"/>
        </w:rPr>
        <w:t xml:space="preserve">5  规定</w:t>
      </w:r>
    </w:p>
    <w:p>
      <w:pPr>
        <w:spacing w:before="0" w:after="0" w:line="280" w:lineRule="exact"/>
      </w:pPr>
      <w:r>
        <w:rPr>
          <w:color w:val="1b324f"/>
          <w:sz w:val="28"/>
          <w:szCs w:val="28"/>
          <w:rFonts w:ascii="华文黑体" w:cs="华文黑体" w:eastAsia="华文黑体" w:hAnsi="华文黑体"/>
        </w:rPr>
      </w:r>
    </w:p>
    <w:p>
      <w:pPr>
        <w:spacing w:before="0" w:after="0"/>
        <w:jc w:val="both"/>
      </w:pPr>
      <w:r>
        <w:rPr>
          <w:color w:val="1b324f"/>
          <w:sz w:val="28"/>
          <w:szCs w:val="28"/>
          <w:rFonts w:ascii="华文黑体" w:cs="华文黑体" w:eastAsia="华文黑体" w:hAnsi="华文黑体"/>
        </w:rPr>
        <w:t xml:space="preserve">5.1 生产运营部工具采购员负责通知工具申请单位进行收货，负责在ERP系统中创建采购订单，负责将使用部门提交的验收单等材料提交供应链管理部进行后续挂账、付款等工作。</w:t>
      </w:r>
    </w:p>
    <w:p>
      <w:pPr>
        <w:spacing w:before="0" w:after="0"/>
        <w:jc w:val="both"/>
      </w:pPr>
      <w:r>
        <w:rPr>
          <w:color w:val="1b324f"/>
          <w:sz w:val="28"/>
          <w:szCs w:val="28"/>
          <w:rFonts w:ascii="华文黑体" w:cs="华文黑体" w:eastAsia="华文黑体" w:hAnsi="华文黑体"/>
        </w:rPr>
        <w:t xml:space="preserve">5.2 科技创新部工艺装备室工具技术员负责协调工具接收及验收中的工具问题的处理。</w:t>
      </w:r>
    </w:p>
    <w:p>
      <w:pPr>
        <w:spacing w:before="0" w:after="0"/>
        <w:jc w:val="both"/>
      </w:pPr>
      <w:r>
        <w:rPr>
          <w:color w:val="1b324f"/>
          <w:sz w:val="28"/>
          <w:szCs w:val="28"/>
          <w:rFonts w:ascii="华文黑体" w:cs="华文黑体" w:eastAsia="华文黑体" w:hAnsi="华文黑体"/>
        </w:rPr>
        <w:t xml:space="preserve">5.3 工具使用部门负责工具的接收及验收工作。库房保管员负责工具实物及ERP系统中工具接收并负责工具验收后确认；工具库房主管人员负责组织工具验收工作及工具验收单的再确认；工具使用部门负责人负责工具验收单的最终确认批准并需加盖部门公章。</w:t>
      </w:r>
    </w:p>
    <w:p>
      <w:pPr>
        <w:spacing w:before="0" w:after="0"/>
        <w:jc w:val="both"/>
      </w:pPr>
      <w:r>
        <w:rPr>
          <w:color w:val="1b324f"/>
          <w:sz w:val="28"/>
          <w:szCs w:val="28"/>
          <w:rFonts w:ascii="华文黑体" w:cs="华文黑体" w:eastAsia="华文黑体" w:hAnsi="华文黑体"/>
        </w:rPr>
        <w:t xml:space="preserve">5.4 新购工具接收与验收</w:t>
      </w:r>
    </w:p>
    <w:p>
      <w:pPr>
        <w:spacing w:before="0" w:after="0"/>
        <w:jc w:val="both"/>
      </w:pPr>
      <w:r>
        <w:rPr>
          <w:color w:val="1b324f"/>
          <w:sz w:val="28"/>
          <w:szCs w:val="28"/>
          <w:rFonts w:ascii="华文黑体" w:cs="华文黑体" w:eastAsia="华文黑体" w:hAnsi="华文黑体"/>
        </w:rPr>
        <w:t xml:space="preserve">5.4.1 新购工具接收</w:t>
      </w:r>
    </w:p>
    <w:p>
      <w:pPr>
        <w:spacing w:before="0" w:after="0"/>
        <w:jc w:val="both"/>
      </w:pPr>
      <w:r>
        <w:rPr>
          <w:color w:val="1b324f"/>
          <w:sz w:val="28"/>
          <w:szCs w:val="28"/>
          <w:rFonts w:ascii="华文黑体" w:cs="华文黑体" w:eastAsia="华文黑体" w:hAnsi="华文黑体"/>
        </w:rPr>
        <w:t xml:space="preserve">    新购工具到货前，生产运营部需在ERP中创建工具采购订单，并将此采购订单号及采购明细通知车间，让车间做好收货准备。</w:t>
      </w:r>
    </w:p>
    <w:p>
      <w:pPr>
        <w:spacing w:before="0" w:after="0"/>
        <w:jc w:val="both"/>
      </w:pPr>
      <w:r>
        <w:rPr>
          <w:color w:val="1b324f"/>
          <w:sz w:val="28"/>
          <w:szCs w:val="28"/>
          <w:rFonts w:ascii="华文黑体" w:cs="华文黑体" w:eastAsia="华文黑体" w:hAnsi="华文黑体"/>
        </w:rPr>
        <w:t xml:space="preserve">    新购工具到货时，工具使用部门库房保管员将审核供应商手里的送货单与ERP系统中的采购订单一致性，并对到货工具的工具编码、名称、规格型号、数量、品牌的正确性负责。</w:t>
      </w:r>
    </w:p>
    <w:p>
      <w:pPr>
        <w:spacing w:before="0" w:after="0"/>
        <w:jc w:val="both"/>
      </w:pPr>
      <w:r>
        <w:rPr>
          <w:color w:val="1b324f"/>
          <w:sz w:val="28"/>
          <w:szCs w:val="28"/>
          <w:rFonts w:ascii="华文黑体" w:cs="华文黑体" w:eastAsia="华文黑体" w:hAnsi="华文黑体"/>
        </w:rPr>
        <w:t xml:space="preserve">5.4.2  新购工具验收</w:t>
      </w:r>
    </w:p>
    <w:p>
      <w:pPr>
        <w:spacing w:before="0" w:after="0"/>
        <w:jc w:val="both"/>
      </w:pPr>
      <w:r>
        <w:rPr>
          <w:color w:val="1b324f"/>
          <w:sz w:val="28"/>
          <w:szCs w:val="28"/>
          <w:rFonts w:ascii="华文黑体" w:cs="华文黑体" w:eastAsia="华文黑体" w:hAnsi="华文黑体"/>
        </w:rPr>
        <w:t xml:space="preserve">工具到货后，工具使用部门组织库房保管员、现场人员及检验员进行工具验收，应对工具的数量、外观质量、工具合格证、品牌、包装进行验收。</w:t>
      </w:r>
    </w:p>
    <w:p>
      <w:pPr>
        <w:spacing w:before="0" w:after="0"/>
        <w:jc w:val="both"/>
      </w:pPr>
      <w:r>
        <w:rPr>
          <w:color w:val="1b324f"/>
          <w:sz w:val="28"/>
          <w:szCs w:val="28"/>
          <w:rFonts w:ascii="华文黑体" w:cs="华文黑体" w:eastAsia="华文黑体" w:hAnsi="华文黑体"/>
        </w:rPr>
        <w:t xml:space="preserve">5.4.2.1 验收通用工具（不含量具）</w:t>
      </w:r>
    </w:p>
    <w:p>
      <w:pPr>
        <w:spacing w:before="0" w:after="0"/>
        <w:jc w:val="both"/>
      </w:pPr>
      <w:r>
        <w:rPr>
          <w:color w:val="1b324f"/>
          <w:sz w:val="28"/>
          <w:szCs w:val="28"/>
          <w:rFonts w:ascii="华文黑体" w:cs="华文黑体" w:eastAsia="华文黑体" w:hAnsi="华文黑体"/>
        </w:rPr>
        <w:t xml:space="preserve">工具使用部门检验员负责对包含硬度、尺寸工作项所有检验内容进行最终检验。锪钻类工具、铰刀类工具、扩孔钻、钻头、车刀、铣刀类工具、有硬度要求的五金工具进行抽检，到货数量在50件以下的按10%比例抽检（至少一件），50件至500件的按5%比例抽检，500件至1</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0"/>
          <w:footerReference w:type="default" r:id="rId11"/>
          <w:pgSz w:w="11906" w:h="16838" w:orient="portrait"/>
          <w:pgMar w:top="1440" w:right="1802" w:bottom="1440" w:left="1802" w:header="708" w:footer="708" w:gutter="0"/>
          <w:pgNumType w:start="3" w:fmt="decimal"/>
          <w:docGrid w:linePitch="360"/>
        </w:sectPr>
      </w:pPr>
    </w:p>
    <w:p>
      <w:pPr>
        <w:spacing w:before="0" w:after="0"/>
        <w:jc w:val="both"/>
      </w:pPr>
      <w:r>
        <w:rPr>
          <w:color w:val="1b324f"/>
          <w:sz w:val="28"/>
          <w:szCs w:val="28"/>
          <w:rFonts w:ascii="华文黑体" w:cs="华文黑体" w:eastAsia="华文黑体" w:hAnsi="华文黑体"/>
        </w:rPr>
        <w:t xml:space="preserve">000件的按3%比例抽检，1000件以上的按1%比例抽检。</w:t>
      </w:r>
    </w:p>
    <w:p>
      <w:pPr>
        <w:spacing w:before="0" w:after="0"/>
        <w:jc w:val="both"/>
      </w:pPr>
      <w:r>
        <w:rPr>
          <w:color w:val="1b324f"/>
          <w:sz w:val="28"/>
          <w:szCs w:val="28"/>
          <w:rFonts w:ascii="华文黑体" w:cs="华文黑体" w:eastAsia="华文黑体" w:hAnsi="华文黑体"/>
        </w:rPr>
        <w:t xml:space="preserve">5.4.2.2 特殊工具验收</w:t>
      </w:r>
    </w:p>
    <w:p>
      <w:pPr>
        <w:spacing w:before="0" w:after="0"/>
        <w:jc w:val="both"/>
      </w:pPr>
      <w:r>
        <w:rPr>
          <w:color w:val="1b324f"/>
          <w:sz w:val="28"/>
          <w:szCs w:val="28"/>
          <w:rFonts w:ascii="华文黑体" w:cs="华文黑体" w:eastAsia="华文黑体" w:hAnsi="华文黑体"/>
        </w:rPr>
        <w:t xml:space="preserve">手锤验收时，使用单位保管员要检查锤头与锤把的连接处是否有松动现象；硬质合金刀片验收时，使用单位对品牌、材料牌号、规格型号（订货号）、外观质量与数量、合格证进行验收，对目视有变形、破损、裂纹、规格不符或与工具申请单不符的不予以验收。</w:t>
      </w:r>
    </w:p>
    <w:p>
      <w:pPr>
        <w:spacing w:before="0" w:after="0"/>
        <w:jc w:val="both"/>
      </w:pPr>
      <w:r>
        <w:rPr>
          <w:color w:val="1b324f"/>
          <w:sz w:val="28"/>
          <w:szCs w:val="28"/>
          <w:rFonts w:ascii="华文黑体" w:cs="华文黑体" w:eastAsia="华文黑体" w:hAnsi="华文黑体"/>
        </w:rPr>
        <w:t xml:space="preserve">5.4.2.3 量具入厂验收</w:t>
      </w:r>
    </w:p>
    <w:p>
      <w:pPr>
        <w:spacing w:before="0" w:after="0"/>
        <w:jc w:val="both"/>
      </w:pPr>
      <w:r>
        <w:rPr>
          <w:color w:val="1b324f"/>
          <w:sz w:val="28"/>
          <w:szCs w:val="28"/>
          <w:rFonts w:ascii="华文黑体" w:cs="华文黑体" w:eastAsia="华文黑体" w:hAnsi="华文黑体"/>
        </w:rPr>
        <w:t xml:space="preserve">量具到货后，工具使用部门按照MPG110-02测量设备计量确认要求进行量具入厂校准的送检工作。入厂送检完成后，使用部门保管员将量具取回，对于检测不合格量具不予以验收。</w:t>
      </w:r>
    </w:p>
    <w:p>
      <w:pPr>
        <w:spacing w:before="0" w:after="0"/>
        <w:jc w:val="both"/>
      </w:pPr>
      <w:r>
        <w:rPr>
          <w:color w:val="1b324f"/>
          <w:sz w:val="28"/>
          <w:szCs w:val="28"/>
          <w:rFonts w:ascii="华文黑体" w:cs="华文黑体" w:eastAsia="华文黑体" w:hAnsi="华文黑体"/>
        </w:rPr>
        <w:t xml:space="preserve">验证合格新购工具，由工具使用部门工具主管人员出具FM1407-118  -工具验收单后提交生产运营部工具采购员。</w:t>
      </w:r>
    </w:p>
    <w:p>
      <w:pPr>
        <w:spacing w:before="0" w:after="0"/>
        <w:jc w:val="both"/>
      </w:pPr>
      <w:r>
        <w:rPr>
          <w:color w:val="1b324f"/>
          <w:sz w:val="28"/>
          <w:szCs w:val="28"/>
          <w:rFonts w:ascii="华文黑体" w:cs="华文黑体" w:eastAsia="华文黑体" w:hAnsi="华文黑体"/>
        </w:rPr>
        <w:t xml:space="preserve">5.5 维修工具验证接收</w:t>
      </w:r>
    </w:p>
    <w:p>
      <w:pPr>
        <w:spacing w:before="0" w:after="0"/>
        <w:jc w:val="both"/>
      </w:pPr>
      <w:r>
        <w:rPr>
          <w:color w:val="1b324f"/>
          <w:sz w:val="28"/>
          <w:szCs w:val="28"/>
          <w:rFonts w:ascii="华文黑体" w:cs="华文黑体" w:eastAsia="华文黑体" w:hAnsi="华文黑体"/>
        </w:rPr>
        <w:t xml:space="preserve">5.5.1 维修工具接收</w:t>
      </w:r>
    </w:p>
    <w:p>
      <w:pPr>
        <w:spacing w:before="0" w:after="0"/>
        <w:jc w:val="both"/>
      </w:pPr>
      <w:r>
        <w:rPr>
          <w:color w:val="1b324f"/>
          <w:sz w:val="21"/>
          <w:szCs w:val="21"/>
          <w:rFonts w:ascii="华文黑体" w:cs="华文黑体" w:eastAsia="华文黑体" w:hAnsi="华文黑体"/>
        </w:rPr>
        <w:t xml:space="preserve">     </w:t>
      </w:r>
      <w:r>
        <w:rPr>
          <w:color w:val="1b324f"/>
          <w:sz w:val="28"/>
          <w:szCs w:val="28"/>
          <w:rFonts w:ascii="华文黑体" w:cs="华文黑体" w:eastAsia="华文黑体" w:hAnsi="华文黑体"/>
        </w:rPr>
        <w:t xml:space="preserve"> 维修工具到货前，生产运营部需在ERP中创建维修工具采购订单，并将此采购订单号及送货明细通知车间，让车间做好收货准备。</w:t>
      </w:r>
    </w:p>
    <w:p>
      <w:pPr>
        <w:spacing w:before="0" w:after="0"/>
        <w:jc w:val="both"/>
      </w:pPr>
      <w:r>
        <w:rPr>
          <w:color w:val="1b324f"/>
          <w:sz w:val="28"/>
          <w:szCs w:val="28"/>
          <w:rFonts w:ascii="华文黑体" w:cs="华文黑体" w:eastAsia="华文黑体" w:hAnsi="华文黑体"/>
        </w:rPr>
        <w:t xml:space="preserve">     维修工具到货时，工具使用部门库房保管员将审核供应商手里的送货单与ERP系统中的采购订单一致性。</w:t>
      </w:r>
    </w:p>
    <w:p>
      <w:pPr>
        <w:spacing w:before="0" w:after="0"/>
        <w:jc w:val="both"/>
      </w:pPr>
      <w:r>
        <w:rPr>
          <w:color w:val="1b324f"/>
          <w:sz w:val="28"/>
          <w:szCs w:val="28"/>
          <w:rFonts w:ascii="华文黑体" w:cs="华文黑体" w:eastAsia="华文黑体" w:hAnsi="华文黑体"/>
        </w:rPr>
        <w:t xml:space="preserve">5.5.2维修工具验证</w:t>
      </w:r>
    </w:p>
    <w:p>
      <w:pPr>
        <w:spacing w:before="0" w:after="0"/>
        <w:jc w:val="both"/>
      </w:pPr>
      <w:r>
        <w:rPr>
          <w:color w:val="1b324f"/>
          <w:sz w:val="28"/>
          <w:szCs w:val="28"/>
          <w:rFonts w:ascii="华文黑体" w:cs="华文黑体" w:eastAsia="华文黑体" w:hAnsi="华文黑体"/>
        </w:rPr>
        <w:t xml:space="preserve">    维修工具返回使用部门后，工具库房主管组织人员进行工具验证，对刃磨类刀具进行尺寸抽检，抽检比例按6.1.2.1进行；维修后量具按5.5.2.3再次进行量具送检，对于检测不合格维修工具不予以接收。验证合格维修工具，由工具使用部门工具主管人员出具FM1407-118工具验收单后提交生产运营部工具采购员。</w:t>
      </w:r>
    </w:p>
    <w:p>
      <w:pPr>
        <w:spacing w:before="0" w:after="0"/>
        <w:jc w:val="both"/>
      </w:pPr>
      <w:r>
        <w:rPr>
          <w:color w:val="1b324f"/>
          <w:sz w:val="28"/>
          <w:szCs w:val="28"/>
          <w:rFonts w:ascii="华文黑体" w:cs="华文黑体" w:eastAsia="华文黑体" w:hAnsi="华文黑体"/>
        </w:rPr>
        <w:t xml:space="preserve">5.6 工具验收及时性</w:t>
      </w:r>
    </w:p>
    <w:p>
      <w:pPr>
        <w:spacing w:before="0" w:after="0"/>
        <w:jc w:val="both"/>
      </w:pPr>
      <w:r>
        <w:rPr>
          <w:color w:val="1b324f"/>
          <w:sz w:val="28"/>
          <w:szCs w:val="28"/>
          <w:rFonts w:ascii="华文黑体" w:cs="华文黑体" w:eastAsia="华文黑体" w:hAnsi="华文黑体"/>
        </w:rPr>
        <w:t xml:space="preserve">5.6.1各工具使用部门要保证工具验收的及时率（及时验收数量与总数量的比），工具验收时间不超过20天视为及时，生产运营部按照工具</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ectPr>
          <w:headerReference w:type="default" r:id="rId12"/>
          <w:footerReference w:type="default" r:id="rId13"/>
          <w:pgSz w:w="11906" w:h="16838" w:orient="portrait"/>
          <w:pgMar w:top="1440" w:right="1802" w:bottom="1440" w:left="1802" w:header="708" w:footer="708" w:gutter="0"/>
          <w:pgNumType w:start="4" w:fmt="decimal"/>
          <w:docGrid w:linePitch="360"/>
        </w:sectPr>
      </w:pPr>
    </w:p>
    <w:p>
      <w:pPr>
        <w:spacing w:before="0" w:after="0"/>
        <w:jc w:val="both"/>
      </w:pPr>
      <w:r>
        <w:rPr>
          <w:color w:val="1b324f"/>
          <w:sz w:val="28"/>
          <w:szCs w:val="28"/>
          <w:rFonts w:ascii="华文黑体" w:cs="华文黑体" w:eastAsia="华文黑体" w:hAnsi="华文黑体"/>
        </w:rPr>
        <w:t xml:space="preserve">验收单上交情况审核该项工作，发现使用部门工具验收不及时时反馈给科技创新部工艺装备室，由科技创新部工艺装备室工具技术员负责协调解决。各工具使用部门库房保管员每季度统计本单位工具验收及时率，当发现未验收项时，应制定计划并跟踪，确保未完成项目不影响开工生产。</w:t>
      </w:r>
    </w:p>
    <w:p>
      <w:pPr>
        <w:spacing w:before="0" w:after="0"/>
        <w:jc w:val="both"/>
      </w:pPr>
      <w:r>
        <w:rPr>
          <w:color w:val="1b324f"/>
          <w:sz w:val="28"/>
          <w:szCs w:val="28"/>
          <w:rFonts w:ascii="华文黑体" w:cs="华文黑体" w:eastAsia="华文黑体" w:hAnsi="华文黑体"/>
        </w:rPr>
        <w:t xml:space="preserve">5.7 信息录入</w:t>
      </w:r>
    </w:p>
    <w:p>
      <w:pPr>
        <w:spacing w:before="0" w:after="0"/>
        <w:jc w:val="both"/>
      </w:pPr>
      <w:r>
        <w:rPr>
          <w:color w:val="1b324f"/>
          <w:sz w:val="28"/>
          <w:szCs w:val="28"/>
          <w:rFonts w:ascii="华文黑体" w:cs="华文黑体" w:eastAsia="华文黑体" w:hAnsi="华文黑体"/>
        </w:rPr>
        <w:t xml:space="preserve">5.7.1验收合格的工具，工具使用部门相关人员在ERP系统中进行审签使用部门保管员将检验合格的工具录入FM1407-2 -厂工具账，保证信息录入的准确性及完整性，并对验收合格工具开具工具验收单；生产运营部工具采购员负责核实工具验收单准确性，并将工具验收单作为后续挂账和付款的依据。</w:t>
      </w:r>
    </w:p>
    <w:p>
      <w:pPr>
        <w:spacing w:before="0" w:after="0" w:line="280" w:lineRule="exact"/>
      </w:pPr>
      <w:r>
        <w:rPr>
          <w:color w:val="1b324f"/>
          <w:sz w:val="28"/>
          <w:szCs w:val="28"/>
          <w:rFonts w:ascii="宋体" w:cs="宋体" w:eastAsia="宋体" w:hAnsi="宋体"/>
        </w:rPr>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6  标准图例说明</w:t>
      </w:r>
    </w:p>
    <w:p>
      <w:pPr>
        <w:spacing w:before="0" w:after="0" w:line="280" w:lineRule="exact"/>
      </w:pPr>
      <w:r>
        <w:rPr>
          <w:color w:val="1b324f"/>
          <w:sz w:val="28"/>
          <w:szCs w:val="28"/>
          <w:rFonts w:ascii="宋体" w:cs="宋体" w:eastAsia="宋体" w:hAnsi="宋体"/>
        </w:rPr>
      </w:r>
    </w:p>
    <w:p>
      <w:pPr>
        <w:spacing w:before="0" w:after="0"/>
        <w:jc w:val="both"/>
      </w:pPr>
      <w:r>
        <w:rPr>
          <w:color w:val="1b324f"/>
          <w:sz w:val="28"/>
          <w:szCs w:val="28"/>
          <w:rFonts w:ascii="华文黑体" w:cs="华文黑体" w:eastAsia="华文黑体" w:hAnsi="华文黑体"/>
        </w:rPr>
        <w:t xml:space="preserve">无</w:t>
      </w:r>
    </w:p>
    <w:p>
      <w:pPr>
        <w:spacing w:before="0" w:after="0" w:line="280" w:lineRule="exact"/>
      </w:pPr>
      <w:r>
        <w:rPr>
          <w:color w:val="1b324f"/>
          <w:sz w:val="28"/>
          <w:szCs w:val="28"/>
          <w:rFonts w:ascii="宋体" w:cs="宋体" w:eastAsia="宋体" w:hAnsi="宋体"/>
        </w:rPr>
      </w:r>
    </w:p>
    <w:p>
      <w:pPr>
        <w:spacing w:before="0" w:after="0"/>
        <w:jc w:val="both"/>
      </w:pPr>
      <w:r>
        <w:rPr>
          <w:color w:val="000000"/>
          <w:sz w:val="28"/>
          <w:szCs w:val="28"/>
          <w:rFonts w:ascii="黑体" w:cs="黑体" w:eastAsia="黑体" w:hAnsi="黑体"/>
        </w:rPr>
        <w:t xml:space="preserve">7  记录控制</w:t>
      </w:r>
    </w:p>
    <w:p>
      <w:pPr>
        <w:spacing w:before="0" w:after="0"/>
        <w:jc w:val="both"/>
      </w:pPr>
      <w:r>
        <w:rPr>
          <w:color w:val="000000"/>
          <w:sz w:val="28"/>
          <w:szCs w:val="28"/>
          <w:rFonts w:ascii="宋体" w:cs="宋体" w:eastAsia="宋体" w:hAnsi="宋体"/>
        </w:rPr>
        <w:t xml:space="preserve"> </w:t>
      </w:r>
    </w:p>
    <w:p>
      <w:pPr>
        <w:spacing w:before="0" w:after="0"/>
        <w:jc w:val="both"/>
      </w:pPr>
      <w:r>
        <w:rPr>
          <w:color w:val="1b324f"/>
          <w:sz w:val="28"/>
          <w:szCs w:val="28"/>
          <w:rFonts w:ascii="华文黑体" w:cs="华文黑体" w:eastAsia="华文黑体" w:hAnsi="华文黑体"/>
        </w:rPr>
        <w:t xml:space="preserve">7.1表FM 1407-118 工具验收单作为会计凭证由财务管理部按国家法律要求年限保存。</w:t>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p>
      <w:pPr>
        <w:spacing w:before="0" w:after="0" w:line="280" w:lineRule="exact"/>
      </w:pPr>
      <w:r>
        <w:rPr>
          <w:sz w:val="28"/>
          <w:szCs w:val="28"/>
          <w:rFonts w:ascii="宋体" w:cs="宋体" w:eastAsia="宋体" w:hAnsi="宋体"/>
        </w:rPr>
      </w:r>
    </w:p>
    <w:sectPr>
      <w:headerReference w:type="default" r:id="rId14"/>
      <w:footerReference w:type="default" r:id="rId15"/>
      <w:pgSz w:w="11906" w:h="16838" w:orient="portrait"/>
      <w:pgMar w:top="1440" w:right="1802" w:bottom="1440" w:left="1802" w:header="708" w:footer="708" w:gutter="0"/>
      <w:pgNumType w:start="5"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 第 </w:t>
      <w:fldChar w:fldCharType="begin"/>
      <w:instrText xml:space="preserve">PAGE</w:instrText>
      <w:fldChar w:fldCharType="separate"/>
      <w:fldChar w:fldCharType="end"/>
      <w:t xml:space="preserve"> 页 </w:t>
      <w:t xml:space="preserve">/</w:t>
      <w:t xml:space="preserve"> 共 </w:t>
      <w:fldChar w:fldCharType="begin"/>
      <w:instrText xml:space="preserve">NUMPAGES</w:instrText>
      <w:fldChar w:fldCharType="separate"/>
      <w:fldChar w:fldCharType="end"/>
      <w:t xml:space="preserve"> 页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GLC140708-05-A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GLC140708-05-A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GLC140708-05-A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GLC140708-05-A</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80000"/>
      </w:tabs>
      <w:jc w:val="right"/>
    </w:pPr>
    <w:r>
      <w:t xml:space="preserve">GLC140708-05-A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doNotExpandShiftReturn/>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8"/>
        <w:szCs w:val="28"/>
        <w:rFonts w:ascii="宋体" w:cs="宋体" w:eastAsia="宋体" w:hAnsi="宋体"/>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before="340" w:after="330"/>
    </w:pPr>
    <w:rPr>
      <w:b/>
      <w:bCs/>
      <w:color w:val="000000"/>
      <w:sz w:val="44"/>
      <w:szCs w:val="44"/>
    </w:rPr>
  </w:style>
  <w:style w:type="paragraph" w:styleId="Heading2">
    <w:name w:val="Heading 2"/>
    <w:basedOn w:val="Normal"/>
    <w:next w:val="Normal"/>
    <w:qFormat/>
    <w:pPr>
      <w:spacing w:before="260" w:after="260"/>
    </w:pPr>
    <w:rPr>
      <w:b/>
      <w:bCs/>
      <w:color w:val="000000"/>
      <w:sz w:val="32"/>
      <w:szCs w:val="32"/>
    </w:rPr>
  </w:style>
  <w:style w:type="paragraph" w:styleId="Heading3">
    <w:name w:val="Heading 3"/>
    <w:basedOn w:val="Normal"/>
    <w:next w:val="Normal"/>
    <w:qFormat/>
    <w:pPr>
      <w:spacing w:before="260" w:after="260"/>
    </w:pPr>
    <w:rPr>
      <w:b/>
      <w:bCs/>
      <w:color w:val="000000"/>
      <w:sz w:val="32"/>
      <w:szCs w:val="32"/>
    </w:rPr>
  </w:style>
  <w:style w:type="paragraph" w:styleId="Heading4">
    <w:name w:val="Heading 4"/>
    <w:basedOn w:val="Normal"/>
    <w:next w:val="Normal"/>
    <w:qFormat/>
    <w:pPr>
      <w:spacing w:before="280" w:after="290"/>
    </w:pPr>
    <w:rPr>
      <w:b/>
      <w:bCs/>
      <w:color w:val="000000"/>
      <w:sz w:val="28"/>
      <w:szCs w:val="28"/>
    </w:rPr>
  </w:style>
  <w:style w:type="paragraph" w:styleId="Heading5">
    <w:name w:val="Heading 5"/>
    <w:basedOn w:val="Normal"/>
    <w:next w:val="Normal"/>
    <w:qFormat/>
    <w:pPr>
      <w:spacing w:before="280" w:after="290"/>
    </w:pPr>
    <w:rPr>
      <w:b/>
      <w:bCs/>
      <w:color w:val="000000"/>
      <w:sz w:val="28"/>
      <w:szCs w:val="28"/>
    </w:rPr>
  </w:style>
  <w:style w:type="paragraph" w:styleId="Heading6">
    <w:name w:val="Heading 6"/>
    <w:basedOn w:val="Normal"/>
    <w:next w:val="Normal"/>
    <w:qFormat/>
    <w:pPr>
      <w:spacing w:before="240" w:after="64"/>
    </w:pPr>
    <w:rPr>
      <w:b/>
      <w:bCs/>
      <w:color w:val="000000"/>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Un-named</cp:lastModifiedBy>
  <cp:revision>1</cp:revision>
  <dcterms:created xsi:type="dcterms:W3CDTF">2026-06-11T05:47:40.071Z</dcterms:created>
  <dcterms:modified xsi:type="dcterms:W3CDTF">2026-06-11T05:47:40.071Z</dcterms:modified>
</cp:coreProperties>
</file>

<file path=docProps/custom.xml><?xml version="1.0" encoding="utf-8"?>
<Properties xmlns="http://schemas.openxmlformats.org/officeDocument/2006/custom-properties" xmlns:vt="http://schemas.openxmlformats.org/officeDocument/2006/docPropsVTypes"/>
</file>