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  <Override ContentType="application/vnd.openxmlformats-officedocument.wordprocessingml.header+xml" PartName="/word/header4.xml"/>
  <Override ContentType="application/vnd.openxmlformats-officedocument.wordprocessingml.footer+xml" PartName="/word/footer4.xml"/>
  <Override ContentType="application/vnd.openxmlformats-officedocument.wordprocessingml.header+xml" PartName="/word/header5.xml"/>
  <Override ContentType="application/vnd.openxmlformats-officedocument.wordprocessingml.footer+xml" PartName="/word/footer5.xml"/>
  <Override ContentType="application/vnd.openxmlformats-officedocument.wordprocessingml.header+xml" PartName="/word/header6.xml"/>
  <Override ContentType="application/vnd.openxmlformats-officedocument.wordprocessingml.footer+xml" PartName="/word/footer6.xml"/>
  <Override ContentType="application/vnd.openxmlformats-officedocument.wordprocessingml.header+xml" PartName="/word/header7.xml"/>
  <Override ContentType="application/vnd.openxmlformats-officedocument.wordprocessingml.footer+xml" PartName="/word/footer7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0"/>
        <w:jc w:val="center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前    言</w:t>
      </w:r>
    </w:p>
    <w:p>
      <w:pPr>
        <w:spacing w:before="0" w:after="0"/>
        <w:jc w:val="both"/>
      </w:pPr>
      <w:r>
        <w:rPr>
          <w:color w:val="0a0a0a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0a0a0a"/>
          <w:sz w:val="21"/>
          <w:szCs w:val="21"/>
          <w:rFonts w:ascii="宋体" w:cs="宋体" w:eastAsia="宋体" w:hAnsi="宋体"/>
        </w:rPr>
        <w:t xml:space="preserve"> 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宋体" w:cs="宋体" w:eastAsia="宋体" w:hAnsi="宋体"/>
        </w:rPr>
        <w:t xml:space="preserve">本制度属于支撑类管理制度。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宋体" w:cs="宋体" w:eastAsia="宋体" w:hAnsi="宋体"/>
        </w:rPr>
        <w:t xml:space="preserve">本制度由生产运营部提出，物流仓储中心参与起草。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宋体" w:cs="宋体" w:eastAsia="宋体" w:hAnsi="宋体"/>
        </w:rPr>
        <w:t xml:space="preserve">本制度由生产运营部负责解释。</w:t>
      </w:r>
      <w:r>
        <w:rPr>
          <w:color w:val="0a0a0a"/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6"/>
          <w:footerReference w:type="default" r:id="rId7"/>
          <w:pgSz w:w="11906" w:h="16838" w:orient="portrait"/>
          <w:pgMar w:top="1440" w:right="1802" w:bottom="1440" w:left="1802" w:header="708" w:footer="708" w:gutter="0"/>
          <w:pgNumType w:start="1" w:fmt="decimal"/>
          <w:docGrid w:linePitch="360"/>
        </w:sectPr>
      </w:pPr>
    </w:p>
    <w:p>
      <w:pPr>
        <w:spacing w:before="0" w:after="0"/>
        <w:jc w:val="center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危险化学品库房存储管理标准</w:t>
      </w:r>
    </w:p>
    <w:p>
      <w:pPr>
        <w:spacing w:before="0" w:after="0" w:line="280" w:lineRule="exact"/>
      </w:pPr>
      <w:r>
        <w:rPr>
          <w:color w:val="0a0a0a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1  范围</w:t>
      </w:r>
    </w:p>
    <w:p>
      <w:pPr>
        <w:spacing w:before="0" w:after="0" w:line="280" w:lineRule="exact"/>
      </w:pPr>
      <w:r>
        <w:rPr>
          <w:color w:val="0a0a0a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宋体" w:cs="宋体" w:eastAsia="宋体" w:hAnsi="宋体"/>
        </w:rPr>
        <w:t xml:space="preserve">本标准规定了危险化学品在库房存储期间的具体管理要求。 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宋体" w:cs="宋体" w:eastAsia="宋体" w:hAnsi="宋体"/>
        </w:rPr>
        <w:t xml:space="preserve">本标准适用于公司各单位。</w:t>
      </w:r>
    </w:p>
    <w:p>
      <w:pPr>
        <w:spacing w:before="0" w:after="0" w:line="280" w:lineRule="exact"/>
      </w:pPr>
      <w:r>
        <w:rPr>
          <w:color w:val="0a0a0a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2  规范性引用文件</w:t>
      </w:r>
    </w:p>
    <w:p>
      <w:pPr>
        <w:spacing w:before="0" w:after="0" w:line="280" w:lineRule="exact"/>
      </w:pPr>
      <w:r>
        <w:rPr>
          <w:color w:val="0a0a0a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00000"/>
          <w:sz w:val="28"/>
          <w:szCs w:val="28"/>
          <w:rFonts w:ascii="宋体" w:cs="宋体" w:eastAsia="宋体" w:hAnsi="宋体"/>
        </w:rPr>
        <w:t xml:space="preserve">下列文件对于本文件的应用是必不可少的。凡是注日期或（和）版次的引用文件，仅注日期或（和）版次的版本适用于本文件。凡是不注日期或（和）版次的引用文件，其最新版本（包括所有的修改单）适用于本文件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Times New Roman" w:cs="Times New Roman" w:eastAsia="Times New Roman" w:hAnsi="Times New Roman"/>
        </w:rPr>
        <w:t xml:space="preserve">GLC14020202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物流配置执行管理程序</w:t>
      </w:r>
    </w:p>
    <w:p>
      <w:pPr>
        <w:spacing w:before="0" w:after="0" w:line="280" w:lineRule="exact"/>
      </w:pPr>
      <w:r>
        <w:rPr>
          <w:color w:val="0a0a0a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3  表格</w:t>
      </w:r>
    </w:p>
    <w:p>
      <w:pPr>
        <w:spacing w:before="0" w:after="0" w:line="280" w:lineRule="exact"/>
      </w:pPr>
      <w:r>
        <w:rPr>
          <w:color w:val="0a0a0a"/>
          <w:sz w:val="28"/>
          <w:szCs w:val="28"/>
          <w:rFonts w:ascii="黑体" w:cs="黑体" w:eastAsia="黑体" w:hAnsi="黑体"/>
        </w:rPr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3.1  规定表格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Times New Roman" w:cs="Times New Roman" w:eastAsia="Times New Roman" w:hAnsi="Times New Roman"/>
        </w:rPr>
        <w:t xml:space="preserve">FM1402-29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  危化品库房临时作业安全事项确认书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Times New Roman" w:cs="Times New Roman" w:eastAsia="Times New Roman" w:hAnsi="Times New Roman"/>
        </w:rPr>
        <w:t xml:space="preserve">FM1402-30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  危险化学品库房安全检查表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3.2  引用表格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华文黑体" w:cs="华文黑体" w:eastAsia="华文黑体" w:hAnsi="华文黑体"/>
        </w:rPr>
        <w:t xml:space="preserve">无</w:t>
      </w:r>
    </w:p>
    <w:p>
      <w:pPr>
        <w:spacing w:before="0" w:after="0" w:line="210" w:lineRule="exact"/>
      </w:pPr>
      <w:r>
        <w:rPr>
          <w:color w:val="0a0a0a"/>
          <w:sz w:val="21"/>
          <w:szCs w:val="21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4  术语和定义</w:t>
      </w:r>
    </w:p>
    <w:p>
      <w:pPr>
        <w:spacing w:before="0" w:after="0" w:line="280" w:lineRule="exact"/>
      </w:pPr>
      <w:r>
        <w:rPr>
          <w:color w:val="0a0a0a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4.1  危险化学品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宋体" w:cs="宋体" w:eastAsia="宋体" w:hAnsi="宋体"/>
        </w:rPr>
        <w:t xml:space="preserve">本标准所称危险化学品（以下简称危化品）是指具有毒害、腐蚀、 爆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8"/>
          <w:footerReference w:type="default" r:id="rId9"/>
          <w:pgSz w:w="11906" w:h="16838" w:orient="portrait"/>
          <w:pgMar w:top="1440" w:right="1802" w:bottom="1440" w:left="1802" w:header="708" w:footer="708" w:gutter="0"/>
          <w:pgNumType w:start="2" w:fmt="decimal"/>
          <w:docGrid w:linePitch="360"/>
        </w:sectPr>
      </w:pP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宋体" w:cs="宋体" w:eastAsia="宋体" w:hAnsi="宋体"/>
        </w:rPr>
        <w:t xml:space="preserve">炸、燃烧、助燃等性质，对人体、设施、环境具有危害的化学品，不包含易制毒、剧毒危险化学品，涉及易制毒、剧毒危化品依照国家法律法规、公司有关规定执行。 </w:t>
      </w:r>
    </w:p>
    <w:p>
      <w:pPr>
        <w:spacing w:before="0" w:after="0" w:line="280" w:lineRule="exact"/>
      </w:pPr>
      <w:r>
        <w:rPr>
          <w:color w:val="0a0a0a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  规定</w:t>
      </w:r>
    </w:p>
    <w:p>
      <w:pPr>
        <w:spacing w:before="0" w:after="0" w:line="280" w:lineRule="exact"/>
      </w:pPr>
      <w:r>
        <w:rPr>
          <w:color w:val="0a0a0a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5.1  储存管理 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5.1.1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  根据危化品性质、包装规格采用适当的堆垛方法，要求货垛整齐，堆码牢固，禁止超高，禁止倒置，禁止敞口存放。遇火、遇热、遇潮能引起燃烧、爆炸或发生化学反应，产生有毒气体的危化品不得在露天或在潮湿、积水的建筑物中贮存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5.1.2 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危化品中间库房内堆放物品应满足以下要求：堆垛上部与楼板、平屋顶之间的距离不小于0.3</w:t>
      </w:r>
      <w:r>
        <w:rPr>
          <w:color w:val="0a0a0a"/>
          <w:sz w:val="28"/>
          <w:szCs w:val="28"/>
          <w:rFonts w:ascii="黑体" w:cs="黑体" w:eastAsia="黑体" w:hAnsi="黑体"/>
        </w:rPr>
        <w:t xml:space="preserve">m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（人字屋架从横梁算起）；物品与照明灯之间的距离不小于0.5m；物品与墙之间的距离不小于 0.5m；物品堆垛与柱之间的距离不小于 0.3m；物品堆垛与堆垛之间的距离不小于1.0m。需要设置货架堆放物品时，货架应采用非燃烧材料制作。货架不应遮挡消火栓、自动喷淋系统喷头以及排风口。存放货物较高时，应采取防止货物掉落措施和货架防倾倒措施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5.1.3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受日光照射能发生化学反应引起燃烧、爆炸、分解、化合或能产生有毒气体的危化品应贮存在一级危化品库房中，其包装应采取避光措施。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5.1.4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压缩气体和液化气体必须与爆炸物品、氧化剂、易燃物品、自燃物品、腐蚀性物品隔离贮存。易燃气体不得与助燃气体、剧毒气体同贮；氧气不得与油脂混合贮存，盛装液化气体的容器属压力容器的，必须有压力表、安全阀、紧急切断装置，并定期检查，不得超装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5.1.5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易燃液体、遇湿易燃物品、易燃固体不得与氧化剂混合贮存，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0"/>
          <w:footerReference w:type="default" r:id="rId11"/>
          <w:pgSz w:w="11906" w:h="16838" w:orient="portrait"/>
          <w:pgMar w:top="1440" w:right="1802" w:bottom="1440" w:left="1802" w:header="708" w:footer="708" w:gutter="0"/>
          <w:pgNumType w:start="3" w:fmt="decimal"/>
          <w:docGrid w:linePitch="360"/>
        </w:sectPr>
      </w:pP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宋体" w:cs="宋体" w:eastAsia="宋体" w:hAnsi="宋体"/>
        </w:rPr>
        <w:t xml:space="preserve">具有还原性氧化剂应单独存放，应采取防止水浸渍的措施。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5.1.6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腐蚀性物品，包装必须严密，严防泄漏，严禁与液化气体和其他物品共存，应设置防液体流散措施。 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5.1.7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危化品入库必须附有产品检验合格证和《化学品安全技术说明书》，进口危化品必须附有中文《化学品安全技术说明书》</w:t>
      </w:r>
      <w:r>
        <w:rPr>
          <w:color w:val="0a0a0a"/>
          <w:sz w:val="28"/>
          <w:szCs w:val="28"/>
          <w:rFonts w:ascii="Times New Roman" w:cs="Times New Roman" w:eastAsia="Times New Roman" w:hAnsi="Times New Roman"/>
        </w:rPr>
        <w:t xml:space="preserve">(MSDS)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/安全数据表（</w:t>
      </w:r>
      <w:r>
        <w:rPr>
          <w:color w:val="0a0a0a"/>
          <w:sz w:val="28"/>
          <w:szCs w:val="28"/>
          <w:rFonts w:ascii="Times New Roman" w:cs="Times New Roman" w:eastAsia="Times New Roman" w:hAnsi="Times New Roman"/>
        </w:rPr>
        <w:t xml:space="preserve">SDS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）。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5.1.8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危险化学品库房保管员对物品外观、内外标志，容器包装及衬垫进行检查后作出验收记录，验收应在指定的、具备安全条件的验收区域进行。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5.1.9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进入危化品储存区域人员必须采取有效防护措施，并且通过静电导除装置先导除静电，方可进入。严禁携带手机等电子通讯设备进入。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5.1.10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危化品出入库，必须进行核查登记记录，经办人签字。保证帐物一致，工作留痕，数据保存期限不少于1年。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宋体" w:cs="宋体" w:eastAsia="宋体" w:hAnsi="宋体"/>
        </w:rPr>
        <w:t xml:space="preserve">5.1.11  危化品库房管理人员应针对危化品的危害性告知提醒装卸人员。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5.1.12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危化品包装的材质、型式、规格、方法和单件质量（重量），应当与所包装的危化品的性质和用途相适应，便于装卸、运输和储存。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5.1.13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针对易燃液体，应检查封口是否严密，有无挥发和渗漏、有无变色、变质和沉淀等现象。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5.1.14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危化品的成分应经对照说明确认，性质相抵触的物料不得放在同一区域，必须分库存放。不同种类危化品应分类存放。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5.2  库房内作业管理 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5.2.1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外雇人员到危化品库房开展出入库工作、搬运转移、装车、拆分危险化学品外包装、分类摆放等具体工作，需操作人员本人阅读</w:t>
      </w:r>
      <w:r>
        <w:rPr>
          <w:color w:val="0a0a0a"/>
          <w:sz w:val="28"/>
          <w:szCs w:val="28"/>
          <w:rFonts w:ascii="Times New Roman" w:cs="Times New Roman" w:eastAsia="Times New Roman" w:hAnsi="Times New Roman"/>
        </w:rPr>
        <w:t xml:space="preserve">FM1305-40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并签字确认。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2"/>
          <w:footerReference w:type="default" r:id="rId13"/>
          <w:pgSz w:w="11906" w:h="16838" w:orient="portrait"/>
          <w:pgMar w:top="1440" w:right="1802" w:bottom="1440" w:left="1802" w:header="708" w:footer="708" w:gutter="0"/>
          <w:pgNumType w:start="4" w:fmt="decimal"/>
          <w:docGrid w:linePitch="360"/>
        </w:sectPr>
      </w:pP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5.2.2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危化品库房工作人员应熟悉各区域储存的危险化学品种类、特性、储存地点、事故的应急处置方法。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5.2.3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危化品物料卡片应填写完整、清晰、易辨识，并设置张贴在醒目位置。 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5.2.4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装卸对人身有毒害和腐蚀性物品时，操作人员应穿戴防护用品；装卸易燃液体需穿防静电工作服，严禁穿带铁钉鞋。各种操作不得使用能产生火花的工具，作业现场需远离热源和火源。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5.2.5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使用危化品岗位和场所严禁烟火，禁止抛掷、摩擦、撞击。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5.2.6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登高作业时，需按规定办理审批手续并设置防护措施；在机动车及电瓶车上等相对高处工作时，必须两人以上协同作业。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5.3  安全检查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5.3.1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物流仓储中心应加强危化品库房安全管理，开展安全检查，提高库房工作人员及时发现、处置隐患能力，防止安全、环保、消防等事故发生。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5.3.2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  危化品库房实行检查制度（包括工作日及春节、五一、设备检修假、十一等各类假期），库房工作或值班人员必须开展安全检查工作，检查后填写</w:t>
      </w:r>
      <w:r>
        <w:rPr>
          <w:color w:val="0a0a0a"/>
          <w:sz w:val="28"/>
          <w:szCs w:val="28"/>
          <w:rFonts w:ascii="Times New Roman" w:cs="Times New Roman" w:eastAsia="Times New Roman" w:hAnsi="Times New Roman"/>
        </w:rPr>
        <w:t xml:space="preserve">FM1305-41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5.3.3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安全检查内容：库房内温湿度情况、物料是否分类存放、实物包装是否完好、灭火器材是否完好、门窗是否完好有效、电气设施是否防爆、是否存在阳光直射等。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5.3.4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检查人员不得将手机、火种等带入危化品库房，进入前应在外部采取静电消除措施。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5.3.5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检查人员应熟练掌握危险化学品性质、物理常数和存储要求，掌握灭火器材使用方法，会报火警。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5.3.6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检查人员遇危化品库房有操作工人作业时，应对其安全防护措施、操作方法及安全事项进行监督检查、提醒确认。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5.4  人员管理 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4"/>
          <w:footerReference w:type="default" r:id="rId15"/>
          <w:pgSz w:w="11906" w:h="16838" w:orient="portrait"/>
          <w:pgMar w:top="1440" w:right="1802" w:bottom="1440" w:left="1802" w:header="708" w:footer="708" w:gutter="0"/>
          <w:pgNumType w:start="5" w:fmt="decimal"/>
          <w:docGrid w:linePitch="360"/>
        </w:sectPr>
      </w:pP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5.4.1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库房保管和使用人员应严格遵守危化品使用操作规范，执行危化品发放、领用、使用、台账等工作要求。 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5.4.2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危化品库房工作人员应参加培训，考核合格后持证上岗。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5.4.3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危化品库房工作人员应从</w:t>
      </w:r>
      <w:r>
        <w:rPr>
          <w:color w:val="0a0a0a"/>
          <w:sz w:val="28"/>
          <w:szCs w:val="28"/>
          <w:rFonts w:ascii="Times New Roman" w:cs="Times New Roman" w:eastAsia="Times New Roman" w:hAnsi="Times New Roman"/>
        </w:rPr>
        <w:t xml:space="preserve">MSDS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手册《危险化学品安全技术说明书》中了解保管使用物料的危险特性，明确危害、处置方法和急救措施。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5.4.4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保管人员必须熟知所管易燃易爆物品的性质、物理常数（比重、闪点、爆炸极限、自燃点等），掌握所管易燃易爆物品贮存的安全要求。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5.4.5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根据各类危化品不同性质、库房条件、灭火方法等进行严格分区、分类、分库存放。熟悉各区域储存的危险化学品种类、特性、事故的应急处置方法。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5.4.6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管理人员和操作人员应熟练使用灭火器材和灭火设施，能够根据危化品化学性质合理选择灭火设施和器材。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5.4.7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保管人员对管理物料实物情况每周至少开展一次专项检查，确保账实相符、物料状态（待验、保质期内、复验、超期）规范。对于影响库房安全的问题隐患，要及时发现，及时报告，迅速解决。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5.4.8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  危化品库内应有明显防火标志牌，并悬挂在显著位置。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5.4.9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  危化品库房内不得存放与库房内物料无关的任何物品和私人物品、车辆、工具等。</w:t>
      </w:r>
    </w:p>
    <w:p>
      <w:pPr>
        <w:spacing w:before="0" w:after="0" w:line="280" w:lineRule="exact"/>
      </w:pPr>
      <w:r>
        <w:rPr>
          <w:color w:val="0a0a0a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6  标准图例说明</w:t>
      </w:r>
    </w:p>
    <w:p>
      <w:pPr>
        <w:spacing w:before="0" w:after="0" w:line="280" w:lineRule="exact"/>
      </w:pPr>
      <w:r>
        <w:rPr>
          <w:color w:val="0a0a0a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华文宋体" w:cs="华文宋体" w:eastAsia="华文宋体" w:hAnsi="华文宋体"/>
        </w:rPr>
        <w:t xml:space="preserve">无</w:t>
      </w:r>
    </w:p>
    <w:p>
      <w:pPr>
        <w:spacing w:before="0" w:after="0" w:line="280" w:lineRule="exact"/>
      </w:pPr>
      <w:r>
        <w:rPr>
          <w:color w:val="0a0a0a"/>
          <w:sz w:val="28"/>
          <w:szCs w:val="28"/>
          <w:rFonts w:ascii="宋体" w:cs="宋体" w:eastAsia="宋体" w:hAnsi="宋体"/>
        </w:rPr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黑体" w:cs="黑体" w:eastAsia="黑体" w:hAnsi="黑体"/>
        </w:rPr>
        <w:t xml:space="preserve">7  记录控制</w:t>
      </w: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宋体" w:cs="宋体" w:eastAsia="宋体" w:hAnsi="宋体"/>
        </w:rPr>
        <w:t xml:space="preserve"> </w:t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p>
      <w:pPr>
        <w:sectPr>
          <w:headerReference w:type="default" r:id="rId16"/>
          <w:footerReference w:type="default" r:id="rId17"/>
          <w:pgSz w:w="11906" w:h="16838" w:orient="portrait"/>
          <w:pgMar w:top="1440" w:right="1802" w:bottom="1440" w:left="1802" w:header="708" w:footer="708" w:gutter="0"/>
          <w:pgNumType w:start="6" w:fmt="decimal"/>
          <w:docGrid w:linePitch="360"/>
        </w:sectPr>
      </w:pPr>
    </w:p>
    <w:p>
      <w:pPr>
        <w:spacing w:before="0" w:after="0"/>
        <w:jc w:val="both"/>
      </w:pPr>
      <w:r>
        <w:rPr>
          <w:color w:val="0a0a0a"/>
          <w:sz w:val="28"/>
          <w:szCs w:val="28"/>
          <w:rFonts w:ascii="Times New Roman" w:cs="Times New Roman" w:eastAsia="Times New Roman" w:hAnsi="Times New Roman"/>
        </w:rPr>
        <w:t xml:space="preserve">FM1402-29、FM1402-30</w:t>
      </w:r>
      <w:r>
        <w:rPr>
          <w:color w:val="0a0a0a"/>
          <w:sz w:val="28"/>
          <w:szCs w:val="28"/>
          <w:rFonts w:ascii="宋体" w:cs="宋体" w:eastAsia="宋体" w:hAnsi="宋体"/>
        </w:rPr>
        <w:t xml:space="preserve">由物流仓储中心保存，保存期限十年。</w:t>
      </w:r>
      <w:r>
        <w:rPr>
          <w:color w:val="0a0a0a"/>
          <w:sz w:val="28"/>
          <w:szCs w:val="28"/>
          <w:rFonts w:ascii="宋体" w:cs="宋体" w:eastAsia="宋体" w:hAnsi="宋体"/>
        </w:rPr>
        <w:br/>
      </w:r>
    </w:p>
    <w:p>
      <w:pPr>
        <w:spacing w:before="0" w:after="0" w:line="280" w:lineRule="exact"/>
      </w:pPr>
      <w:r>
        <w:rPr>
          <w:sz w:val="28"/>
          <w:szCs w:val="28"/>
          <w:rFonts w:ascii="宋体" w:cs="宋体" w:eastAsia="宋体" w:hAnsi="宋体"/>
        </w:rPr>
      </w:r>
    </w:p>
    <w:sectPr>
      <w:headerReference w:type="default" r:id="rId18"/>
      <w:footerReference w:type="default" r:id="rId19"/>
      <w:pgSz w:w="11906" w:h="16838" w:orient="portrait"/>
      <w:pgMar w:top="1440" w:right="1802" w:bottom="1440" w:left="1802" w:header="708" w:footer="708" w:gutter="0"/>
      <w:pgNumType w:start="7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6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er7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 第 </w:t>
      <w:fldChar w:fldCharType="begin"/>
      <w:instrText xml:space="preserve">PAGE</w:instrText>
      <w:fldChar w:fldCharType="separate"/>
      <w:fldChar w:fldCharType="end"/>
      <w:t xml:space="preserve"> 页 </w:t>
      <w:t xml:space="preserve">/</w:t>
      <w:t xml:space="preserve"> 共 </w:t>
      <w:fldChar w:fldCharType="begin"/>
      <w:instrText xml:space="preserve">NUMPAGES</w:instrText>
      <w:fldChar w:fldCharType="separate"/>
      <w:fldChar w:fldCharType="end"/>
      <w:t xml:space="preserve"> 页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2</w:t>
    </w:r>
    <w:r>
      <w:t xml:space="preserve">0</w:t>
    </w:r>
    <w:r>
      <w:t xml:space="preserve">2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2</w:t>
    </w:r>
    <w:r>
      <w:t xml:space="preserve">0</w:t>
    </w:r>
    <w:r>
      <w:t xml:space="preserve">2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2</w:t>
    </w:r>
    <w:r>
      <w:t xml:space="preserve">0</w:t>
    </w:r>
    <w:r>
      <w:t xml:space="preserve">2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2</w:t>
    </w:r>
    <w:r>
      <w:t xml:space="preserve">0</w:t>
    </w:r>
    <w:r>
      <w:t xml:space="preserve">2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2</w:t>
    </w:r>
    <w:r>
      <w:t xml:space="preserve">0</w:t>
    </w:r>
    <w:r>
      <w:t xml:space="preserve">2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6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2</w:t>
    </w:r>
    <w:r>
      <w:t xml:space="preserve">0</w:t>
    </w:r>
    <w:r>
      <w:t xml:space="preserve">2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header7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80000"/>
      </w:tabs>
      <w:jc w:val="right"/>
    </w:pPr>
    <w:r>
      <w:t xml:space="preserve">G</w:t>
    </w:r>
    <w:r>
      <w:t xml:space="preserve">L</w:t>
    </w:r>
    <w:r>
      <w:t xml:space="preserve">B</w:t>
    </w:r>
    <w:r>
      <w:t xml:space="preserve">1</w:t>
    </w:r>
    <w:r>
      <w:t xml:space="preserve">4</w:t>
    </w:r>
    <w:r>
      <w:t xml:space="preserve">0</w:t>
    </w:r>
    <w:r>
      <w:t xml:space="preserve">2</w:t>
    </w:r>
    <w:r>
      <w:t xml:space="preserve">0</w:t>
    </w:r>
    <w:r>
      <w:t xml:space="preserve">2</w:t>
    </w:r>
    <w:r>
      <w:t xml:space="preserve">0</w:t>
    </w:r>
    <w:r>
      <w:t xml:space="preserve">2</w:t>
    </w:r>
    <w:r>
      <w:t xml:space="preserve">-</w:t>
    </w:r>
    <w:r>
      <w:t xml:space="preserve">0</w:t>
    </w:r>
    <w:r>
      <w:t xml:space="preserve">6</w:t>
    </w:r>
    <w:r>
      <w:t xml:space="preserve">-</w:t>
    </w:r>
    <w:r>
      <w:t xml:space="preserve">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  <w:doNotExpandShiftReturn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8"/>
        <w:szCs w:val="28"/>
        <w:rFonts w:ascii="宋体" w:cs="宋体" w:eastAsia="宋体" w:hAnsi="宋体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40" w:after="330"/>
    </w:pPr>
    <w:rPr>
      <w:b/>
      <w:bCs/>
      <w:color w:val="000000"/>
      <w:sz w:val="44"/>
      <w:szCs w:val="44"/>
    </w:rPr>
  </w:style>
  <w:style w:type="paragraph" w:styleId="Heading2">
    <w:name w:val="Heading 2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60" w:after="260"/>
    </w:pPr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80" w:after="290"/>
    </w:pPr>
    <w:rPr>
      <w:b/>
      <w:bCs/>
      <w:color w:val="000000"/>
      <w:sz w:val="28"/>
      <w:szCs w:val="28"/>
    </w:rPr>
  </w:style>
  <w:style w:type="paragraph" w:styleId="Heading6">
    <w:name w:val="Heading 6"/>
    <w:basedOn w:val="Normal"/>
    <w:next w:val="Normal"/>
    <w:qFormat/>
    <w:pPr>
      <w:spacing w:before="240" w:after="64"/>
    </w:pPr>
    <w:rPr>
      <w:b/>
      <w:bCs/>
      <w:color w:val="000000"/>
      <w:sz w:val="24"/>
      <w:szCs w:val="24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Relationship Id="rId12" Type="http://schemas.openxmlformats.org/officeDocument/2006/relationships/header" Target="header4.xml"/><Relationship Id="rId13" Type="http://schemas.openxmlformats.org/officeDocument/2006/relationships/footer" Target="footer4.xml"/><Relationship Id="rId14" Type="http://schemas.openxmlformats.org/officeDocument/2006/relationships/header" Target="header5.xml"/><Relationship Id="rId15" Type="http://schemas.openxmlformats.org/officeDocument/2006/relationships/footer" Target="footer5.xml"/><Relationship Id="rId16" Type="http://schemas.openxmlformats.org/officeDocument/2006/relationships/header" Target="header6.xml"/><Relationship Id="rId17" Type="http://schemas.openxmlformats.org/officeDocument/2006/relationships/footer" Target="footer6.xml"/><Relationship Id="rId18" Type="http://schemas.openxmlformats.org/officeDocument/2006/relationships/header" Target="header7.xml"/><Relationship Id="rId19" Type="http://schemas.openxmlformats.org/officeDocument/2006/relationships/footer" Target="footer7.xml"/></Relationships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er4.xml.rels><?xml version="1.0" encoding="UTF-8"?><Relationships xmlns="http://schemas.openxmlformats.org/package/2006/relationships"/>
</file>

<file path=word/_rels/footer5.xml.rels><?xml version="1.0" encoding="UTF-8"?><Relationships xmlns="http://schemas.openxmlformats.org/package/2006/relationships"/>
</file>

<file path=word/_rels/footer6.xml.rels><?xml version="1.0" encoding="UTF-8"?><Relationships xmlns="http://schemas.openxmlformats.org/package/2006/relationships"/>
</file>

<file path=word/_rels/footer7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word/_rels/header6.xml.rels><?xml version="1.0" encoding="UTF-8"?><Relationships xmlns="http://schemas.openxmlformats.org/package/2006/relationships"/>
</file>

<file path=word/_rels/header7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Un-named</cp:lastModifiedBy>
  <cp:revision>1</cp:revision>
  <dcterms:created xsi:type="dcterms:W3CDTF">2026-06-10T08:14:03.383Z</dcterms:created>
  <dcterms:modified xsi:type="dcterms:W3CDTF">2026-06-10T08:14:03.383Z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