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本制度由质量安全部提出。</w:t>
      </w:r>
    </w:p>
    <w:p>
      <w:pPr>
        <w:spacing w:before="0" w:after="0"/>
        <w:jc w:val="both"/>
      </w:pPr>
      <w:r>
        <w:rPr>
          <w:color w:val="1b324f"/>
          <w:sz w:val="21"/>
          <w:szCs w:val="21"/>
          <w:rFonts w:ascii="宋体" w:cs="宋体" w:eastAsia="宋体" w:hAnsi="宋体"/>
        </w:rPr>
        <w:t xml:space="preserve">本制度由质量安全部负责解释。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32"/>
          <w:szCs w:val="32"/>
          <w:rFonts w:ascii="黑体" w:cs="黑体" w:eastAsia="黑体" w:hAnsi="黑体"/>
        </w:rPr>
        <w:t xml:space="preserve">MA700项目交付规范偏离管理标准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本文件规定了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MA700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项目交付规范偏离的管理要求。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本文件适用于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MA700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项目生产。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本文件依据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CB1500-004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和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GLC14080401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的要求制定。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    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    CB1500-004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机体结构供应商不合格品管理要求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    CB1500-001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机体结构供应商质量管理通用要求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    GLC14080401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不合格品控制管理程序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    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  质量记录管理程序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    GLB140806-04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MA700项目交付文件管理标准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  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 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  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TA09003A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交付规范偏离审理单（附录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A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）</w:t>
      </w:r>
    </w:p>
    <w:p>
      <w:pPr>
        <w:spacing w:before="0" w:after="0" w:line="210" w:lineRule="exact"/>
      </w:pPr>
      <w:r>
        <w:rPr>
          <w:color w:val="0070c0"/>
          <w:sz w:val="21"/>
          <w:szCs w:val="21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b324f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  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5.1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当产品未加工至工程图样要求的状态，不符合产品交付规范要求时，产品交付厂技术室工艺员填写交付规范偏离审理单（见附录A）。同时负责与西飞民机工程技术员人员沟通。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5.2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科技创新部副总工艺师负责对交付规范偏离单填写的内容进行审核，产品交付厂技术室工艺员提交西飞民机工程技术中心审理，并将批准后的单据下发。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5.3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产品交付厂按处理说明对产品进行相应处置，质量工程室检验人员负责对实施情况进行验证，并按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GLB140806-04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要求将交付规范偏离单录入交付文件随产品交付。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    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7.1 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交付规范偏离单的填写和维护按程序文件</w:t>
      </w: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GLC231008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要求执行。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7.2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产品交付厂负责保存交付规范偏离单，保存期限与飞机同寿命。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7.3 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记录到期后，上报航空工业西飞民机，根据航空工业西飞民机的处置意见对记录进行处理。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附录A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（资料性）</w:t>
      </w:r>
    </w:p>
    <w:p>
      <w:pPr>
        <w:spacing w:before="0" w:after="0"/>
        <w:jc w:val="right"/>
      </w:pPr>
      <w:r>
        <w:rPr>
          <w:color w:val="000000"/>
          <w:sz w:val="28"/>
          <w:szCs w:val="28"/>
          <w:rFonts w:ascii="Times New Roman" w:cs="Times New Roman" w:eastAsia="Times New Roman" w:hAnsi="Times New Roman"/>
        </w:rPr>
        <w:t xml:space="preserve">TA09003A</w:t>
      </w: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交付规范偏离审理单</w:t>
      </w:r>
    </w:p>
    <w:p>
      <w:pPr>
        <w:spacing w:before="0" w:after="0" w:line="210" w:lineRule="exact"/>
        <w:jc w:val="center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 w:line="280" w:lineRule="exact"/>
        <w:jc w:val="center"/>
      </w:pPr>
      <w:r>
        <w:rPr>
          <w:color w:val="000000"/>
          <w:sz w:val="28"/>
          <w:szCs w:val="28"/>
          <w:rFonts w:ascii="华文宋体" w:cs="华文宋体" w:eastAsia="华文宋体" w:hAnsi="华文宋体"/>
        </w:rPr>
      </w:r>
    </w:p>
    <w:p>
      <w:pPr>
        <w:spacing w:before="0" w:after="0"/>
        <w:jc w:val="center"/>
      </w:pPr>
      <w:r>
        <w:drawing>
          <wp:inline distT="0" distB="0" distL="0" distR="0">
            <wp:extent cx="5044942" cy="6216215"/>
            <wp:effectExtent b="0" l="0" r="0" t="0"/>
            <wp:docPr id="1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4942" cy="621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填表说明：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（1）—（3）栏：产品交付厂技术室工艺员填写；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（4）栏：Y21-PL-单位代码-年代号（四位）-顺序号（三位）；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（5）—（10）栏：产品交付厂技术室工艺员填写；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（11）栏：科技创新部副总工艺师签署；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（12）—（14）栏：西飞民机工程技术人员填写；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（15）栏：西飞民机副总工艺师签署；</w:t>
      </w:r>
    </w:p>
    <w:p>
      <w:pPr>
        <w:spacing w:before="0" w:after="0"/>
        <w:jc w:val="left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（16）栏：实施单位填写。</w:t>
      </w:r>
    </w:p>
    <w:sectPr>
      <w:headerReference w:type="default" r:id="rId14"/>
      <w:footerReference w:type="default" r:id="rId15"/>
      <w:pgSz w:w="11906" w:h="16838" w:orient="portrait"/>
      <w:pgMar w:top="1440" w:right="1802" w:bottom="1440" w:left="1802" w:header="708" w:footer="708" w:gutter="0"/>
      <w:pgNumType w:start="5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8</w:t>
    </w:r>
    <w:r>
      <w:t xml:space="preserve">0</w:t>
    </w:r>
    <w:r>
      <w:t xml:space="preserve">4</w:t>
    </w:r>
    <w:r>
      <w:t xml:space="preserve">0</w:t>
    </w:r>
    <w:r>
      <w:t xml:space="preserve">1</w:t>
    </w:r>
    <w:r>
      <w:t xml:space="preserve">-</w:t>
    </w:r>
    <w:r>
      <w:t xml:space="preserve">0</w:t>
    </w:r>
    <w:r>
      <w:t xml:space="preserve">9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image" Target="media/sex0ehj4lgoxiuwrftybe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2026-06-11T03:14:51.987Z</dcterms:created>
  <dcterms:modified xsi:type="dcterms:W3CDTF">2026-06-11T03:14:51.987Z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