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本制度由工程研发事业部提出和起草。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本制度由工程研发事业部负责解释。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工程MRB人员管理标准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pStyle w:val="Heading1"/>
        <w:spacing w:before="0" w:after="0"/>
        <w:jc w:val="both"/>
      </w:pPr>
      <w:bookmarkStart w:name="_Toc76df" w:id="1"/>
      <w:r>
        <w:rPr>
          <w:color w:val="1b324f"/>
          <w:sz w:val="28"/>
          <w:szCs w:val="28"/>
          <w:rFonts w:ascii="黑体" w:cs="黑体" w:eastAsia="黑体" w:hAnsi="黑体"/>
        </w:rPr>
        <w:t xml:space="preserve">1  范围 </w:t>
      </w:r>
      <w:bookmarkEnd w:id="1"/>
    </w:p>
    <w:p>
      <w:pPr>
        <w:spacing w:before="0" w:after="0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pStyle w:val="Heading1"/>
        <w:spacing w:before="0" w:after="0"/>
        <w:jc w:val="both"/>
      </w:pPr>
      <w:bookmarkStart w:name="_Tocef46" w:id="1"/>
      <w:r>
        <w:rPr>
          <w:color w:val="1b324f"/>
          <w:sz w:val="28"/>
          <w:szCs w:val="28"/>
          <w:rFonts w:ascii="宋体" w:cs="宋体" w:eastAsia="宋体" w:hAnsi="宋体"/>
        </w:rPr>
        <w:t xml:space="preserve">本程序规定了工程MRB人员的培训和资质管理标准。</w:t>
      </w:r>
      <w:bookmarkEnd w:id="1"/>
    </w:p>
    <w:p>
      <w:pPr>
        <w:pStyle w:val="Heading1"/>
        <w:spacing w:before="0" w:after="0"/>
        <w:jc w:val="both"/>
      </w:pPr>
      <w:bookmarkStart w:name="_Toc86ff" w:id="1"/>
      <w:r>
        <w:rPr>
          <w:color w:val="1b324f"/>
          <w:sz w:val="28"/>
          <w:szCs w:val="28"/>
          <w:rFonts w:ascii="宋体" w:cs="宋体" w:eastAsia="宋体" w:hAnsi="宋体"/>
        </w:rPr>
        <w:t xml:space="preserve">本程序适用于民机项目。</w:t>
      </w:r>
      <w:bookmarkEnd w:id="1"/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本程序依据GLC14080402的要求制定。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pStyle w:val="Heading1"/>
        <w:spacing w:before="0" w:after="0"/>
        <w:jc w:val="both"/>
      </w:pPr>
      <w:bookmarkStart w:name="_Toc1dd4" w:id="1"/>
      <w:r>
        <w:rPr>
          <w:color w:val="1b324f"/>
          <w:sz w:val="28"/>
          <w:szCs w:val="28"/>
          <w:rFonts w:ascii="黑体" w:cs="黑体" w:eastAsia="黑体" w:hAnsi="黑体"/>
        </w:rPr>
        <w:t xml:space="preserve">2  引用文件 </w:t>
      </w:r>
      <w:bookmarkEnd w:id="1"/>
    </w:p>
    <w:p>
      <w:pPr>
        <w:spacing w:before="0" w:after="0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pStyle w:val="Heading1"/>
        <w:spacing w:before="0" w:after="0"/>
        <w:jc w:val="both"/>
      </w:pPr>
      <w:bookmarkStart w:name="_Toc0d52" w:id="1"/>
      <w:r>
        <w:rPr>
          <w:color w:val="1b324f"/>
          <w:sz w:val="28"/>
          <w:szCs w:val="28"/>
          <w:rFonts w:ascii="宋体" w:cs="宋体" w:eastAsia="宋体" w:hAnsi="宋体"/>
        </w:rPr>
        <w:t xml:space="preserve">GLC14080402 工程MRB处置管理程序</w:t>
      </w:r>
      <w:bookmarkEnd w:id="1"/>
    </w:p>
    <w:p>
      <w:pPr>
        <w:pStyle w:val="Heading1"/>
        <w:spacing w:before="0" w:after="0"/>
        <w:jc w:val="both"/>
      </w:pPr>
      <w:bookmarkStart w:name="_Toc64d3" w:id="1"/>
      <w:r>
        <w:rPr>
          <w:color w:val="1b324f"/>
          <w:sz w:val="28"/>
          <w:szCs w:val="28"/>
          <w:rFonts w:ascii="宋体" w:cs="宋体" w:eastAsia="宋体" w:hAnsi="宋体"/>
        </w:rPr>
        <w:t xml:space="preserve">GLC240602  培训组织实施管理程序</w:t>
      </w:r>
      <w:bookmarkEnd w:id="1"/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             </w:t>
      </w:r>
    </w:p>
    <w:p>
      <w:pPr>
        <w:pStyle w:val="Heading1"/>
        <w:spacing w:before="0" w:after="0"/>
        <w:jc w:val="both"/>
      </w:pPr>
      <w:bookmarkStart w:name="_Toc9158" w:id="1"/>
      <w:r>
        <w:rPr>
          <w:color w:val="1b324f"/>
          <w:sz w:val="28"/>
          <w:szCs w:val="28"/>
          <w:rFonts w:ascii="宋体" w:cs="宋体" w:eastAsia="宋体" w:hAnsi="宋体"/>
        </w:rPr>
        <w:t xml:space="preserve">GLC240603  培训效果评估管理程序</w:t>
      </w:r>
      <w:bookmarkEnd w:id="1"/>
    </w:p>
    <w:p>
      <w:pPr>
        <w:pStyle w:val="Heading1"/>
        <w:spacing w:before="0" w:after="0"/>
        <w:jc w:val="both"/>
      </w:pPr>
      <w:bookmarkStart w:name="_Toc2375" w:id="1"/>
      <w:r>
        <w:rPr>
          <w:color w:val="1b324f"/>
          <w:sz w:val="28"/>
          <w:szCs w:val="28"/>
          <w:rFonts w:ascii="宋体" w:cs="宋体" w:eastAsia="宋体" w:hAnsi="宋体"/>
        </w:rPr>
        <w:t xml:space="preserve">GLC240606  员工岗位资格管理程序</w:t>
      </w:r>
      <w:bookmarkEnd w:id="1"/>
    </w:p>
    <w:p>
      <w:pPr>
        <w:pStyle w:val="Heading1"/>
        <w:spacing w:before="0" w:after="0"/>
        <w:jc w:val="both"/>
      </w:pPr>
      <w:bookmarkStart w:name="_Toc69e7" w:id="1"/>
      <w:r>
        <w:rPr>
          <w:color w:val="1b324f"/>
          <w:sz w:val="28"/>
          <w:szCs w:val="28"/>
          <w:rFonts w:ascii="宋体" w:cs="宋体" w:eastAsia="宋体" w:hAnsi="宋体"/>
        </w:rPr>
        <w:t xml:space="preserve">GLC240607  培训教材大纲和培训教材管理程序</w:t>
      </w:r>
      <w:bookmarkEnd w:id="1"/>
    </w:p>
    <w:p>
      <w:pPr>
        <w:pStyle w:val="Heading1"/>
        <w:spacing w:before="0" w:after="0"/>
        <w:jc w:val="both"/>
      </w:pPr>
      <w:bookmarkStart w:name="_Toc5554" w:id="1"/>
      <w:r>
        <w:rPr>
          <w:color w:val="1b324f"/>
          <w:sz w:val="28"/>
          <w:szCs w:val="28"/>
          <w:rFonts w:ascii="宋体" w:cs="宋体" w:eastAsia="宋体" w:hAnsi="宋体"/>
        </w:rPr>
        <w:t xml:space="preserve">GLC231008   质量记录管理程序</w:t>
      </w:r>
      <w:bookmarkEnd w:id="1"/>
    </w:p>
    <w:p>
      <w:pPr>
        <w:pStyle w:val="Heading1"/>
        <w:spacing w:before="0" w:after="0"/>
        <w:jc w:val="both"/>
      </w:pPr>
      <w:bookmarkStart w:name="_Toca2c4" w:id="1"/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  <w:bookmarkEnd w:id="1"/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规定表格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40" w:lineRule="exact"/>
        <w:jc w:val="left"/>
      </w:pPr>
      <w:r>
        <w:rPr>
          <w:color w:val="1b324f"/>
          <w:sz w:val="24"/>
          <w:szCs w:val="24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 </w:t>
      </w:r>
    </w:p>
    <w:p>
      <w:pPr>
        <w:spacing w:before="0" w:after="0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规定 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 工程MRB培训分为上岗培训和其它培训，其中上岗培训为对申请工程MRB授权人员的最低培训要求，工程MRB人员应结合申请人员的专业背景和工作经历，从其它培训中选择课程进行额外培训,培训清单见附录A。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  对申请工程MRB授权人员，需要在一名工程MRB人员监督下完成现场在岗带教培训至少1年，且完成至少20份现场处置，才可获得工程MRB正式授权资格。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5.3  若申请工程MRB授权人员曾获得其它项目工程MRB授权，应评估型号之间的差异，对差异部分进行培训和考核，在岗带教培训不得少于6个月，完成现场处置份数不少于10份。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5.4  其他培训为按需考核，型号培训中结构、机械系统、电子电气、动力燃油、强度和其它共6个专业培训仅在授权该专业时适用,详见附录A。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5.5  已获得工程MRB授权人员，在申请该型号的其他专业授权时，只需要通过新申请专业的考核。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5.6  对于参与设计的项目，按客户要求进行工程MRB人员管理。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5.7  工程研发事业部对FM1408-98和FM1408-99进行保留和登记。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5.8  其他要求按GLC14080402、GLC240602、GLC240603、GLC240606和GLC240407执行。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5.9 工程MRB人员要求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5.9.1 热爱祖国，爱岗敬业，具有诚实的素质、客观公正的工作作风、正确的判断力、良好的沟通协作能力和认真负责的工作态度，理解并恪守“保证飞机安全”的工作准则。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5.9.2  具备大学本科及以上学历，具备良好的英语沟通能力和读写能力。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5.9.3  五年以上专业背景（航空、机械、电子、材料等相关专业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），具备丰富的工作经验和独立工作能力。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5.9.4  工程MRB人员必须获得工程MRB个人授权，包括取得外部工程MRB授权，或按工程研发事业部FM1408-98/FM1408-99信息和GLC240606具备公司工程MRB岗位资格。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  记录控制 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 相关记录的填写和维护按程序文件GLC231008要求执行。</w:t>
      </w:r>
    </w:p>
    <w:p>
      <w:pPr>
        <w:spacing w:before="0" w:after="0" w:line="240" w:lineRule="exact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</w:r>
    </w:p>
    <w:p>
      <w:pPr>
        <w:spacing w:before="0" w:after="0" w:line="240" w:lineRule="exact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 w:line="240" w:lineRule="exact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</w:r>
    </w:p>
    <w:p>
      <w:pPr>
        <w:spacing w:before="0" w:after="0" w:line="240" w:lineRule="exact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   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    </w:t>
      </w:r>
      <w:r>
        <w:rPr>
          <w:color w:val="000000"/>
          <w:sz w:val="24"/>
          <w:szCs w:val="24"/>
          <w:rFonts w:ascii="黑体" w:cs="黑体" w:eastAsia="黑体" w:hAnsi="黑体"/>
        </w:rPr>
        <w:t xml:space="preserve">  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     附录A （规范性附录）</w:t>
      </w:r>
    </w:p>
    <w:p>
      <w:pPr>
        <w:spacing w:before="0" w:after="0"/>
        <w:jc w:val="left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                 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表1 工程MRB培训清单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类别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编号及内容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方式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建议学时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管理培训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GLC140405_工程MRB处置管理程序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</w:tr>
      <w:tr>
        <w:trPr>
          <w:tblHeader w:val="false"/>
          <w:trHeight w:val="1575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GLB140405-01_工程MRB人员管理标准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</w:tr>
      <w:tr>
        <w:trPr>
          <w:tblHeader w:val="false"/>
          <w:trHeight w:val="1575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GLC140402不合格品控制管理程序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575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T-03-01-0005工程MRB政策及成员行为准则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类别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编号及内容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方式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建议学时</w:t>
            </w:r>
          </w:p>
        </w:tc>
      </w:tr>
      <w:tr>
        <w:trPr>
          <w:tblHeader w:val="false"/>
          <w:trHeight w:val="2070" w:hRule="atLeast"/>
        </w:trPr>
        <w:tc>
          <w:tcPr>
            <w:tcW w:type="dxa" w:w="20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通用培训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T-03-01-0006民用飞机偏离处置材料、标准件选用基础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50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T-03-01-0007偏离处置的客户影响评估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56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T-03-01-0008构型管理与控制基础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T-03-01-0009质量适航基础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T-03-01-0010专业设计基础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T-03-01-0011典型工艺基础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</w:tbl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3315"/>
        <w:gridCol w:w="825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类别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编号及内容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方式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建议学时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型号培训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T-03-01-0012结构专业制造偏离处置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T-03-01-0013机械系统专业制造偏离处置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T-03-01-0014电子电气专业制造偏离处置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T-03-01-0015动力燃油专业制造偏离处置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T-03-01-0016强度专业制造偏离处置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T-03-01-0017其它专业制造偏离处置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65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T-03-01-0018制孔超差处置方法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T-03-01-0019轮廓外形超差处置方法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65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T-03-01-0020损伤超差处置方法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T-03-01-0021零组件配合超差处置方法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T-03-01-0022紧固件安装超差处置方法</w:t>
            </w:r>
          </w:p>
        </w:tc>
        <w:tc>
          <w:tcPr>
            <w:tcW w:type="dxa" w:w="3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</w:t>
            </w:r>
          </w:p>
        </w:tc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 w:line="210" w:lineRule="exact"/>
        <w:jc w:val="lef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类别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编号及内容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方式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建议学时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其他培训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T-03-01-0001项目识图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面授/自学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</w:tr>
      <w:tr>
        <w:trPr>
          <w:tblHeader w:val="false"/>
          <w:trHeight w:val="1575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T-03-01-0002民用飞机联络工程术语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面授/自学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</w:tr>
      <w:tr>
        <w:trPr>
          <w:tblHeader w:val="false"/>
          <w:trHeight w:val="1575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T-03-01-0003公差的计算及应用基础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面授/自学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T-03-01-0004工具及信息化平台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面授/自学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</w:tr>
    </w:tbl>
    <w:p>
      <w:pPr>
        <w:spacing w:before="0" w:after="0" w:line="210" w:lineRule="exact"/>
        <w:jc w:val="lef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sectPr>
      <w:headerReference w:type="default" r:id="rId20"/>
      <w:footerReference w:type="default" r:id="rId21"/>
      <w:pgSz w:w="11906" w:h="16838" w:orient="portrait"/>
      <w:pgMar w:top="1440" w:right="1802" w:bottom="1440" w:left="1802" w:header="708" w:footer="708" w:gutter="0"/>
      <w:pgNumType w:start="8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2026-06-11T03:27:03.528Z</dcterms:created>
  <dcterms:modified xsi:type="dcterms:W3CDTF">2026-06-11T03:27:03.528Z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