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本制度由工程研发事业部提出和起草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本制度由工程研发事业部负责解释。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工程MRB处置管理程序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按客户要求完成对现场问题的工程MRB处置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本文件适用于民机项目。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本文件依据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GLG1408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集成制造质量管理规则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1758801700000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GLG2310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档案管理规则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GLC14080401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不合格品控制管理程序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FM1408-97     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故障拒收处置报告(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SACC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)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FM1408-98     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器材评审委员会成员推荐表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FM1408-99     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器材评审委员会成员撤销申请表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        FM1408-83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  拒收报告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4.1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 MRB Material Review Board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是指器材评审委员会，由工程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MRB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和质量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MRB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组成，其目的是建立一个相互（供应商和客户）可接受的标准，通过评审和处置不符合设计图纸的情况，将其恢复到符合图纸（设计）意图的状态，并确保产品的完整性。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4.2 重大不符合性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Major Non-conformance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是指对航空产品以下方面产生负面影响的缺陷：重量和平衡极限、结构强度、性能、发动机操纵、飞行特性或其它影响适航或环境参数的质量问题，多数这类缺陷将影响损伤容限分析，特别对重要零件或主结构件的标准检查周期产生影响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4.3 一般不符合性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Minor Non-conformance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是指不包含在重大不符合性之外的其它所有不符合性，一般不符合性偏离了设计要求但是没有影响认证基本原则。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4.4 纠正措施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Corrective Action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为防止同样或类似不符合性重复发生而采取的措施。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4.5 运营方影响 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Affection For The Customer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对于对运营方有影响的工程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MRB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处置方案,需要在处置时选择运营方影响的类型(分为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R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和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C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两类,英文全称分别为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Restriction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和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Concession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),其中对飞机性能、结构寿命、维护性、损伤容限、外观、阶差、可见表面间隙、互换性、潜在降低返修能力等有重大影响选择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R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，有较小影响的选择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C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 工程研发事业部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工程研发事业部负责对已获得授权的项目给出工程处置方案。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6.1 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6.2 风险管理要求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</w:t>
            </w: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MRB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处置方案对运营方造成影响的风险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</w:t>
            </w: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MRB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处置方案对运营商造成影响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对于对运营方有影响的处置方案，及时反馈运营方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 通用要求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不合格项分为重大不符合性和一般不符合性，供应商不允许出现重大不符合性。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6.3.2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收到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FM1408-83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或客户发出的外部拒收后，工程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MRB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人员可对不合格品作“初步处理”（作为后续处置步骤的前置环节）“返工”、“报废”和“退回供应商”、“原样使用”、“返修”处置，处置时需使用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FM1408-97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，报告批准人员需经过授权。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6.3.3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处置过程需结构、强度、系统、重量与平衡、气动等相关专业综合评估，按需在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FM1408-97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中进行会签。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6.3.4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对于对运营方有影响的工程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MRB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处置方案,由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MRB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人员通知运营方，如运营方不能接受现有处置方案，按运营方要求执行。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6.3.5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材料代用（含标准件替代）不可通过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MRB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处置。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6.3.6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设计制造一体化及自主研发项目工程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MRB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授权专业及编号分为：结构-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10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；机械系统-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20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；电子电气-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30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；动力燃油-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40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；强度-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50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.其他-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60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工程MRB处置管理程序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7.1.1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工程MRB处置管理程序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3088549" cy="8315325"/>
            <wp:effectExtent b="0" l="0" r="0" t="0"/>
            <wp:docPr id="1" name="LAST_TFD_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549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7.1.2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工程MRB处置管理程序</w:t>
      </w:r>
      <w:r>
        <w:rPr>
          <w:color w:val="121212"/>
          <w:sz w:val="28"/>
          <w:szCs w:val="28"/>
          <w:rFonts w:ascii="黑体" w:cs="黑体" w:eastAsia="黑体" w:hAnsi="黑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（1）外部拒收或拒收报告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部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拒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拒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发出FM1408-83或客户发出外部拒收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315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外部拒收提出人员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质量控制室技术员；质量工程室技术工程师；质量工程室检验员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拒收报告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拒收报告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（2）调查现场</w:t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454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调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场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人员到现场查看零/组件的拒收信息，确认拒收报告中描述信息准确且没有遗漏，确认拒收报告附带图片中信息充足；判断拒收是如何发生的，包括外部撞击、运输、工艺错误以及人为失误等，把握情况；查阅以前的记录看是否有重复或相似的情况。与检验或工艺人员商讨是否需要更多的信息或示图；判断是否需要纠正措施，如有需要及时将需要纠正的信息反馈相关人员，以避免此类问题重复发生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2天</w:t>
            </w:r>
          </w:p>
        </w:tc>
      </w:tr>
      <w:tr>
        <w:trPr>
          <w:tblHeader w:val="false"/>
          <w:trHeight w:val="418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现场问题调查、分析和处置人员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联络工程室设计员；联络工程室设计工程师；联络工程室高级设计工程师；联络工程室主管设计工程师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产品拒收处置报告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拒收报告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（3）分析原因</w:t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355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因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需要分析但不限于：不合格零/组件是否能被修复到图纸状态或满足图纸要求；对装配、构型和功能是否有影响；是否影响结构完整性；是否影响疲劳；拒收组件或大装配能否再利用；维修所用的材料、紧固件以及工具等是否有库存以满足生产进度。其它分析按工程图纸及处置相关的技术规范要求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2天</w:t>
            </w:r>
          </w:p>
        </w:tc>
      </w:tr>
      <w:tr>
        <w:trPr>
          <w:tblHeader w:val="false"/>
          <w:trHeight w:val="418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现场问题调查、分析和处置人员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联络工程室设计员；联络工程室设计工程师；联络工程室高级设计工程师；联络工程室主管设计工程师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产品拒收处置报告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拒收报告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（4）询问相关技术人员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57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询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术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利用所有可利用的沟通渠道和文件，以了解和处置拒收问题，包括质量、运营、工程、工艺、标准和规范文件等。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2天</w:t>
            </w:r>
          </w:p>
        </w:tc>
      </w:tr>
      <w:tr>
        <w:trPr>
          <w:tblHeader w:val="false"/>
          <w:trHeight w:val="270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工程MRB处置其他专业相关人员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总体室设计员；结构二室设计员；结构一室设计员；强度室设计员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产品拒收处置报告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拒收报告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（5）工程处置</w:t>
      </w:r>
    </w:p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405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置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处置类型分为返工、返修、报废、原样使用、退回供应商、初步处理。确保书写清晰简洁，布局合理，逻辑准确且信息完整，填写FM1408-97，并提交审签。应用工程制图理论，按需绘制整洁和准确的工程示意图，内容应包括拒收报告编号、项/件号、架次号、设计员姓名、图纸要求、文字说明等信息。处置要符合设计意图及相关技术规范要求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2天</w:t>
            </w:r>
          </w:p>
        </w:tc>
      </w:tr>
      <w:tr>
        <w:trPr>
          <w:tblHeader w:val="false"/>
          <w:trHeight w:val="418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现场问题调查、分析和处置人员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联络工程室设计员；联络工程室设计工程师；联络工程室高级设计工程师；联络工程室主管设计工程师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产品拒收处置报告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拒收报告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14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36"/>
          <w:footerReference w:type="default" r:id="rId37"/>
          <w:pgSz w:w="11906" w:h="16838" w:orient="portrait"/>
          <w:pgMar w:top="1440" w:right="1802" w:bottom="1440" w:left="1802" w:header="708" w:footer="708" w:gutter="0"/>
          <w:pgNumType w:start="1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8"/>
          <w:footerReference w:type="default" r:id="rId39"/>
          <w:pgSz w:w="11906" w:h="16838" w:orient="portrait"/>
          <w:pgMar w:top="1440" w:right="1802" w:bottom="1440" w:left="1802" w:header="708" w:footer="708" w:gutter="0"/>
          <w:pgNumType w:start="1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（6）工程处置批准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准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对工程处置方案进行审批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270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工程MRB授权人员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联络工程室主管设计工程师；联络工程室高级设计工程师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产品拒收处置报告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拒收报告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工程MRB人员管理标准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工程MRB处置方案对运营方造成影响的风险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40"/>
          <w:footerReference w:type="default" r:id="rId41"/>
          <w:pgSz w:w="11906" w:h="16838" w:orient="portrait"/>
          <w:pgMar w:top="1440" w:right="1802" w:bottom="1440" w:left="1802" w:header="708" w:footer="708" w:gutter="0"/>
          <w:pgNumType w:start="18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外部拒收提出人员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负责提出拒收报告</w:t>
            </w:r>
          </w:p>
        </w:tc>
      </w:tr>
      <w:tr>
        <w:trPr>
          <w:tblHeader w:val="false"/>
          <w:trHeight w:val="256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</w:t>
            </w: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MRB</w:t>
            </w:r>
            <w:r>
              <w:rPr>
                <w:color w:val="1b324f"/>
                <w:sz w:val="28"/>
                <w:szCs w:val="28"/>
                <w:rFonts w:ascii="宋体" w:cs="宋体" w:eastAsia="宋体" w:hAnsi="宋体"/>
                <w:shd w:fill="ffffff" w:color="auto" w:val="clear"/>
              </w:rPr>
              <w:t xml:space="preserve">现场问题调查、分析程和处置人员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负责对现场问题进行调查、分析并给出处置意见</w:t>
            </w:r>
          </w:p>
        </w:tc>
      </w:tr>
      <w:tr>
        <w:trPr>
          <w:tblHeader w:val="false"/>
          <w:trHeight w:val="205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</w:t>
            </w: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MRB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处置其他专业相关人员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负责对工程处置意见进行强度、气动、结构等专业评估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</w:t>
            </w: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MRB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授权人员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负责对工程</w:t>
            </w: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MRB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方案进行批准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工程MRB处置失误造成的返工率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承接AS9100标准中不合格输出的控制要求，内涵为-工程MRB处置失误造成的返工率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42"/>
          <w:footerReference w:type="default" r:id="rId43"/>
          <w:pgSz w:w="11906" w:h="16838" w:orient="portrait"/>
          <w:pgMar w:top="1440" w:right="1802" w:bottom="1440" w:left="1802" w:header="708" w:footer="708" w:gutter="0"/>
          <w:pgNumType w:start="1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05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工程MRB处置失误造成的返工项数/应发总项数×100%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年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客户平台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GLB14080402-01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工程MRB人员管理标准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   相关记录的填写和维护按程序文件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44"/>
      <w:footerReference w:type="default" r:id="rId45"/>
      <w:pgSz w:w="11906" w:h="16838" w:orient="portrait"/>
      <w:pgMar w:top="1440" w:right="1802" w:bottom="1440" w:left="1802" w:header="708" w:footer="708" w:gutter="0"/>
      <w:pgNumType w:start="20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         </w:t>
    </w: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image" Target="media/ymlazslslurbfhnogno48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2026-06-11T03:24:59.176Z</dcterms:created>
  <dcterms:modified xsi:type="dcterms:W3CDTF">2026-06-11T03:24:59.176Z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