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  <Override ContentType="application/vnd.openxmlformats-officedocument.wordprocessingml.header+xml" PartName="/word/header6.xml"/>
  <Override ContentType="application/vnd.openxmlformats-officedocument.wordprocessingml.footer+xml" PartName="/word/footer6.xml"/>
  <Override ContentType="application/vnd.openxmlformats-officedocument.wordprocessingml.header+xml" PartName="/word/header7.xml"/>
  <Override ContentType="application/vnd.openxmlformats-officedocument.wordprocessingml.footer+xml" PartName="/word/footer7.xml"/>
  <Override ContentType="application/vnd.openxmlformats-officedocument.wordprocessingml.header+xml" PartName="/word/header8.xml"/>
  <Override ContentType="application/vnd.openxmlformats-officedocument.wordprocessingml.footer+xml" PartName="/word/footer8.xml"/>
  <Override ContentType="application/vnd.openxmlformats-officedocument.wordprocessingml.header+xml" PartName="/word/header9.xml"/>
  <Override ContentType="application/vnd.openxmlformats-officedocument.wordprocessingml.footer+xml" PartName="/word/footer9.xml"/>
  <Override ContentType="application/vnd.openxmlformats-officedocument.wordprocessingml.header+xml" PartName="/word/header10.xml"/>
  <Override ContentType="application/vnd.openxmlformats-officedocument.wordprocessingml.footer+xml" PartName="/word/footer10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  <w:jc w:val="center"/>
      </w:pPr>
      <w:r>
        <w:rPr>
          <w:color w:val="121212"/>
          <w:sz w:val="28"/>
          <w:szCs w:val="28"/>
          <w:rFonts w:ascii="华文黑体" w:cs="华文黑体" w:eastAsia="华文黑体" w:hAnsi="华文黑体"/>
        </w:rPr>
        <w:t xml:space="preserve">前   言</w:t>
      </w:r>
    </w:p>
    <w:p>
      <w:pPr>
        <w:spacing w:before="0" w:after="0"/>
        <w:jc w:val="both"/>
      </w:pPr>
      <w:r>
        <w:rPr>
          <w:color w:val="121212"/>
          <w:sz w:val="21"/>
          <w:szCs w:val="21"/>
          <w:rFonts w:ascii="宋体" w:cs="宋体" w:eastAsia="宋体" w:hAnsi="宋体"/>
        </w:rPr>
        <w:t xml:space="preserve">本制度属于运行类管理制度。</w:t>
      </w:r>
    </w:p>
    <w:p>
      <w:pPr>
        <w:spacing w:before="0" w:after="0"/>
        <w:jc w:val="both"/>
      </w:pPr>
      <w:r>
        <w:rPr>
          <w:color w:val="121212"/>
          <w:sz w:val="21"/>
          <w:szCs w:val="21"/>
          <w:rFonts w:ascii="宋体" w:cs="宋体" w:eastAsia="宋体" w:hAnsi="宋体"/>
        </w:rPr>
        <w:t xml:space="preserve">本制度由项目管理部提出。</w:t>
      </w:r>
    </w:p>
    <w:p>
      <w:pPr>
        <w:spacing w:before="0" w:after="0"/>
        <w:jc w:val="both"/>
      </w:pPr>
      <w:r>
        <w:rPr>
          <w:color w:val="121212"/>
          <w:sz w:val="21"/>
          <w:szCs w:val="21"/>
          <w:rFonts w:ascii="宋体" w:cs="宋体" w:eastAsia="宋体" w:hAnsi="宋体"/>
        </w:rPr>
        <w:t xml:space="preserve">本制度由项目管理部负责解释。</w:t>
      </w:r>
      <w:r>
        <w:rPr>
          <w:sz w:val="28"/>
          <w:szCs w:val="28"/>
          <w:rFonts w:ascii="宋体" w:cs="宋体" w:eastAsia="宋体" w:hAnsi="宋体"/>
        </w:rPr>
        <w:br/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ectPr>
          <w:headerReference w:type="default" r:id="rId6"/>
          <w:footerReference w:type="default" r:id="rId7"/>
          <w:pgSz w:w="11906" w:h="16838" w:orient="portrait"/>
          <w:pgMar w:top="1440" w:right="1802" w:bottom="1440" w:left="1802" w:header="708" w:footer="708" w:gutter="0"/>
          <w:pgNumType w:start="1" w:fmt="decimal"/>
          <w:docGrid w:linePitch="360"/>
        </w:sectPr>
      </w:pPr>
    </w:p>
    <w:p>
      <w:pPr>
        <w:spacing w:before="0" w:after="0"/>
        <w:jc w:val="center"/>
      </w:pPr>
      <w:r>
        <w:rPr>
          <w:sz w:val="28"/>
          <w:szCs w:val="28"/>
          <w:rFonts w:ascii="黑体" w:cs="黑体" w:eastAsia="黑体" w:hAnsi="黑体"/>
        </w:rPr>
        <w:t xml:space="preserve">制造执行过程优化管理程序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1  范围</w:t>
      </w:r>
    </w:p>
    <w:p>
      <w:pPr>
        <w:spacing w:before="0" w:after="0" w:line="280" w:lineRule="exact"/>
      </w:pPr>
      <w:r>
        <w:rPr>
          <w:color w:val="121212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宋体" w:cs="宋体" w:eastAsia="宋体" w:hAnsi="宋体"/>
        </w:rPr>
        <w:t xml:space="preserve">本文规定了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根据计划执行监控情况，查找策划过程及执行过程问题，指定优化措施并执行的过程。</w:t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宋体" w:cs="宋体" w:eastAsia="宋体" w:hAnsi="宋体"/>
        </w:rPr>
        <w:t xml:space="preserve">本文件适用于民机生产。</w:t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宋体" w:cs="宋体" w:eastAsia="宋体" w:hAnsi="宋体"/>
        </w:rPr>
        <w:t xml:space="preserve">本文件依据GLC1403制定。</w:t>
      </w:r>
    </w:p>
    <w:p>
      <w:pPr>
        <w:spacing w:before="0" w:after="0" w:line="280" w:lineRule="exact"/>
      </w:pPr>
      <w:r>
        <w:rPr>
          <w:color w:val="121212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2  规范性引用文件</w:t>
      </w:r>
    </w:p>
    <w:p>
      <w:pPr>
        <w:spacing w:before="0" w:after="0" w:line="280" w:lineRule="exact"/>
      </w:pPr>
      <w:r>
        <w:rPr>
          <w:color w:val="121212"/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0"/>
        <w:gridCol w:w="1650"/>
        <w:gridCol w:w="1650"/>
        <w:gridCol w:w="1650"/>
        <w:gridCol w:w="1650"/>
      </w:tblGrid>
      <w:tr>
        <w:trPr>
          <w:tblHeader w:val="false"/>
          <w:trHeight w:val="630" w:hRule="atLeast"/>
        </w:trPr>
        <w:tc>
          <w:tcPr>
            <w:tcW w:type="dxa" w:w="165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sz w:val="28"/>
                <w:szCs w:val="28"/>
                <w:rFonts w:ascii="宋体" w:cs="宋体" w:eastAsia="宋体" w:hAnsi="宋体"/>
              </w:rPr>
              <w:t xml:space="preserve">编号</w:t>
            </w:r>
          </w:p>
        </w:tc>
        <w:tc>
          <w:tcPr>
            <w:tcW w:type="dxa" w:w="165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sz w:val="28"/>
                <w:szCs w:val="28"/>
                <w:rFonts w:ascii="宋体" w:cs="宋体" w:eastAsia="宋体" w:hAnsi="宋体"/>
              </w:rPr>
              <w:t xml:space="preserve">名称</w:t>
            </w:r>
          </w:p>
        </w:tc>
        <w:tc>
          <w:tcPr>
            <w:tcW w:type="dxa" w:w="165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sz w:val="28"/>
                <w:szCs w:val="28"/>
                <w:rFonts w:ascii="宋体" w:cs="宋体" w:eastAsia="宋体" w:hAnsi="宋体"/>
              </w:rPr>
              <w:t xml:space="preserve">密级</w:t>
            </w:r>
          </w:p>
        </w:tc>
        <w:tc>
          <w:tcPr>
            <w:tcW w:type="dxa" w:w="165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sz w:val="28"/>
                <w:szCs w:val="28"/>
                <w:rFonts w:ascii="宋体" w:cs="宋体" w:eastAsia="宋体" w:hAnsi="宋体"/>
              </w:rPr>
              <w:t xml:space="preserve">文件类别</w:t>
            </w:r>
          </w:p>
        </w:tc>
        <w:tc>
          <w:tcPr>
            <w:tcW w:type="dxa" w:w="165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sz w:val="28"/>
                <w:szCs w:val="28"/>
                <w:rFonts w:ascii="宋体" w:cs="宋体" w:eastAsia="宋体" w:hAnsi="宋体"/>
              </w:rPr>
              <w:t xml:space="preserve">发布时间</w:t>
            </w:r>
          </w:p>
        </w:tc>
      </w:tr>
      <w:tr>
        <w:trPr>
          <w:tblHeader w:val="false"/>
          <w:trHeight w:val="1080" w:hRule="atLeast"/>
        </w:trPr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GLG1403</w:t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装配生产过程管理规则</w:t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公开</w:t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管理规则</w:t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</w:tbl>
    <w:p>
      <w:pPr>
        <w:spacing w:before="0" w:after="0"/>
        <w:jc w:val="both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3  表格</w:t>
      </w:r>
    </w:p>
    <w:p>
      <w:pPr>
        <w:spacing w:before="0" w:after="0" w:line="280" w:lineRule="exact"/>
      </w:pPr>
      <w:r>
        <w:rPr>
          <w:color w:val="121212"/>
          <w:sz w:val="28"/>
          <w:szCs w:val="28"/>
          <w:rFonts w:ascii="黑体" w:cs="黑体" w:eastAsia="黑体" w:hAnsi="黑体"/>
        </w:rPr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3.1 规定表格</w:t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无</w:t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3.2引用表格</w:t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无</w:t>
      </w:r>
    </w:p>
    <w:p>
      <w:pPr>
        <w:spacing w:before="0" w:after="0" w:line="280" w:lineRule="exact"/>
      </w:pPr>
      <w:r>
        <w:rPr>
          <w:color w:val="121212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4  术语和定义</w:t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宋体" w:cs="宋体" w:eastAsia="宋体" w:hAnsi="宋体"/>
        </w:rPr>
        <w:t xml:space="preserve">无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ectPr>
          <w:headerReference w:type="default" r:id="rId8"/>
          <w:footerReference w:type="default" r:id="rId9"/>
          <w:pgSz w:w="11906" w:h="16838" w:orient="portrait"/>
          <w:pgMar w:top="1440" w:right="1802" w:bottom="1440" w:left="1802" w:header="708" w:footer="708" w:gutter="0"/>
          <w:pgNumType w:start="2" w:fmt="decimal"/>
          <w:docGrid w:linePitch="360"/>
        </w:sectPr>
      </w:pP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5  机构与职责</w:t>
      </w:r>
    </w:p>
    <w:p>
      <w:pPr>
        <w:spacing w:before="0" w:after="0" w:line="280" w:lineRule="exact"/>
      </w:pPr>
      <w:r>
        <w:rPr>
          <w:color w:val="121212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  <w:shd w:fill="ffffff" w:color="auto" w:val="clear"/>
        </w:rPr>
        <w:t xml:space="preserve">IPT 业务代表（制造执行过程优化管理）</w:t>
      </w:r>
      <w:r>
        <w:rPr>
          <w:color w:val="000000"/>
          <w:sz w:val="28"/>
          <w:szCs w:val="28"/>
          <w:rFonts w:ascii="宋体" w:cs="宋体" w:eastAsia="宋体" w:hAnsi="宋体"/>
          <w:shd w:fill="ffffff" w:color="auto" w:val="clear"/>
        </w:rPr>
        <w:t xml:space="preserve">主要职责如下：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  <w:shd w:fill="ffffff" w:color="auto" w:val="clear"/>
        </w:rPr>
        <w:t xml:space="preserve">a）负责收集制造执行过程中可优化的信息，同步登记至《FM140306-01 制造执行过程优化记录表》；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  <w:shd w:fill="ffffff" w:color="auto" w:val="clear"/>
        </w:rPr>
        <w:t xml:space="preserve">b）负责执行制造执行流程的优化动作，并将优化成果固化为制度文件；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  <w:shd w:fill="ffffff" w:color="auto" w:val="clear"/>
        </w:rPr>
        <w:t xml:space="preserve">c）负责《FM140306-01 制造执行过程优化记录表》的填写、存档与全流程管理。</w:t>
      </w:r>
    </w:p>
    <w:p>
      <w:pPr>
        <w:spacing w:before="0" w:after="0" w:line="280" w:lineRule="exact"/>
      </w:pPr>
      <w:r>
        <w:rPr>
          <w:color w:val="121212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华文黑体" w:cs="华文黑体" w:eastAsia="华文黑体" w:hAnsi="华文黑体"/>
        </w:rPr>
        <w:t xml:space="preserve">6  要求</w:t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6.1合规管理要求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无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6.2风险管理要求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无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6.3制造执行过程优化管理要求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6.3.1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流程启动触发制造执行过程优化管理流程，明确由 IPT 业务代表牵头开展优化相关工作。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6.3.2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收集优化信息并登记IPT 业务代表操作：梳理制造执行过程中可优化的业务信息，同步填写《FM140306-01 制造执行过程优化记录表》，完整记录待优化内容、场景等信息并完成存档。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6.3.3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执行流程优化并形成制度IPT 业务代表操作：基于已收集的优化信息，落地制造执行流程的优化动作；待优化效果验证后，将优化后的流程内容固化为正式制度文件，同时更新《FM140306-01 制造执行过程优化记录表》的 “优化成果” 模块。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6.3.4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流程结束制造执行过程的信息收集、流程优化、制度形成及表单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ectPr>
          <w:headerReference w:type="default" r:id="rId10"/>
          <w:footerReference w:type="default" r:id="rId11"/>
          <w:pgSz w:w="11906" w:h="16838" w:orient="portrait"/>
          <w:pgMar w:top="1440" w:right="1802" w:bottom="1440" w:left="1802" w:header="708" w:footer="708" w:gutter="0"/>
          <w:pgNumType w:start="3" w:fmt="decimal"/>
          <w:docGrid w:linePitch="360"/>
        </w:sectPr>
      </w:pP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存档工作全部完成后，本管理流程闭合。</w:t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7  流程</w:t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7.1 </w:t>
      </w:r>
      <w:r>
        <w:rPr>
          <w:sz w:val="28"/>
          <w:szCs w:val="28"/>
          <w:rFonts w:ascii="黑体" w:cs="黑体" w:eastAsia="黑体" w:hAnsi="黑体"/>
        </w:rPr>
        <w:t xml:space="preserve">制造执行过程优化流程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7.1.1  制造执行过程优化流程图</w:t>
      </w:r>
    </w:p>
    <w:p>
      <w:pPr>
        <w:spacing w:before="0" w:after="0"/>
        <w:jc w:val="both"/>
      </w:pPr>
      <w:r>
        <w:rPr>
          <w:color w:val="ff9821"/>
          <w:sz w:val="28"/>
          <w:szCs w:val="28"/>
          <w:rFonts w:ascii="宋体" w:cs="宋体" w:eastAsia="宋体" w:hAnsi="宋体"/>
        </w:rPr>
        <w:t xml:space="preserve">无数据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华文黑体" w:cs="华文黑体" w:eastAsia="华文黑体" w:hAnsi="华文黑体"/>
        </w:rPr>
        <w:t xml:space="preserve">7.1.2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制造执行过程优化</w:t>
      </w:r>
      <w:r>
        <w:rPr>
          <w:color w:val="000000"/>
          <w:sz w:val="28"/>
          <w:szCs w:val="28"/>
          <w:rFonts w:ascii="华文宋体" w:cs="华文宋体" w:eastAsia="华文宋体" w:hAnsi="华文宋体"/>
        </w:rPr>
        <w:t xml:space="preserve">流程说明表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（1）收集需优化的流程信息并登记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ectPr>
          <w:headerReference w:type="default" r:id="rId12"/>
          <w:footerReference w:type="default" r:id="rId13"/>
          <w:pgSz w:w="11906" w:h="16838" w:orient="portrait"/>
          <w:pgMar w:top="1440" w:right="1802" w:bottom="1440" w:left="1802" w:header="708" w:footer="708" w:gutter="0"/>
          <w:pgNumType w:start="4" w:fmt="decimal"/>
          <w:docGrid w:linePitch="360"/>
        </w:sectPr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920"/>
        <w:gridCol w:w="1920"/>
        <w:gridCol w:w="1920"/>
        <w:gridCol w:w="1920"/>
      </w:tblGrid>
      <w:tr>
        <w:trPr>
          <w:tblHeader w:val="false"/>
          <w:trHeight w:val="630" w:hRule="atLeast"/>
        </w:trPr>
        <w:tc>
          <w:tcPr>
            <w:tcW w:type="dxa" w:w="600"/>
            <w:gridSpan w:val="1"/>
            <w:vMerge w:val="restart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收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集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需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优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化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的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流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程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信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息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并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登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记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步骤描述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收集需优化的流程信息并登记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活动频率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1天</w:t>
            </w:r>
          </w:p>
        </w:tc>
      </w:tr>
      <w:tr>
        <w:trPr>
          <w:tblHeader w:val="false"/>
          <w:trHeight w:val="793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  <w:p>
            <w:pPr>
              <w:spacing w:before="0" w:after="0"/>
              <w:jc w:val="left"/>
            </w:pPr>
          </w:p>
          <w:p>
            <w:pPr>
              <w:spacing w:before="0" w:after="0"/>
              <w:jc w:val="left"/>
            </w:pPr>
          </w:p>
          <w:p>
            <w:pPr>
              <w:spacing w:before="0" w:after="0"/>
              <w:jc w:val="left"/>
            </w:pPr>
          </w:p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流程角色</w:t>
            </w:r>
          </w:p>
          <w:p>
            <w:pPr>
              <w:spacing w:before="0" w:after="0"/>
              <w:jc w:val="left"/>
            </w:pPr>
          </w:p>
          <w:p>
            <w:pPr>
              <w:spacing w:before="0" w:after="0"/>
              <w:jc w:val="left"/>
            </w:pPr>
          </w:p>
          <w:p>
            <w:pPr>
              <w:spacing w:before="0" w:after="0"/>
              <w:jc w:val="left"/>
            </w:pPr>
          </w:p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IPT业务代表</w:t>
            </w:r>
          </w:p>
          <w:p>
            <w:pPr>
              <w:spacing w:before="0" w:after="0"/>
              <w:jc w:val="left"/>
            </w:pPr>
          </w:p>
          <w:p>
            <w:pPr>
              <w:spacing w:before="0" w:after="0"/>
              <w:jc w:val="left"/>
            </w:pPr>
          </w:p>
          <w:p>
            <w:pPr>
              <w:spacing w:before="0" w:after="0"/>
              <w:jc w:val="left"/>
            </w:pPr>
          </w:p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岗位</w:t>
            </w:r>
          </w:p>
          <w:p>
            <w:pPr>
              <w:spacing w:before="0" w:after="0"/>
              <w:jc w:val="left"/>
            </w:pPr>
          </w:p>
          <w:p>
            <w:pPr>
              <w:spacing w:before="0" w:after="0"/>
              <w:jc w:val="left"/>
            </w:pPr>
          </w:p>
          <w:p>
            <w:pPr>
              <w:spacing w:before="0" w:after="0"/>
              <w:jc w:val="left"/>
            </w:pPr>
          </w:p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质量控制室技术员；生产控制室计划员；技术办公室技术员；商务管理室供应链管理员；数据管理室技术员；生产组织室计划员；生产计划室计划员；国际项目室项目助理；国内项目室项目助理；A220项目室项目助理</w:t>
            </w:r>
          </w:p>
        </w:tc>
      </w:tr>
      <w:tr>
        <w:trPr>
          <w:tblHeader w:val="false"/>
          <w:trHeight w:val="157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输入物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FM140306-01制造执行过程优化记录表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输出物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FM140306-01制造执行过程优化记录表</w:t>
            </w:r>
          </w:p>
        </w:tc>
      </w:tr>
      <w:tr>
        <w:trPr>
          <w:tblHeader w:val="false"/>
          <w:trHeight w:val="630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合规条款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228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作业执行标准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2940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风险及应对措施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</w:tbl>
    <w:p>
      <w:pPr>
        <w:sectPr>
          <w:headerReference w:type="default" r:id="rId14"/>
          <w:footerReference w:type="default" r:id="rId15"/>
          <w:pgSz w:w="11906" w:h="16838" w:orient="portrait"/>
          <w:pgMar w:top="1440" w:right="1802" w:bottom="1440" w:left="1802" w:header="708" w:footer="708" w:gutter="0"/>
          <w:pgNumType w:start="5" w:fmt="decimal"/>
          <w:docGrid w:linePitch="360"/>
        </w:sectPr>
      </w:pP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br/>
      </w:r>
    </w:p>
    <w:p>
      <w:pPr>
        <w:sectPr>
          <w:headerReference w:type="default" r:id="rId16"/>
          <w:footerReference w:type="default" r:id="rId17"/>
          <w:pgSz w:w="11906" w:h="16838" w:orient="portrait"/>
          <w:pgMar w:top="1440" w:right="1802" w:bottom="1440" w:left="1802" w:header="708" w:footer="708" w:gutter="0"/>
          <w:pgNumType w:start="6" w:fmt="decimal"/>
          <w:docGrid w:linePitch="360"/>
        </w:sectPr>
      </w:pP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（2）执行相关流程优化并形成制度</w:t>
      </w:r>
    </w:p>
    <w:p>
      <w:pPr>
        <w:sectPr>
          <w:headerReference w:type="default" r:id="rId18"/>
          <w:footerReference w:type="default" r:id="rId19"/>
          <w:pgSz w:w="11906" w:h="16838" w:orient="portrait"/>
          <w:pgMar w:top="1440" w:right="1802" w:bottom="1440" w:left="1802" w:header="708" w:footer="708" w:gutter="0"/>
          <w:pgNumType w:start="7" w:fmt="decimal"/>
          <w:docGrid w:linePitch="360"/>
        </w:sectPr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920"/>
        <w:gridCol w:w="1920"/>
        <w:gridCol w:w="1920"/>
        <w:gridCol w:w="1920"/>
      </w:tblGrid>
      <w:tr>
        <w:trPr>
          <w:tblHeader w:val="false"/>
          <w:trHeight w:val="630" w:hRule="atLeast"/>
        </w:trPr>
        <w:tc>
          <w:tcPr>
            <w:tcW w:type="dxa" w:w="600"/>
            <w:gridSpan w:val="1"/>
            <w:vMerge w:val="restart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执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行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相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关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流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程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优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化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并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形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成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制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度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步骤描述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执行相关流程优化并形成制度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活动频率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1小时</w:t>
            </w:r>
          </w:p>
        </w:tc>
      </w:tr>
      <w:tr>
        <w:trPr>
          <w:tblHeader w:val="false"/>
          <w:trHeight w:val="9000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流程角色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IPT业务代表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岗位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质量控制室技术员；生产控制室计划员；技术办公室技术员；生产控制室计划员；商务管理室供应链管理员；数据管理室技术员；生产组织室计划员；生产计划室计划员；国际项目室项目助理；国内项目室项目助理；A220项目室项目助理</w:t>
            </w:r>
          </w:p>
        </w:tc>
      </w:tr>
      <w:tr>
        <w:trPr>
          <w:tblHeader w:val="false"/>
          <w:trHeight w:val="2160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输入物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FM140306-01制造执行过程优化记录表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输出物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FM140306-01制造执行过程优化记录表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合规条款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630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作业执行标准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11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风险及应对措施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</w:tbl>
    <w:p>
      <w:pPr>
        <w:sectPr>
          <w:headerReference w:type="default" r:id="rId20"/>
          <w:footerReference w:type="default" r:id="rId21"/>
          <w:pgSz w:w="11906" w:h="16838" w:orient="portrait"/>
          <w:pgMar w:top="1440" w:right="1802" w:bottom="1440" w:left="1802" w:header="708" w:footer="708" w:gutter="0"/>
          <w:pgNumType w:start="8" w:fmt="decimal"/>
          <w:docGrid w:linePitch="360"/>
        </w:sectPr>
      </w:pP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br/>
      </w:r>
    </w:p>
    <w:p>
      <w:pPr>
        <w:sectPr>
          <w:headerReference w:type="default" r:id="rId22"/>
          <w:footerReference w:type="default" r:id="rId23"/>
          <w:pgSz w:w="11906" w:h="16838" w:orient="portrait"/>
          <w:pgMar w:top="1440" w:right="1802" w:bottom="1440" w:left="1802" w:header="708" w:footer="708" w:gutter="0"/>
          <w:pgNumType w:start="9" w:fmt="decimal"/>
          <w:docGrid w:linePitch="360"/>
        </w:sectPr>
      </w:pP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8  流程角色职责表</w:t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宋体" w:cs="宋体" w:eastAsia="宋体" w:hAnsi="宋体"/>
        </w:rPr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30"/>
        <w:gridCol w:w="6780"/>
      </w:tblGrid>
      <w:tr>
        <w:trPr>
          <w:tblHeader w:val="false"/>
          <w:trHeight w:val="630" w:hRule="atLeast"/>
        </w:trPr>
        <w:tc>
          <w:tcPr>
            <w:tcW w:type="dxa" w:w="153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sz w:val="28"/>
                <w:szCs w:val="28"/>
                <w:rFonts w:ascii="华文宋体" w:cs="华文宋体" w:eastAsia="华文宋体" w:hAnsi="华文宋体"/>
              </w:rPr>
              <w:t xml:space="preserve">角色名称</w:t>
            </w:r>
          </w:p>
        </w:tc>
        <w:tc>
          <w:tcPr>
            <w:tcW w:type="dxa" w:w="678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sz w:val="28"/>
                <w:szCs w:val="28"/>
                <w:rFonts w:ascii="华文宋体" w:cs="华文宋体" w:eastAsia="华文宋体" w:hAnsi="华文宋体"/>
              </w:rPr>
              <w:t xml:space="preserve">职责</w:t>
            </w:r>
          </w:p>
        </w:tc>
      </w:tr>
      <w:tr>
        <w:trPr>
          <w:tblHeader w:val="false"/>
          <w:trHeight w:val="1080" w:hRule="atLeast"/>
        </w:trPr>
        <w:tc>
          <w:tcPr>
            <w:tcW w:type="dxa" w:w="153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IPT业务代表</w:t>
            </w:r>
          </w:p>
        </w:tc>
        <w:tc>
          <w:tcPr>
            <w:tcW w:type="dxa" w:w="678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收集信息登记并形成制度</w:t>
            </w:r>
          </w:p>
        </w:tc>
      </w:tr>
    </w:tbl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9  流程绩效指标表</w:t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无</w:t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10  建立如下管理标准支持本程序</w:t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无</w:t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11  记录控制</w:t>
      </w:r>
    </w:p>
    <w:p>
      <w:pPr>
        <w:spacing w:before="0" w:after="0" w:line="280" w:lineRule="exact"/>
      </w:pPr>
      <w:r>
        <w:rPr>
          <w:color w:val="121212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相关记录的填写和维护按程序文件GLC231008要求执行。</w:t>
      </w:r>
      <w:r>
        <w:rPr>
          <w:sz w:val="28"/>
          <w:szCs w:val="28"/>
          <w:rFonts w:ascii="宋体" w:cs="宋体" w:eastAsia="宋体" w:hAnsi="宋体"/>
        </w:rPr>
        <w:br/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sectPr>
      <w:headerReference w:type="default" r:id="rId24"/>
      <w:footerReference w:type="default" r:id="rId25"/>
      <w:pgSz w:w="11906" w:h="16838" w:orient="portrait"/>
      <w:pgMar w:top="1440" w:right="1802" w:bottom="1440" w:left="1802" w:header="708" w:footer="708" w:gutter="0"/>
      <w:pgNumType w:start="10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3</w:t>
    </w:r>
    <w:r>
      <w:t xml:space="preserve">0</w:t>
    </w:r>
    <w:r>
      <w:t xml:space="preserve">6</w:t>
    </w:r>
    <w:r>
      <w:t xml:space="preserve">-</w:t>
    </w:r>
    <w:r>
      <w:t xml:space="preserve">A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3</w:t>
    </w:r>
    <w:r>
      <w:t xml:space="preserve">0</w:t>
    </w:r>
    <w:r>
      <w:t xml:space="preserve">6</w:t>
    </w:r>
    <w:r>
      <w:t xml:space="preserve">-</w:t>
    </w:r>
    <w:r>
      <w:t xml:space="preserve">A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3</w:t>
    </w:r>
    <w:r>
      <w:t xml:space="preserve">0</w:t>
    </w:r>
    <w:r>
      <w:t xml:space="preserve">6</w:t>
    </w:r>
    <w:r>
      <w:t xml:space="preserve">-</w:t>
    </w:r>
    <w:r>
      <w:t xml:space="preserve">A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3</w:t>
    </w:r>
    <w:r>
      <w:t xml:space="preserve">0</w:t>
    </w:r>
    <w:r>
      <w:t xml:space="preserve">6</w:t>
    </w:r>
    <w:r>
      <w:t xml:space="preserve">-</w:t>
    </w:r>
    <w:r>
      <w:t xml:space="preserve">A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3</w:t>
    </w:r>
    <w:r>
      <w:t xml:space="preserve">0</w:t>
    </w:r>
    <w:r>
      <w:t xml:space="preserve">6</w:t>
    </w:r>
    <w:r>
      <w:t xml:space="preserve">-</w:t>
    </w:r>
    <w:r>
      <w:t xml:space="preserve">A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3</w:t>
    </w:r>
    <w:r>
      <w:t xml:space="preserve">0</w:t>
    </w:r>
    <w:r>
      <w:t xml:space="preserve">6</w:t>
    </w:r>
    <w:r>
      <w:t xml:space="preserve">-</w:t>
    </w:r>
    <w:r>
      <w:t xml:space="preserve">A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3</w:t>
    </w:r>
    <w:r>
      <w:t xml:space="preserve">0</w:t>
    </w:r>
    <w:r>
      <w:t xml:space="preserve">6</w:t>
    </w:r>
    <w:r>
      <w:t xml:space="preserve">-</w:t>
    </w:r>
    <w:r>
      <w:t xml:space="preserve">A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3</w:t>
    </w:r>
    <w:r>
      <w:t xml:space="preserve">0</w:t>
    </w:r>
    <w:r>
      <w:t xml:space="preserve">6</w:t>
    </w:r>
    <w:r>
      <w:t xml:space="preserve">-</w:t>
    </w:r>
    <w:r>
      <w:t xml:space="preserve">A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3</w:t>
    </w:r>
    <w:r>
      <w:t xml:space="preserve">0</w:t>
    </w:r>
    <w:r>
      <w:t xml:space="preserve">6</w:t>
    </w:r>
    <w:r>
      <w:t xml:space="preserve">-</w:t>
    </w:r>
    <w:r>
      <w:t xml:space="preserve">A</w: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3</w:t>
    </w:r>
    <w:r>
      <w:t xml:space="preserve">0</w:t>
    </w:r>
    <w:r>
      <w:t xml:space="preserve">6</w:t>
    </w:r>
    <w:r>
      <w:t xml:space="preserve">-</w:t>
    </w:r>
    <w:r>
      <w:t xml:space="preserve">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  <w:doNotExpandShiftReturn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8"/>
        <w:szCs w:val="28"/>
        <w:rFonts w:ascii="宋体" w:cs="宋体" w:eastAsia="宋体" w:hAnsi="宋体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40" w:after="330"/>
    </w:pPr>
    <w:rPr>
      <w:b/>
      <w:bCs/>
      <w:color w:val="000000"/>
      <w:sz w:val="44"/>
      <w:szCs w:val="44"/>
    </w:rPr>
  </w:style>
  <w:style w:type="paragraph" w:styleId="Heading2">
    <w:name w:val="Heading 2"/>
    <w:basedOn w:val="Normal"/>
    <w:next w:val="Normal"/>
    <w:qFormat/>
    <w:pPr>
      <w:spacing w:before="260" w:after="260"/>
    </w:pPr>
    <w:rPr>
      <w:b/>
      <w:bCs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spacing w:before="260" w:after="260"/>
    </w:pPr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pPr>
      <w:spacing w:before="280" w:after="290"/>
    </w:pPr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pPr>
      <w:spacing w:before="280" w:after="290"/>
    </w:pPr>
    <w:rPr>
      <w:b/>
      <w:bCs/>
      <w:color w:val="000000"/>
      <w:sz w:val="28"/>
      <w:szCs w:val="28"/>
    </w:rPr>
  </w:style>
  <w:style w:type="paragraph" w:styleId="Heading6">
    <w:name w:val="Heading 6"/>
    <w:basedOn w:val="Normal"/>
    <w:next w:val="Normal"/>
    <w:qFormat/>
    <w:pPr>
      <w:spacing w:before="240" w:after="64"/>
    </w:pPr>
    <w:rPr>
      <w:b/>
      <w:bCs/>
      <w:color w:val="000000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header" Target="header4.xml"/><Relationship Id="rId13" Type="http://schemas.openxmlformats.org/officeDocument/2006/relationships/footer" Target="footer4.xml"/><Relationship Id="rId14" Type="http://schemas.openxmlformats.org/officeDocument/2006/relationships/header" Target="header5.xml"/><Relationship Id="rId15" Type="http://schemas.openxmlformats.org/officeDocument/2006/relationships/footer" Target="footer5.xml"/><Relationship Id="rId16" Type="http://schemas.openxmlformats.org/officeDocument/2006/relationships/header" Target="header6.xml"/><Relationship Id="rId17" Type="http://schemas.openxmlformats.org/officeDocument/2006/relationships/footer" Target="footer6.xml"/><Relationship Id="rId18" Type="http://schemas.openxmlformats.org/officeDocument/2006/relationships/header" Target="header7.xml"/><Relationship Id="rId19" Type="http://schemas.openxmlformats.org/officeDocument/2006/relationships/footer" Target="footer7.xml"/><Relationship Id="rId20" Type="http://schemas.openxmlformats.org/officeDocument/2006/relationships/header" Target="header8.xml"/><Relationship Id="rId21" Type="http://schemas.openxmlformats.org/officeDocument/2006/relationships/footer" Target="footer8.xml"/><Relationship Id="rId22" Type="http://schemas.openxmlformats.org/officeDocument/2006/relationships/header" Target="header9.xml"/><Relationship Id="rId23" Type="http://schemas.openxmlformats.org/officeDocument/2006/relationships/footer" Target="footer9.xml"/><Relationship Id="rId24" Type="http://schemas.openxmlformats.org/officeDocument/2006/relationships/header" Target="header10.xml"/><Relationship Id="rId25" Type="http://schemas.openxmlformats.org/officeDocument/2006/relationships/footer" Target="footer10.xml"/></Relationships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er8.xml.rels><?xml version="1.0" encoding="UTF-8"?><Relationships xmlns="http://schemas.openxmlformats.org/package/2006/relationships"/>
</file>

<file path=word/_rels/footer9.xml.rels><?xml version="1.0" encoding="UTF-8"?><Relationships xmlns="http://schemas.openxmlformats.org/package/2006/relationships"/>
</file>

<file path=word/_rels/footer10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word/_rels/header7.xml.rels><?xml version="1.0" encoding="UTF-8"?><Relationships xmlns="http://schemas.openxmlformats.org/package/2006/relationships"/>
</file>

<file path=word/_rels/header8.xml.rels><?xml version="1.0" encoding="UTF-8"?><Relationships xmlns="http://schemas.openxmlformats.org/package/2006/relationships"/>
</file>

<file path=word/_rels/header9.xml.rels><?xml version="1.0" encoding="UTF-8"?><Relationships xmlns="http://schemas.openxmlformats.org/package/2006/relationships"/>
</file>

<file path=word/_rels/header10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Un-named</cp:lastModifiedBy>
  <cp:revision>1</cp:revision>
  <dcterms:created xsi:type="dcterms:W3CDTF">2026-06-10T08:46:10.706Z</dcterms:created>
  <dcterms:modified xsi:type="dcterms:W3CDTF">2026-06-10T08:46:10.706Z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