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7"/>
        <w:tblW w:w="9720"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28" w:type="dxa"/>
          <w:bottom w:w="0" w:type="dxa"/>
          <w:right w:w="28" w:type="dxa"/>
        </w:tblCellMar>
      </w:tblPr>
      <w:tblGrid>
        <w:gridCol w:w="713"/>
        <w:gridCol w:w="720"/>
        <w:gridCol w:w="317"/>
        <w:gridCol w:w="666"/>
        <w:gridCol w:w="629"/>
        <w:gridCol w:w="1050"/>
        <w:gridCol w:w="505"/>
        <w:gridCol w:w="559"/>
        <w:gridCol w:w="574"/>
        <w:gridCol w:w="476"/>
        <w:gridCol w:w="1036"/>
        <w:gridCol w:w="481"/>
        <w:gridCol w:w="583"/>
        <w:gridCol w:w="1411"/>
      </w:tblGrid>
      <w:tr w14:paraId="4CA65FC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1857" w:hRule="atLeast"/>
          <w:jc w:val="center"/>
        </w:trPr>
        <w:tc>
          <w:tcPr>
            <w:tcW w:w="9720" w:type="dxa"/>
            <w:gridSpan w:val="14"/>
            <w:tcBorders>
              <w:top w:val="single" w:color="auto" w:sz="12" w:space="0"/>
              <w:left w:val="single" w:color="auto" w:sz="12" w:space="0"/>
              <w:right w:val="single" w:color="auto" w:sz="12" w:space="0"/>
            </w:tcBorders>
            <w:vAlign w:val="center"/>
          </w:tcPr>
          <w:p w14:paraId="397EA93C">
            <w:pPr>
              <w:spacing w:line="360" w:lineRule="auto"/>
              <w:jc w:val="center"/>
              <w:rPr>
                <w:rFonts w:hint="default" w:ascii="黑体" w:hAnsi="Times" w:eastAsia="黑体" w:cs="Times New Roman"/>
                <w:bCs/>
                <w:spacing w:val="20"/>
                <w:sz w:val="36"/>
                <w:szCs w:val="36"/>
                <w:lang w:val="en-US" w:eastAsia="zh-CN"/>
              </w:rPr>
            </w:pPr>
            <w:bookmarkStart w:id="1" w:name="_GoBack"/>
            <w:bookmarkEnd w:id="1"/>
            <w:r>
              <w:rPr>
                <w:rFonts w:hint="eastAsia" w:ascii="黑体" w:hAnsi="Times" w:eastAsia="黑体" w:cs="Times New Roman"/>
                <w:bCs/>
                <w:spacing w:val="20"/>
                <w:sz w:val="36"/>
                <w:szCs w:val="36"/>
                <w:lang w:val="en-US" w:eastAsia="zh-CN"/>
              </w:rPr>
              <w:t>沈阳昌兴复材航空科技有限责任公司</w:t>
            </w:r>
          </w:p>
          <w:p w14:paraId="3927F14A">
            <w:pPr>
              <w:spacing w:line="360" w:lineRule="auto"/>
              <w:jc w:val="center"/>
              <w:rPr>
                <w:rFonts w:ascii="宋体"/>
                <w:spacing w:val="160"/>
                <w:sz w:val="36"/>
                <w:szCs w:val="36"/>
              </w:rPr>
            </w:pPr>
            <w:r>
              <w:rPr>
                <w:rFonts w:hint="eastAsia" w:ascii="黑体" w:hAnsi="Times" w:eastAsia="黑体" w:cs="Times New Roman"/>
                <w:bCs/>
                <w:spacing w:val="20"/>
                <w:sz w:val="36"/>
                <w:szCs w:val="36"/>
                <w:lang w:val="en-US" w:eastAsia="zh-CN"/>
              </w:rPr>
              <w:t>制 度 文 件</w:t>
            </w:r>
          </w:p>
        </w:tc>
      </w:tr>
      <w:tr w14:paraId="4CBDAFB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cantSplit/>
          <w:trHeight w:val="640" w:hRule="atLeast"/>
          <w:jc w:val="center"/>
        </w:trPr>
        <w:tc>
          <w:tcPr>
            <w:tcW w:w="1750" w:type="dxa"/>
            <w:gridSpan w:val="3"/>
            <w:vMerge w:val="restart"/>
            <w:tcBorders>
              <w:left w:val="single" w:color="auto" w:sz="12" w:space="0"/>
            </w:tcBorders>
            <w:vAlign w:val="center"/>
          </w:tcPr>
          <w:p w14:paraId="75E46437">
            <w:pPr>
              <w:spacing w:line="400" w:lineRule="exact"/>
              <w:jc w:val="center"/>
              <w:rPr>
                <w:rFonts w:hint="eastAsia" w:ascii="黑体" w:eastAsia="黑体"/>
                <w:sz w:val="28"/>
                <w:szCs w:val="36"/>
              </w:rPr>
            </w:pPr>
            <w:r>
              <w:rPr>
                <w:rFonts w:hint="eastAsia" w:ascii="黑体" w:eastAsia="黑体"/>
                <w:sz w:val="28"/>
                <w:szCs w:val="36"/>
              </w:rPr>
              <w:t>文件名称</w:t>
            </w:r>
          </w:p>
        </w:tc>
        <w:tc>
          <w:tcPr>
            <w:tcW w:w="3983" w:type="dxa"/>
            <w:gridSpan w:val="6"/>
            <w:vMerge w:val="restart"/>
            <w:vAlign w:val="center"/>
          </w:tcPr>
          <w:p w14:paraId="27310145">
            <w:pPr>
              <w:spacing w:line="400" w:lineRule="exact"/>
              <w:jc w:val="center"/>
              <w:rPr>
                <w:rFonts w:hint="default" w:ascii="黑体" w:eastAsia="黑体"/>
                <w:sz w:val="28"/>
                <w:szCs w:val="36"/>
                <w:lang w:val="en-US" w:eastAsia="zh-CN"/>
              </w:rPr>
            </w:pPr>
            <w:r>
              <w:rPr>
                <w:rFonts w:hint="eastAsia" w:ascii="黑体" w:eastAsia="黑体"/>
                <w:sz w:val="28"/>
                <w:szCs w:val="36"/>
                <w:lang w:val="en-US" w:eastAsia="zh-CN"/>
              </w:rPr>
              <w:t>财务成本核算管理程序</w:t>
            </w:r>
          </w:p>
        </w:tc>
        <w:tc>
          <w:tcPr>
            <w:tcW w:w="1993" w:type="dxa"/>
            <w:gridSpan w:val="3"/>
            <w:tcBorders>
              <w:bottom w:val="single" w:color="auto" w:sz="4" w:space="0"/>
            </w:tcBorders>
            <w:vAlign w:val="center"/>
          </w:tcPr>
          <w:p w14:paraId="05863CB5">
            <w:pPr>
              <w:spacing w:line="400" w:lineRule="exact"/>
              <w:jc w:val="center"/>
              <w:rPr>
                <w:rFonts w:hint="eastAsia" w:ascii="黑体" w:eastAsia="黑体"/>
                <w:sz w:val="28"/>
                <w:szCs w:val="36"/>
              </w:rPr>
            </w:pPr>
            <w:r>
              <w:rPr>
                <w:rFonts w:hint="eastAsia" w:ascii="黑体" w:eastAsia="黑体"/>
                <w:sz w:val="28"/>
                <w:szCs w:val="36"/>
              </w:rPr>
              <w:t>文件编号</w:t>
            </w:r>
          </w:p>
        </w:tc>
        <w:tc>
          <w:tcPr>
            <w:tcW w:w="1994" w:type="dxa"/>
            <w:gridSpan w:val="2"/>
            <w:tcBorders>
              <w:bottom w:val="single" w:color="auto" w:sz="4" w:space="0"/>
              <w:right w:val="single" w:color="auto" w:sz="12" w:space="0"/>
            </w:tcBorders>
            <w:vAlign w:val="center"/>
          </w:tcPr>
          <w:p w14:paraId="087069A2">
            <w:pPr>
              <w:spacing w:line="400" w:lineRule="exact"/>
              <w:jc w:val="center"/>
              <w:rPr>
                <w:rFonts w:hint="default" w:ascii="黑体" w:eastAsia="黑体"/>
                <w:sz w:val="28"/>
                <w:szCs w:val="36"/>
                <w:lang w:val="en-US" w:eastAsia="zh-CN"/>
              </w:rPr>
            </w:pPr>
            <w:r>
              <w:rPr>
                <w:rFonts w:hint="default" w:ascii="黑体" w:eastAsia="黑体"/>
                <w:sz w:val="28"/>
                <w:szCs w:val="36"/>
                <w:lang w:val="en-US" w:eastAsia="zh-CN"/>
              </w:rPr>
              <w:t>GLTX-</w:t>
            </w:r>
            <w:r>
              <w:rPr>
                <w:rFonts w:hint="eastAsia" w:ascii="黑体" w:eastAsia="黑体"/>
                <w:sz w:val="28"/>
                <w:szCs w:val="36"/>
                <w:lang w:val="en-US" w:eastAsia="zh-CN"/>
              </w:rPr>
              <w:t>CW</w:t>
            </w:r>
            <w:r>
              <w:rPr>
                <w:rFonts w:hint="default" w:ascii="黑体" w:eastAsia="黑体"/>
                <w:sz w:val="28"/>
                <w:szCs w:val="36"/>
                <w:lang w:val="en-US" w:eastAsia="zh-CN"/>
              </w:rPr>
              <w:t>-0</w:t>
            </w:r>
            <w:r>
              <w:rPr>
                <w:rFonts w:hint="eastAsia" w:ascii="黑体" w:eastAsia="黑体"/>
                <w:sz w:val="28"/>
                <w:szCs w:val="36"/>
                <w:lang w:val="en-US" w:eastAsia="zh-CN"/>
              </w:rPr>
              <w:t>1</w:t>
            </w:r>
          </w:p>
        </w:tc>
      </w:tr>
      <w:tr w14:paraId="6F2FBDB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cantSplit/>
          <w:trHeight w:val="640" w:hRule="atLeast"/>
          <w:jc w:val="center"/>
        </w:trPr>
        <w:tc>
          <w:tcPr>
            <w:tcW w:w="1750" w:type="dxa"/>
            <w:gridSpan w:val="3"/>
            <w:vMerge w:val="continue"/>
            <w:tcBorders>
              <w:left w:val="single" w:color="auto" w:sz="12" w:space="0"/>
            </w:tcBorders>
            <w:vAlign w:val="center"/>
          </w:tcPr>
          <w:p w14:paraId="63BE2788">
            <w:pPr>
              <w:spacing w:line="400" w:lineRule="exact"/>
              <w:jc w:val="center"/>
              <w:rPr>
                <w:rFonts w:hint="eastAsia" w:ascii="黑体" w:eastAsia="黑体"/>
                <w:sz w:val="28"/>
                <w:szCs w:val="36"/>
              </w:rPr>
            </w:pPr>
          </w:p>
        </w:tc>
        <w:tc>
          <w:tcPr>
            <w:tcW w:w="3983" w:type="dxa"/>
            <w:gridSpan w:val="6"/>
            <w:vMerge w:val="continue"/>
            <w:vAlign w:val="center"/>
          </w:tcPr>
          <w:p w14:paraId="5D5062B2">
            <w:pPr>
              <w:spacing w:line="400" w:lineRule="exact"/>
              <w:jc w:val="center"/>
              <w:rPr>
                <w:rFonts w:hint="eastAsia" w:ascii="黑体" w:eastAsia="黑体"/>
                <w:sz w:val="28"/>
                <w:szCs w:val="36"/>
                <w:lang w:val="en-US" w:eastAsia="zh-CN"/>
              </w:rPr>
            </w:pPr>
          </w:p>
        </w:tc>
        <w:tc>
          <w:tcPr>
            <w:tcW w:w="1993" w:type="dxa"/>
            <w:gridSpan w:val="3"/>
            <w:tcBorders>
              <w:bottom w:val="single" w:color="auto" w:sz="4" w:space="0"/>
            </w:tcBorders>
            <w:vAlign w:val="center"/>
          </w:tcPr>
          <w:p w14:paraId="53C40E7B">
            <w:pPr>
              <w:spacing w:line="400" w:lineRule="exact"/>
              <w:jc w:val="center"/>
              <w:rPr>
                <w:rFonts w:hint="default" w:ascii="黑体" w:eastAsia="黑体"/>
                <w:sz w:val="28"/>
                <w:szCs w:val="36"/>
                <w:lang w:val="en-US" w:eastAsia="zh-CN"/>
              </w:rPr>
            </w:pPr>
            <w:r>
              <w:rPr>
                <w:rFonts w:hint="eastAsia" w:ascii="黑体" w:eastAsia="黑体"/>
                <w:sz w:val="28"/>
                <w:szCs w:val="36"/>
                <w:lang w:val="en-US" w:eastAsia="zh-CN"/>
              </w:rPr>
              <w:t>版次</w:t>
            </w:r>
          </w:p>
        </w:tc>
        <w:tc>
          <w:tcPr>
            <w:tcW w:w="1994" w:type="dxa"/>
            <w:gridSpan w:val="2"/>
            <w:tcBorders>
              <w:bottom w:val="single" w:color="auto" w:sz="4" w:space="0"/>
              <w:right w:val="single" w:color="auto" w:sz="12" w:space="0"/>
            </w:tcBorders>
            <w:vAlign w:val="center"/>
          </w:tcPr>
          <w:p w14:paraId="52958D1C">
            <w:pPr>
              <w:spacing w:line="400" w:lineRule="exact"/>
              <w:jc w:val="center"/>
              <w:rPr>
                <w:rFonts w:hint="default" w:ascii="宋体" w:hAnsi="宋体" w:eastAsia="宋体" w:cs="Times New Roman"/>
                <w:bCs/>
                <w:sz w:val="28"/>
                <w:szCs w:val="28"/>
                <w:lang w:val="en-US" w:eastAsia="zh-CN" w:bidi="en-US"/>
              </w:rPr>
            </w:pPr>
            <w:r>
              <w:rPr>
                <w:rFonts w:hint="eastAsia" w:ascii="黑体" w:eastAsia="黑体"/>
                <w:sz w:val="28"/>
                <w:szCs w:val="36"/>
                <w:lang w:val="en-US" w:eastAsia="zh-CN"/>
              </w:rPr>
              <w:t>A</w:t>
            </w:r>
          </w:p>
        </w:tc>
      </w:tr>
      <w:tr w14:paraId="056A0BC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cantSplit/>
          <w:trHeight w:val="640" w:hRule="atLeast"/>
          <w:jc w:val="center"/>
        </w:trPr>
        <w:tc>
          <w:tcPr>
            <w:tcW w:w="1750" w:type="dxa"/>
            <w:gridSpan w:val="3"/>
            <w:vMerge w:val="continue"/>
            <w:tcBorders>
              <w:left w:val="single" w:color="auto" w:sz="12" w:space="0"/>
            </w:tcBorders>
            <w:vAlign w:val="center"/>
          </w:tcPr>
          <w:p w14:paraId="1E9D5413">
            <w:pPr>
              <w:spacing w:line="400" w:lineRule="exact"/>
              <w:jc w:val="center"/>
              <w:rPr>
                <w:rFonts w:hint="eastAsia" w:ascii="黑体" w:eastAsia="黑体"/>
                <w:sz w:val="28"/>
                <w:szCs w:val="36"/>
              </w:rPr>
            </w:pPr>
          </w:p>
        </w:tc>
        <w:tc>
          <w:tcPr>
            <w:tcW w:w="3983" w:type="dxa"/>
            <w:gridSpan w:val="6"/>
            <w:vMerge w:val="continue"/>
            <w:vAlign w:val="center"/>
          </w:tcPr>
          <w:p w14:paraId="78E22307">
            <w:pPr>
              <w:spacing w:line="400" w:lineRule="exact"/>
              <w:jc w:val="center"/>
              <w:rPr>
                <w:rFonts w:hint="eastAsia" w:ascii="黑体" w:eastAsia="黑体"/>
                <w:sz w:val="28"/>
                <w:szCs w:val="36"/>
              </w:rPr>
            </w:pPr>
          </w:p>
        </w:tc>
        <w:tc>
          <w:tcPr>
            <w:tcW w:w="1993" w:type="dxa"/>
            <w:gridSpan w:val="3"/>
            <w:tcBorders>
              <w:top w:val="single" w:color="auto" w:sz="4" w:space="0"/>
            </w:tcBorders>
            <w:vAlign w:val="center"/>
          </w:tcPr>
          <w:p w14:paraId="6D0E5ACB">
            <w:pPr>
              <w:spacing w:line="400" w:lineRule="exact"/>
              <w:jc w:val="center"/>
              <w:rPr>
                <w:rFonts w:hint="default" w:ascii="黑体" w:eastAsia="黑体"/>
                <w:sz w:val="28"/>
                <w:szCs w:val="36"/>
                <w:lang w:val="en-US" w:eastAsia="zh-CN"/>
              </w:rPr>
            </w:pPr>
            <w:r>
              <w:rPr>
                <w:rFonts w:hint="eastAsia" w:ascii="黑体" w:eastAsia="黑体"/>
                <w:sz w:val="28"/>
                <w:szCs w:val="36"/>
                <w:lang w:val="en-US" w:eastAsia="zh-CN"/>
              </w:rPr>
              <w:t>文件类别</w:t>
            </w:r>
          </w:p>
        </w:tc>
        <w:tc>
          <w:tcPr>
            <w:tcW w:w="1994" w:type="dxa"/>
            <w:gridSpan w:val="2"/>
            <w:tcBorders>
              <w:top w:val="single" w:color="auto" w:sz="4" w:space="0"/>
              <w:right w:val="single" w:color="auto" w:sz="12" w:space="0"/>
            </w:tcBorders>
            <w:vAlign w:val="center"/>
          </w:tcPr>
          <w:p w14:paraId="61FAA697">
            <w:pPr>
              <w:spacing w:line="400" w:lineRule="exact"/>
              <w:jc w:val="center"/>
              <w:rPr>
                <w:rFonts w:hint="default" w:ascii="黑体" w:eastAsia="黑体"/>
                <w:sz w:val="28"/>
                <w:szCs w:val="36"/>
                <w:lang w:val="en-US" w:eastAsia="zh-CN"/>
              </w:rPr>
            </w:pPr>
            <w:r>
              <w:rPr>
                <w:rFonts w:hint="eastAsia" w:ascii="黑体" w:eastAsia="黑体"/>
                <w:sz w:val="28"/>
                <w:szCs w:val="36"/>
                <w:lang w:val="en-US" w:eastAsia="zh-CN"/>
              </w:rPr>
              <w:t>管理规定</w:t>
            </w:r>
          </w:p>
        </w:tc>
      </w:tr>
      <w:tr w14:paraId="5856F697">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40" w:hRule="atLeast"/>
          <w:jc w:val="center"/>
        </w:trPr>
        <w:tc>
          <w:tcPr>
            <w:tcW w:w="1750" w:type="dxa"/>
            <w:gridSpan w:val="3"/>
            <w:tcBorders>
              <w:left w:val="single" w:color="auto" w:sz="12" w:space="0"/>
            </w:tcBorders>
            <w:vAlign w:val="center"/>
          </w:tcPr>
          <w:p w14:paraId="65D69C3D">
            <w:pPr>
              <w:spacing w:line="400" w:lineRule="exact"/>
              <w:jc w:val="center"/>
              <w:rPr>
                <w:rFonts w:hint="eastAsia" w:ascii="黑体" w:eastAsia="黑体"/>
                <w:sz w:val="28"/>
                <w:szCs w:val="36"/>
              </w:rPr>
            </w:pPr>
            <w:r>
              <w:rPr>
                <w:rFonts w:hint="eastAsia" w:ascii="黑体" w:eastAsia="黑体"/>
                <w:sz w:val="28"/>
                <w:szCs w:val="36"/>
              </w:rPr>
              <w:t>发文部门</w:t>
            </w:r>
          </w:p>
        </w:tc>
        <w:tc>
          <w:tcPr>
            <w:tcW w:w="2345" w:type="dxa"/>
            <w:gridSpan w:val="3"/>
            <w:vAlign w:val="center"/>
          </w:tcPr>
          <w:p w14:paraId="44BF65BC">
            <w:pPr>
              <w:spacing w:line="400" w:lineRule="exact"/>
              <w:jc w:val="center"/>
              <w:rPr>
                <w:rFonts w:hint="default" w:ascii="黑体" w:eastAsia="黑体"/>
                <w:sz w:val="28"/>
                <w:szCs w:val="36"/>
                <w:lang w:val="en-US" w:eastAsia="zh-CN"/>
              </w:rPr>
            </w:pPr>
            <w:r>
              <w:rPr>
                <w:rFonts w:hint="eastAsia" w:ascii="黑体" w:eastAsia="黑体"/>
                <w:sz w:val="28"/>
                <w:szCs w:val="36"/>
                <w:lang w:val="en-US" w:eastAsia="zh-CN"/>
              </w:rPr>
              <w:t>财务部</w:t>
            </w:r>
          </w:p>
        </w:tc>
        <w:tc>
          <w:tcPr>
            <w:tcW w:w="1638" w:type="dxa"/>
            <w:gridSpan w:val="3"/>
            <w:vAlign w:val="center"/>
          </w:tcPr>
          <w:p w14:paraId="30D94AC0">
            <w:pPr>
              <w:spacing w:line="400" w:lineRule="exact"/>
              <w:jc w:val="center"/>
              <w:rPr>
                <w:rFonts w:hint="eastAsia" w:ascii="黑体" w:eastAsia="黑体"/>
                <w:sz w:val="28"/>
                <w:szCs w:val="36"/>
              </w:rPr>
            </w:pPr>
            <w:r>
              <w:rPr>
                <w:rFonts w:hint="eastAsia" w:ascii="黑体" w:eastAsia="黑体"/>
                <w:sz w:val="28"/>
                <w:szCs w:val="36"/>
              </w:rPr>
              <w:t>共</w:t>
            </w:r>
            <w:r>
              <w:rPr>
                <w:rFonts w:hint="eastAsia" w:ascii="黑体" w:eastAsia="黑体"/>
                <w:sz w:val="28"/>
                <w:szCs w:val="36"/>
                <w:lang w:val="en-US" w:eastAsia="zh-CN"/>
              </w:rPr>
              <w:t>8</w:t>
            </w:r>
            <w:r>
              <w:rPr>
                <w:rFonts w:hint="eastAsia" w:ascii="黑体" w:eastAsia="黑体"/>
                <w:sz w:val="28"/>
                <w:szCs w:val="36"/>
              </w:rPr>
              <w:t>页</w:t>
            </w:r>
          </w:p>
        </w:tc>
        <w:tc>
          <w:tcPr>
            <w:tcW w:w="1993" w:type="dxa"/>
            <w:gridSpan w:val="3"/>
            <w:vAlign w:val="center"/>
          </w:tcPr>
          <w:p w14:paraId="27516C5F">
            <w:pPr>
              <w:spacing w:line="400" w:lineRule="exact"/>
              <w:jc w:val="center"/>
              <w:rPr>
                <w:rFonts w:hint="eastAsia" w:ascii="黑体" w:eastAsia="黑体"/>
                <w:sz w:val="28"/>
                <w:szCs w:val="36"/>
              </w:rPr>
            </w:pPr>
            <w:r>
              <w:rPr>
                <w:rFonts w:hint="eastAsia" w:ascii="黑体" w:eastAsia="黑体"/>
                <w:sz w:val="28"/>
                <w:szCs w:val="36"/>
              </w:rPr>
              <w:t>实施日期</w:t>
            </w:r>
          </w:p>
        </w:tc>
        <w:tc>
          <w:tcPr>
            <w:tcW w:w="1994" w:type="dxa"/>
            <w:gridSpan w:val="2"/>
            <w:tcBorders>
              <w:right w:val="single" w:color="auto" w:sz="12" w:space="0"/>
            </w:tcBorders>
            <w:vAlign w:val="center"/>
          </w:tcPr>
          <w:p w14:paraId="24C6F6C4">
            <w:pPr>
              <w:spacing w:line="400" w:lineRule="exact"/>
              <w:jc w:val="center"/>
              <w:rPr>
                <w:rFonts w:hint="default" w:ascii="黑体" w:eastAsia="黑体"/>
                <w:sz w:val="28"/>
                <w:szCs w:val="36"/>
                <w:lang w:val="en-US" w:eastAsia="zh-CN"/>
              </w:rPr>
            </w:pPr>
            <w:r>
              <w:rPr>
                <w:rFonts w:hint="eastAsia" w:ascii="黑体" w:eastAsia="黑体"/>
                <w:sz w:val="28"/>
                <w:szCs w:val="36"/>
                <w:lang w:val="en-US" w:eastAsia="zh-CN"/>
              </w:rPr>
              <w:t>2025-10-11</w:t>
            </w:r>
          </w:p>
        </w:tc>
      </w:tr>
      <w:tr w14:paraId="4B01DD5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40" w:hRule="atLeast"/>
          <w:jc w:val="center"/>
        </w:trPr>
        <w:tc>
          <w:tcPr>
            <w:tcW w:w="9720" w:type="dxa"/>
            <w:gridSpan w:val="14"/>
            <w:tcBorders>
              <w:left w:val="single" w:color="auto" w:sz="12" w:space="0"/>
              <w:right w:val="single" w:color="auto" w:sz="12" w:space="0"/>
            </w:tcBorders>
            <w:vAlign w:val="center"/>
          </w:tcPr>
          <w:p w14:paraId="69404443">
            <w:pPr>
              <w:jc w:val="center"/>
              <w:rPr>
                <w:rFonts w:hint="eastAsia" w:ascii="宋体"/>
                <w:kern w:val="0"/>
                <w:sz w:val="32"/>
                <w:szCs w:val="32"/>
              </w:rPr>
            </w:pPr>
            <w:r>
              <w:rPr>
                <w:rFonts w:hint="eastAsia" w:ascii="宋体" w:hAnsi="Times" w:eastAsia="宋体" w:cs="Times New Roman"/>
                <w:bCs/>
                <w:sz w:val="24"/>
                <w:szCs w:val="28"/>
              </w:rPr>
              <w:t>更    改    记    录</w:t>
            </w:r>
          </w:p>
        </w:tc>
      </w:tr>
      <w:tr w14:paraId="23AD264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40" w:hRule="atLeast"/>
          <w:jc w:val="center"/>
        </w:trPr>
        <w:tc>
          <w:tcPr>
            <w:tcW w:w="2416" w:type="dxa"/>
            <w:gridSpan w:val="4"/>
            <w:tcBorders>
              <w:left w:val="single" w:color="auto" w:sz="12" w:space="0"/>
              <w:bottom w:val="single" w:color="auto" w:sz="6" w:space="0"/>
            </w:tcBorders>
            <w:vAlign w:val="center"/>
          </w:tcPr>
          <w:p w14:paraId="569F184C">
            <w:pPr>
              <w:jc w:val="center"/>
              <w:rPr>
                <w:rFonts w:hint="eastAsia" w:ascii="宋体" w:hAnsi="Times" w:eastAsia="宋体" w:cs="Times New Roman"/>
                <w:bCs/>
                <w:kern w:val="0"/>
                <w:sz w:val="24"/>
                <w:szCs w:val="28"/>
                <w:lang w:eastAsia="zh-CN"/>
              </w:rPr>
            </w:pPr>
            <w:r>
              <w:rPr>
                <w:rFonts w:hint="eastAsia" w:ascii="宋体" w:hAnsi="Times" w:eastAsia="宋体" w:cs="Times New Roman"/>
                <w:bCs/>
                <w:kern w:val="0"/>
                <w:sz w:val="24"/>
                <w:szCs w:val="28"/>
                <w:lang w:val="en-US" w:eastAsia="zh-CN"/>
              </w:rPr>
              <w:t>序号</w:t>
            </w:r>
          </w:p>
        </w:tc>
        <w:tc>
          <w:tcPr>
            <w:tcW w:w="2184" w:type="dxa"/>
            <w:gridSpan w:val="3"/>
            <w:tcBorders>
              <w:bottom w:val="single" w:color="auto" w:sz="6" w:space="0"/>
            </w:tcBorders>
            <w:vAlign w:val="center"/>
          </w:tcPr>
          <w:p w14:paraId="1AD8796F">
            <w:pPr>
              <w:jc w:val="center"/>
              <w:rPr>
                <w:rFonts w:hint="eastAsia" w:ascii="宋体" w:hAnsi="Times" w:eastAsia="宋体" w:cs="Times New Roman"/>
                <w:bCs/>
                <w:kern w:val="0"/>
                <w:sz w:val="24"/>
                <w:szCs w:val="28"/>
              </w:rPr>
            </w:pPr>
            <w:r>
              <w:rPr>
                <w:rFonts w:hint="eastAsia" w:ascii="宋体" w:hAnsi="Times" w:eastAsia="宋体" w:cs="Times New Roman"/>
                <w:bCs/>
                <w:kern w:val="0"/>
                <w:sz w:val="24"/>
                <w:szCs w:val="28"/>
              </w:rPr>
              <w:t>更改单</w:t>
            </w:r>
            <w:r>
              <w:rPr>
                <w:rFonts w:hint="eastAsia" w:ascii="宋体" w:hAnsi="Times" w:eastAsia="宋体" w:cs="Times New Roman"/>
                <w:bCs/>
                <w:kern w:val="0"/>
                <w:sz w:val="24"/>
                <w:szCs w:val="28"/>
                <w:lang w:val="en-US" w:eastAsia="zh-CN"/>
              </w:rPr>
              <w:t>编</w:t>
            </w:r>
            <w:r>
              <w:rPr>
                <w:rFonts w:hint="eastAsia" w:ascii="宋体" w:hAnsi="Times" w:eastAsia="宋体" w:cs="Times New Roman"/>
                <w:bCs/>
                <w:kern w:val="0"/>
                <w:sz w:val="24"/>
                <w:szCs w:val="28"/>
              </w:rPr>
              <w:t>号</w:t>
            </w:r>
          </w:p>
        </w:tc>
        <w:tc>
          <w:tcPr>
            <w:tcW w:w="2645" w:type="dxa"/>
            <w:gridSpan w:val="4"/>
            <w:tcBorders>
              <w:bottom w:val="single" w:color="auto" w:sz="6" w:space="0"/>
            </w:tcBorders>
            <w:vAlign w:val="center"/>
          </w:tcPr>
          <w:p w14:paraId="34F9E86B">
            <w:pPr>
              <w:jc w:val="center"/>
              <w:rPr>
                <w:rFonts w:hint="eastAsia" w:ascii="宋体" w:hAnsi="Times" w:eastAsia="宋体" w:cs="Times New Roman"/>
                <w:bCs/>
                <w:kern w:val="0"/>
                <w:sz w:val="24"/>
                <w:szCs w:val="28"/>
              </w:rPr>
            </w:pPr>
            <w:r>
              <w:rPr>
                <w:rFonts w:hint="eastAsia" w:ascii="宋体" w:hAnsi="Times" w:eastAsia="宋体" w:cs="Times New Roman"/>
                <w:bCs/>
                <w:kern w:val="0"/>
                <w:sz w:val="24"/>
                <w:szCs w:val="28"/>
              </w:rPr>
              <w:t>更改者签字</w:t>
            </w:r>
          </w:p>
        </w:tc>
        <w:tc>
          <w:tcPr>
            <w:tcW w:w="2475" w:type="dxa"/>
            <w:gridSpan w:val="3"/>
            <w:tcBorders>
              <w:bottom w:val="single" w:color="auto" w:sz="6" w:space="0"/>
              <w:right w:val="single" w:color="auto" w:sz="12" w:space="0"/>
            </w:tcBorders>
            <w:vAlign w:val="center"/>
          </w:tcPr>
          <w:p w14:paraId="55D53EA0">
            <w:pPr>
              <w:jc w:val="center"/>
              <w:rPr>
                <w:rFonts w:hint="eastAsia" w:ascii="宋体" w:hAnsi="Times" w:eastAsia="宋体" w:cs="Times New Roman"/>
                <w:bCs/>
                <w:kern w:val="0"/>
                <w:sz w:val="24"/>
                <w:szCs w:val="28"/>
              </w:rPr>
            </w:pPr>
            <w:r>
              <w:rPr>
                <w:rFonts w:hint="eastAsia" w:ascii="宋体" w:hAnsi="Times" w:eastAsia="宋体" w:cs="Times New Roman"/>
                <w:bCs/>
                <w:kern w:val="0"/>
                <w:sz w:val="24"/>
                <w:szCs w:val="28"/>
              </w:rPr>
              <w:t>更改日期</w:t>
            </w:r>
          </w:p>
        </w:tc>
      </w:tr>
      <w:tr w14:paraId="7ECDECF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20" w:hRule="atLeast"/>
          <w:jc w:val="center"/>
        </w:trPr>
        <w:tc>
          <w:tcPr>
            <w:tcW w:w="2416" w:type="dxa"/>
            <w:gridSpan w:val="4"/>
            <w:tcBorders>
              <w:left w:val="single" w:color="auto" w:sz="12" w:space="0"/>
              <w:right w:val="single" w:color="auto" w:sz="6" w:space="0"/>
            </w:tcBorders>
            <w:vAlign w:val="center"/>
          </w:tcPr>
          <w:p w14:paraId="17B7CD67">
            <w:pPr>
              <w:jc w:val="center"/>
              <w:rPr>
                <w:rFonts w:ascii="宋体"/>
              </w:rPr>
            </w:pPr>
          </w:p>
        </w:tc>
        <w:tc>
          <w:tcPr>
            <w:tcW w:w="2184" w:type="dxa"/>
            <w:gridSpan w:val="3"/>
            <w:tcBorders>
              <w:left w:val="single" w:color="auto" w:sz="6" w:space="0"/>
              <w:right w:val="single" w:color="auto" w:sz="6" w:space="0"/>
            </w:tcBorders>
            <w:vAlign w:val="center"/>
          </w:tcPr>
          <w:p w14:paraId="7DD6EE1E">
            <w:pPr>
              <w:jc w:val="center"/>
              <w:rPr>
                <w:rFonts w:ascii="宋体"/>
              </w:rPr>
            </w:pPr>
          </w:p>
        </w:tc>
        <w:tc>
          <w:tcPr>
            <w:tcW w:w="2645" w:type="dxa"/>
            <w:gridSpan w:val="4"/>
            <w:tcBorders>
              <w:left w:val="single" w:color="auto" w:sz="6" w:space="0"/>
              <w:right w:val="single" w:color="auto" w:sz="6" w:space="0"/>
            </w:tcBorders>
            <w:vAlign w:val="center"/>
          </w:tcPr>
          <w:p w14:paraId="1C11A0C5">
            <w:pPr>
              <w:jc w:val="center"/>
              <w:rPr>
                <w:rFonts w:ascii="宋体"/>
              </w:rPr>
            </w:pPr>
          </w:p>
        </w:tc>
        <w:tc>
          <w:tcPr>
            <w:tcW w:w="2475" w:type="dxa"/>
            <w:gridSpan w:val="3"/>
            <w:tcBorders>
              <w:left w:val="single" w:color="auto" w:sz="6" w:space="0"/>
              <w:right w:val="single" w:color="auto" w:sz="12" w:space="0"/>
            </w:tcBorders>
            <w:vAlign w:val="center"/>
          </w:tcPr>
          <w:p w14:paraId="4B1A83D4">
            <w:pPr>
              <w:jc w:val="center"/>
              <w:rPr>
                <w:rFonts w:ascii="宋体"/>
              </w:rPr>
            </w:pPr>
          </w:p>
        </w:tc>
      </w:tr>
      <w:tr w14:paraId="66FD0CC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19" w:hRule="atLeast"/>
          <w:jc w:val="center"/>
        </w:trPr>
        <w:tc>
          <w:tcPr>
            <w:tcW w:w="2416" w:type="dxa"/>
            <w:gridSpan w:val="4"/>
            <w:tcBorders>
              <w:left w:val="single" w:color="auto" w:sz="12" w:space="0"/>
              <w:right w:val="single" w:color="auto" w:sz="6" w:space="0"/>
            </w:tcBorders>
            <w:vAlign w:val="center"/>
          </w:tcPr>
          <w:p w14:paraId="26EF3D45">
            <w:pPr>
              <w:jc w:val="center"/>
              <w:rPr>
                <w:rFonts w:ascii="宋体"/>
              </w:rPr>
            </w:pPr>
          </w:p>
        </w:tc>
        <w:tc>
          <w:tcPr>
            <w:tcW w:w="2184" w:type="dxa"/>
            <w:gridSpan w:val="3"/>
            <w:tcBorders>
              <w:left w:val="single" w:color="auto" w:sz="6" w:space="0"/>
              <w:right w:val="single" w:color="auto" w:sz="6" w:space="0"/>
            </w:tcBorders>
            <w:vAlign w:val="center"/>
          </w:tcPr>
          <w:p w14:paraId="436C50F9">
            <w:pPr>
              <w:jc w:val="center"/>
              <w:rPr>
                <w:rFonts w:ascii="宋体"/>
              </w:rPr>
            </w:pPr>
          </w:p>
        </w:tc>
        <w:tc>
          <w:tcPr>
            <w:tcW w:w="2645" w:type="dxa"/>
            <w:gridSpan w:val="4"/>
            <w:tcBorders>
              <w:left w:val="single" w:color="auto" w:sz="6" w:space="0"/>
              <w:right w:val="single" w:color="auto" w:sz="6" w:space="0"/>
            </w:tcBorders>
            <w:vAlign w:val="center"/>
          </w:tcPr>
          <w:p w14:paraId="7076685C">
            <w:pPr>
              <w:jc w:val="center"/>
              <w:rPr>
                <w:rFonts w:ascii="宋体"/>
              </w:rPr>
            </w:pPr>
          </w:p>
        </w:tc>
        <w:tc>
          <w:tcPr>
            <w:tcW w:w="2475" w:type="dxa"/>
            <w:gridSpan w:val="3"/>
            <w:tcBorders>
              <w:left w:val="single" w:color="auto" w:sz="6" w:space="0"/>
              <w:right w:val="single" w:color="auto" w:sz="12" w:space="0"/>
            </w:tcBorders>
            <w:vAlign w:val="center"/>
          </w:tcPr>
          <w:p w14:paraId="7656DD1D">
            <w:pPr>
              <w:jc w:val="center"/>
              <w:rPr>
                <w:rFonts w:ascii="宋体"/>
              </w:rPr>
            </w:pPr>
          </w:p>
        </w:tc>
      </w:tr>
      <w:tr w14:paraId="00F91F7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20" w:hRule="atLeast"/>
          <w:jc w:val="center"/>
        </w:trPr>
        <w:tc>
          <w:tcPr>
            <w:tcW w:w="2416" w:type="dxa"/>
            <w:gridSpan w:val="4"/>
            <w:tcBorders>
              <w:left w:val="single" w:color="auto" w:sz="12" w:space="0"/>
              <w:right w:val="single" w:color="auto" w:sz="6" w:space="0"/>
            </w:tcBorders>
            <w:vAlign w:val="center"/>
          </w:tcPr>
          <w:p w14:paraId="3D893D94">
            <w:pPr>
              <w:jc w:val="center"/>
              <w:rPr>
                <w:rFonts w:ascii="宋体"/>
              </w:rPr>
            </w:pPr>
          </w:p>
        </w:tc>
        <w:tc>
          <w:tcPr>
            <w:tcW w:w="2184" w:type="dxa"/>
            <w:gridSpan w:val="3"/>
            <w:tcBorders>
              <w:left w:val="single" w:color="auto" w:sz="6" w:space="0"/>
              <w:right w:val="single" w:color="auto" w:sz="6" w:space="0"/>
            </w:tcBorders>
            <w:vAlign w:val="center"/>
          </w:tcPr>
          <w:p w14:paraId="6FD6BEBC">
            <w:pPr>
              <w:jc w:val="center"/>
              <w:rPr>
                <w:rFonts w:ascii="宋体"/>
              </w:rPr>
            </w:pPr>
          </w:p>
        </w:tc>
        <w:tc>
          <w:tcPr>
            <w:tcW w:w="2645" w:type="dxa"/>
            <w:gridSpan w:val="4"/>
            <w:tcBorders>
              <w:left w:val="single" w:color="auto" w:sz="6" w:space="0"/>
              <w:right w:val="single" w:color="auto" w:sz="6" w:space="0"/>
            </w:tcBorders>
            <w:vAlign w:val="center"/>
          </w:tcPr>
          <w:p w14:paraId="5416FE3D">
            <w:pPr>
              <w:jc w:val="center"/>
              <w:rPr>
                <w:rFonts w:ascii="宋体"/>
              </w:rPr>
            </w:pPr>
          </w:p>
        </w:tc>
        <w:tc>
          <w:tcPr>
            <w:tcW w:w="2475" w:type="dxa"/>
            <w:gridSpan w:val="3"/>
            <w:tcBorders>
              <w:left w:val="single" w:color="auto" w:sz="6" w:space="0"/>
              <w:right w:val="single" w:color="auto" w:sz="12" w:space="0"/>
            </w:tcBorders>
            <w:vAlign w:val="center"/>
          </w:tcPr>
          <w:p w14:paraId="100A8053">
            <w:pPr>
              <w:jc w:val="center"/>
              <w:rPr>
                <w:rFonts w:ascii="宋体"/>
              </w:rPr>
            </w:pPr>
          </w:p>
        </w:tc>
      </w:tr>
      <w:tr w14:paraId="5215EFB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20" w:hRule="atLeast"/>
          <w:jc w:val="center"/>
        </w:trPr>
        <w:tc>
          <w:tcPr>
            <w:tcW w:w="2416" w:type="dxa"/>
            <w:gridSpan w:val="4"/>
            <w:tcBorders>
              <w:left w:val="single" w:color="auto" w:sz="12" w:space="0"/>
              <w:right w:val="single" w:color="auto" w:sz="6" w:space="0"/>
            </w:tcBorders>
            <w:vAlign w:val="center"/>
          </w:tcPr>
          <w:p w14:paraId="5D66CB3A">
            <w:pPr>
              <w:jc w:val="center"/>
              <w:rPr>
                <w:rFonts w:ascii="宋体"/>
              </w:rPr>
            </w:pPr>
          </w:p>
        </w:tc>
        <w:tc>
          <w:tcPr>
            <w:tcW w:w="2184" w:type="dxa"/>
            <w:gridSpan w:val="3"/>
            <w:tcBorders>
              <w:left w:val="single" w:color="auto" w:sz="6" w:space="0"/>
              <w:right w:val="single" w:color="auto" w:sz="6" w:space="0"/>
            </w:tcBorders>
            <w:vAlign w:val="center"/>
          </w:tcPr>
          <w:p w14:paraId="24D6BA66">
            <w:pPr>
              <w:jc w:val="center"/>
              <w:rPr>
                <w:rFonts w:ascii="宋体"/>
              </w:rPr>
            </w:pPr>
          </w:p>
        </w:tc>
        <w:tc>
          <w:tcPr>
            <w:tcW w:w="2645" w:type="dxa"/>
            <w:gridSpan w:val="4"/>
            <w:tcBorders>
              <w:left w:val="single" w:color="auto" w:sz="6" w:space="0"/>
              <w:right w:val="single" w:color="auto" w:sz="6" w:space="0"/>
            </w:tcBorders>
            <w:vAlign w:val="center"/>
          </w:tcPr>
          <w:p w14:paraId="7EA68348">
            <w:pPr>
              <w:jc w:val="center"/>
              <w:rPr>
                <w:rFonts w:ascii="宋体"/>
              </w:rPr>
            </w:pPr>
          </w:p>
        </w:tc>
        <w:tc>
          <w:tcPr>
            <w:tcW w:w="2475" w:type="dxa"/>
            <w:gridSpan w:val="3"/>
            <w:tcBorders>
              <w:left w:val="single" w:color="auto" w:sz="6" w:space="0"/>
              <w:right w:val="single" w:color="auto" w:sz="12" w:space="0"/>
            </w:tcBorders>
            <w:vAlign w:val="center"/>
          </w:tcPr>
          <w:p w14:paraId="35294B97">
            <w:pPr>
              <w:jc w:val="center"/>
              <w:rPr>
                <w:rFonts w:ascii="宋体"/>
              </w:rPr>
            </w:pPr>
          </w:p>
        </w:tc>
      </w:tr>
      <w:tr w14:paraId="5ABB09A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20" w:hRule="atLeast"/>
          <w:jc w:val="center"/>
        </w:trPr>
        <w:tc>
          <w:tcPr>
            <w:tcW w:w="2416" w:type="dxa"/>
            <w:gridSpan w:val="4"/>
            <w:tcBorders>
              <w:left w:val="single" w:color="auto" w:sz="12" w:space="0"/>
              <w:right w:val="single" w:color="auto" w:sz="6" w:space="0"/>
            </w:tcBorders>
            <w:vAlign w:val="center"/>
          </w:tcPr>
          <w:p w14:paraId="1B785BB9">
            <w:pPr>
              <w:jc w:val="center"/>
              <w:rPr>
                <w:rFonts w:ascii="宋体"/>
              </w:rPr>
            </w:pPr>
          </w:p>
        </w:tc>
        <w:tc>
          <w:tcPr>
            <w:tcW w:w="2184" w:type="dxa"/>
            <w:gridSpan w:val="3"/>
            <w:tcBorders>
              <w:left w:val="single" w:color="auto" w:sz="6" w:space="0"/>
              <w:right w:val="single" w:color="auto" w:sz="6" w:space="0"/>
            </w:tcBorders>
            <w:vAlign w:val="center"/>
          </w:tcPr>
          <w:p w14:paraId="03579B1D">
            <w:pPr>
              <w:jc w:val="center"/>
              <w:rPr>
                <w:rFonts w:ascii="宋体"/>
              </w:rPr>
            </w:pPr>
          </w:p>
        </w:tc>
        <w:tc>
          <w:tcPr>
            <w:tcW w:w="2645" w:type="dxa"/>
            <w:gridSpan w:val="4"/>
            <w:tcBorders>
              <w:left w:val="single" w:color="auto" w:sz="6" w:space="0"/>
              <w:right w:val="single" w:color="auto" w:sz="6" w:space="0"/>
            </w:tcBorders>
            <w:vAlign w:val="center"/>
          </w:tcPr>
          <w:p w14:paraId="75FB52FE">
            <w:pPr>
              <w:jc w:val="center"/>
              <w:rPr>
                <w:rFonts w:ascii="宋体"/>
              </w:rPr>
            </w:pPr>
          </w:p>
        </w:tc>
        <w:tc>
          <w:tcPr>
            <w:tcW w:w="2475" w:type="dxa"/>
            <w:gridSpan w:val="3"/>
            <w:tcBorders>
              <w:left w:val="single" w:color="auto" w:sz="6" w:space="0"/>
              <w:right w:val="single" w:color="auto" w:sz="12" w:space="0"/>
            </w:tcBorders>
            <w:vAlign w:val="center"/>
          </w:tcPr>
          <w:p w14:paraId="7B0455A5">
            <w:pPr>
              <w:jc w:val="center"/>
              <w:rPr>
                <w:rFonts w:ascii="宋体"/>
              </w:rPr>
            </w:pPr>
          </w:p>
        </w:tc>
      </w:tr>
      <w:tr w14:paraId="2628B85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34" w:hRule="atLeast"/>
          <w:jc w:val="center"/>
        </w:trPr>
        <w:tc>
          <w:tcPr>
            <w:tcW w:w="9720" w:type="dxa"/>
            <w:gridSpan w:val="14"/>
            <w:tcBorders>
              <w:left w:val="single" w:color="auto" w:sz="12" w:space="0"/>
              <w:right w:val="single" w:color="auto" w:sz="12" w:space="0"/>
            </w:tcBorders>
            <w:vAlign w:val="center"/>
          </w:tcPr>
          <w:p w14:paraId="7DBC016B">
            <w:pPr>
              <w:jc w:val="center"/>
              <w:rPr>
                <w:rFonts w:hint="eastAsia" w:ascii="宋体"/>
                <w:spacing w:val="100"/>
                <w:sz w:val="24"/>
              </w:rPr>
            </w:pPr>
            <w:r>
              <w:rPr>
                <w:rFonts w:hint="eastAsia" w:ascii="宋体"/>
                <w:spacing w:val="100"/>
                <w:sz w:val="24"/>
              </w:rPr>
              <w:t>分发路线</w:t>
            </w:r>
          </w:p>
        </w:tc>
      </w:tr>
      <w:tr w14:paraId="5E77A6E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828" w:hRule="atLeast"/>
          <w:jc w:val="center"/>
        </w:trPr>
        <w:tc>
          <w:tcPr>
            <w:tcW w:w="713" w:type="dxa"/>
            <w:tcBorders>
              <w:left w:val="single" w:color="auto" w:sz="12" w:space="0"/>
            </w:tcBorders>
            <w:vAlign w:val="center"/>
          </w:tcPr>
          <w:p w14:paraId="18BA7BA9">
            <w:pPr>
              <w:jc w:val="center"/>
              <w:rPr>
                <w:rFonts w:hint="eastAsia" w:ascii="宋体"/>
                <w:spacing w:val="50"/>
                <w:sz w:val="22"/>
                <w:szCs w:val="22"/>
                <w:lang w:val="en-US" w:eastAsia="zh-CN"/>
              </w:rPr>
            </w:pPr>
            <w:r>
              <w:rPr>
                <w:rFonts w:hint="eastAsia" w:ascii="宋体"/>
                <w:spacing w:val="50"/>
                <w:sz w:val="22"/>
                <w:szCs w:val="22"/>
                <w:lang w:val="en-US" w:eastAsia="zh-CN"/>
              </w:rPr>
              <w:t>部门</w:t>
            </w:r>
          </w:p>
        </w:tc>
        <w:tc>
          <w:tcPr>
            <w:tcW w:w="1037" w:type="dxa"/>
            <w:gridSpan w:val="2"/>
            <w:vAlign w:val="center"/>
          </w:tcPr>
          <w:p w14:paraId="6FC21342">
            <w:pPr>
              <w:jc w:val="center"/>
              <w:rPr>
                <w:rFonts w:hint="eastAsia" w:ascii="宋体"/>
                <w:spacing w:val="50"/>
                <w:sz w:val="22"/>
                <w:szCs w:val="22"/>
                <w:lang w:val="en-US" w:eastAsia="zh-CN"/>
              </w:rPr>
            </w:pPr>
            <w:r>
              <w:rPr>
                <w:rFonts w:hint="eastAsia" w:ascii="宋体"/>
                <w:spacing w:val="50"/>
                <w:sz w:val="22"/>
                <w:szCs w:val="22"/>
                <w:lang w:val="en-US" w:eastAsia="zh-CN"/>
              </w:rPr>
              <w:t>经营</w:t>
            </w:r>
          </w:p>
          <w:p w14:paraId="3E8FDFCF">
            <w:pPr>
              <w:jc w:val="center"/>
              <w:rPr>
                <w:rFonts w:hint="eastAsia" w:ascii="宋体"/>
                <w:spacing w:val="50"/>
                <w:sz w:val="22"/>
                <w:szCs w:val="22"/>
                <w:lang w:val="en-US" w:eastAsia="zh-CN"/>
              </w:rPr>
            </w:pPr>
            <w:r>
              <w:rPr>
                <w:rFonts w:hint="eastAsia" w:ascii="宋体"/>
                <w:spacing w:val="50"/>
                <w:sz w:val="22"/>
                <w:szCs w:val="22"/>
                <w:lang w:val="en-US" w:eastAsia="zh-CN"/>
              </w:rPr>
              <w:t>发展部</w:t>
            </w:r>
          </w:p>
        </w:tc>
        <w:tc>
          <w:tcPr>
            <w:tcW w:w="1295" w:type="dxa"/>
            <w:gridSpan w:val="2"/>
            <w:vAlign w:val="center"/>
          </w:tcPr>
          <w:p w14:paraId="5690003D">
            <w:pPr>
              <w:jc w:val="center"/>
              <w:rPr>
                <w:rFonts w:hint="eastAsia" w:ascii="宋体"/>
                <w:spacing w:val="50"/>
                <w:sz w:val="22"/>
                <w:szCs w:val="22"/>
                <w:lang w:val="en-US" w:eastAsia="zh-CN"/>
              </w:rPr>
            </w:pPr>
            <w:r>
              <w:rPr>
                <w:rFonts w:hint="eastAsia" w:ascii="宋体"/>
                <w:spacing w:val="50"/>
                <w:sz w:val="22"/>
                <w:szCs w:val="22"/>
                <w:lang w:val="en-US" w:eastAsia="zh-CN"/>
              </w:rPr>
              <w:t>行政</w:t>
            </w:r>
          </w:p>
          <w:p w14:paraId="576F4E92">
            <w:pPr>
              <w:jc w:val="center"/>
              <w:rPr>
                <w:rFonts w:hint="eastAsia" w:ascii="宋体"/>
                <w:spacing w:val="50"/>
                <w:sz w:val="22"/>
                <w:szCs w:val="22"/>
                <w:lang w:val="en-US" w:eastAsia="zh-CN"/>
              </w:rPr>
            </w:pPr>
            <w:r>
              <w:rPr>
                <w:rFonts w:hint="eastAsia" w:ascii="宋体"/>
                <w:spacing w:val="50"/>
                <w:sz w:val="22"/>
                <w:szCs w:val="22"/>
                <w:lang w:val="en-US" w:eastAsia="zh-CN"/>
              </w:rPr>
              <w:t>人事部</w:t>
            </w:r>
          </w:p>
        </w:tc>
        <w:tc>
          <w:tcPr>
            <w:tcW w:w="1050" w:type="dxa"/>
            <w:vAlign w:val="center"/>
          </w:tcPr>
          <w:p w14:paraId="1D63D1CC">
            <w:pPr>
              <w:jc w:val="center"/>
              <w:rPr>
                <w:rFonts w:hint="eastAsia" w:ascii="宋体"/>
                <w:spacing w:val="50"/>
                <w:sz w:val="22"/>
                <w:szCs w:val="22"/>
                <w:lang w:val="en-US" w:eastAsia="zh-CN"/>
              </w:rPr>
            </w:pPr>
            <w:r>
              <w:rPr>
                <w:rFonts w:hint="eastAsia" w:ascii="宋体"/>
                <w:spacing w:val="50"/>
                <w:sz w:val="22"/>
                <w:szCs w:val="22"/>
                <w:lang w:val="en-US" w:eastAsia="zh-CN"/>
              </w:rPr>
              <w:t>工程</w:t>
            </w:r>
          </w:p>
          <w:p w14:paraId="28B2FDA3">
            <w:pPr>
              <w:jc w:val="center"/>
              <w:rPr>
                <w:rFonts w:hint="eastAsia" w:ascii="宋体"/>
                <w:spacing w:val="50"/>
                <w:sz w:val="22"/>
                <w:szCs w:val="22"/>
                <w:lang w:val="en-US" w:eastAsia="zh-CN"/>
              </w:rPr>
            </w:pPr>
            <w:r>
              <w:rPr>
                <w:rFonts w:hint="eastAsia" w:ascii="宋体"/>
                <w:spacing w:val="50"/>
                <w:sz w:val="22"/>
                <w:szCs w:val="22"/>
                <w:lang w:val="en-US" w:eastAsia="zh-CN"/>
              </w:rPr>
              <w:t>技术部</w:t>
            </w:r>
          </w:p>
        </w:tc>
        <w:tc>
          <w:tcPr>
            <w:tcW w:w="1064" w:type="dxa"/>
            <w:gridSpan w:val="2"/>
            <w:vAlign w:val="center"/>
          </w:tcPr>
          <w:p w14:paraId="1584D49E">
            <w:pPr>
              <w:jc w:val="center"/>
              <w:rPr>
                <w:rFonts w:hint="default" w:ascii="宋体"/>
                <w:spacing w:val="50"/>
                <w:sz w:val="22"/>
                <w:szCs w:val="22"/>
                <w:lang w:val="en-US" w:eastAsia="zh-CN"/>
              </w:rPr>
            </w:pPr>
            <w:r>
              <w:rPr>
                <w:rFonts w:hint="eastAsia" w:ascii="宋体"/>
                <w:spacing w:val="50"/>
                <w:sz w:val="22"/>
                <w:szCs w:val="22"/>
                <w:lang w:val="en-US" w:eastAsia="zh-CN"/>
              </w:rPr>
              <w:t>财务部</w:t>
            </w:r>
          </w:p>
        </w:tc>
        <w:tc>
          <w:tcPr>
            <w:tcW w:w="1050" w:type="dxa"/>
            <w:gridSpan w:val="2"/>
            <w:vAlign w:val="center"/>
          </w:tcPr>
          <w:p w14:paraId="511841CC">
            <w:pPr>
              <w:jc w:val="center"/>
              <w:rPr>
                <w:rFonts w:hint="eastAsia" w:ascii="宋体"/>
                <w:spacing w:val="50"/>
                <w:sz w:val="22"/>
                <w:szCs w:val="22"/>
                <w:lang w:val="en-US" w:eastAsia="zh-CN"/>
              </w:rPr>
            </w:pPr>
            <w:r>
              <w:rPr>
                <w:rFonts w:hint="eastAsia" w:ascii="宋体"/>
                <w:spacing w:val="50"/>
                <w:sz w:val="22"/>
                <w:szCs w:val="22"/>
                <w:lang w:val="en-US" w:eastAsia="zh-CN"/>
              </w:rPr>
              <w:t>质量</w:t>
            </w:r>
          </w:p>
          <w:p w14:paraId="02BDEC7B">
            <w:pPr>
              <w:jc w:val="center"/>
              <w:rPr>
                <w:rFonts w:hint="default" w:ascii="宋体"/>
                <w:spacing w:val="50"/>
                <w:sz w:val="22"/>
                <w:szCs w:val="22"/>
                <w:lang w:val="en-US" w:eastAsia="zh-CN"/>
              </w:rPr>
            </w:pPr>
            <w:r>
              <w:rPr>
                <w:rFonts w:hint="eastAsia" w:ascii="宋体"/>
                <w:spacing w:val="50"/>
                <w:sz w:val="22"/>
                <w:szCs w:val="22"/>
                <w:lang w:val="en-US" w:eastAsia="zh-CN"/>
              </w:rPr>
              <w:t>安环部</w:t>
            </w:r>
          </w:p>
        </w:tc>
        <w:tc>
          <w:tcPr>
            <w:tcW w:w="1036" w:type="dxa"/>
            <w:vAlign w:val="center"/>
          </w:tcPr>
          <w:p w14:paraId="00AAB81E">
            <w:pPr>
              <w:jc w:val="center"/>
              <w:rPr>
                <w:rFonts w:hint="default" w:ascii="宋体"/>
                <w:spacing w:val="50"/>
                <w:sz w:val="22"/>
                <w:szCs w:val="22"/>
                <w:lang w:val="en-US" w:eastAsia="zh-CN"/>
              </w:rPr>
            </w:pPr>
            <w:r>
              <w:rPr>
                <w:rFonts w:hint="eastAsia" w:ascii="宋体"/>
                <w:spacing w:val="50"/>
                <w:sz w:val="22"/>
                <w:szCs w:val="22"/>
                <w:lang w:val="en-US" w:eastAsia="zh-CN"/>
              </w:rPr>
              <w:t>项目</w:t>
            </w:r>
          </w:p>
          <w:p w14:paraId="6C982C54">
            <w:pPr>
              <w:jc w:val="center"/>
              <w:rPr>
                <w:rFonts w:hint="default" w:ascii="宋体"/>
                <w:spacing w:val="50"/>
                <w:sz w:val="22"/>
                <w:szCs w:val="22"/>
                <w:lang w:val="en-US" w:eastAsia="zh-CN"/>
              </w:rPr>
            </w:pPr>
            <w:r>
              <w:rPr>
                <w:rFonts w:hint="eastAsia" w:ascii="宋体"/>
                <w:spacing w:val="50"/>
                <w:sz w:val="22"/>
                <w:szCs w:val="22"/>
                <w:lang w:val="en-US" w:eastAsia="zh-CN"/>
              </w:rPr>
              <w:t>管理部</w:t>
            </w:r>
          </w:p>
        </w:tc>
        <w:tc>
          <w:tcPr>
            <w:tcW w:w="1064" w:type="dxa"/>
            <w:gridSpan w:val="2"/>
            <w:vAlign w:val="center"/>
          </w:tcPr>
          <w:p w14:paraId="2C57F46B">
            <w:pPr>
              <w:jc w:val="center"/>
              <w:rPr>
                <w:rFonts w:hint="eastAsia" w:ascii="宋体"/>
                <w:spacing w:val="50"/>
                <w:sz w:val="22"/>
                <w:szCs w:val="22"/>
                <w:lang w:val="en-US" w:eastAsia="zh-CN"/>
              </w:rPr>
            </w:pPr>
            <w:r>
              <w:rPr>
                <w:rFonts w:hint="eastAsia" w:ascii="宋体"/>
                <w:spacing w:val="50"/>
                <w:sz w:val="22"/>
                <w:szCs w:val="22"/>
                <w:lang w:val="en-US" w:eastAsia="zh-CN"/>
              </w:rPr>
              <w:t>物资</w:t>
            </w:r>
          </w:p>
          <w:p w14:paraId="1B0E0F51">
            <w:pPr>
              <w:jc w:val="center"/>
              <w:rPr>
                <w:rFonts w:hint="default" w:ascii="宋体"/>
                <w:spacing w:val="50"/>
                <w:sz w:val="22"/>
                <w:szCs w:val="22"/>
                <w:lang w:val="en-US" w:eastAsia="zh-CN"/>
              </w:rPr>
            </w:pPr>
            <w:r>
              <w:rPr>
                <w:rFonts w:hint="eastAsia" w:ascii="宋体"/>
                <w:spacing w:val="50"/>
                <w:sz w:val="22"/>
                <w:szCs w:val="22"/>
                <w:lang w:val="en-US" w:eastAsia="zh-CN"/>
              </w:rPr>
              <w:t>保障部</w:t>
            </w:r>
          </w:p>
        </w:tc>
        <w:tc>
          <w:tcPr>
            <w:tcW w:w="1411" w:type="dxa"/>
            <w:tcBorders>
              <w:right w:val="single" w:color="auto" w:sz="12" w:space="0"/>
            </w:tcBorders>
            <w:vAlign w:val="center"/>
          </w:tcPr>
          <w:p w14:paraId="1E931151">
            <w:pPr>
              <w:jc w:val="center"/>
              <w:rPr>
                <w:rFonts w:hint="eastAsia" w:ascii="宋体"/>
                <w:spacing w:val="50"/>
                <w:sz w:val="22"/>
                <w:szCs w:val="22"/>
                <w:lang w:val="en-US" w:eastAsia="zh-CN"/>
              </w:rPr>
            </w:pPr>
            <w:r>
              <w:rPr>
                <w:rFonts w:hint="eastAsia" w:ascii="宋体"/>
                <w:spacing w:val="50"/>
                <w:sz w:val="22"/>
                <w:szCs w:val="22"/>
                <w:lang w:val="en-US" w:eastAsia="zh-CN"/>
              </w:rPr>
              <w:t>复材车间</w:t>
            </w:r>
          </w:p>
        </w:tc>
      </w:tr>
      <w:tr w14:paraId="44000B0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48" w:hRule="atLeast"/>
          <w:jc w:val="center"/>
        </w:trPr>
        <w:tc>
          <w:tcPr>
            <w:tcW w:w="713" w:type="dxa"/>
            <w:tcBorders>
              <w:left w:val="single" w:color="auto" w:sz="12" w:space="0"/>
            </w:tcBorders>
            <w:vAlign w:val="center"/>
          </w:tcPr>
          <w:p w14:paraId="22E028A9">
            <w:pPr>
              <w:jc w:val="center"/>
              <w:rPr>
                <w:rFonts w:hint="eastAsia" w:ascii="宋体"/>
                <w:spacing w:val="50"/>
                <w:sz w:val="22"/>
                <w:szCs w:val="22"/>
                <w:lang w:val="en-US" w:eastAsia="zh-CN"/>
              </w:rPr>
            </w:pPr>
            <w:r>
              <w:rPr>
                <w:rFonts w:hint="eastAsia" w:ascii="宋体"/>
                <w:spacing w:val="50"/>
                <w:sz w:val="22"/>
                <w:szCs w:val="22"/>
                <w:lang w:val="en-US" w:eastAsia="zh-CN"/>
              </w:rPr>
              <w:t>份数</w:t>
            </w:r>
          </w:p>
        </w:tc>
        <w:tc>
          <w:tcPr>
            <w:tcW w:w="1037" w:type="dxa"/>
            <w:gridSpan w:val="2"/>
            <w:vAlign w:val="center"/>
          </w:tcPr>
          <w:p w14:paraId="696F9620">
            <w:pPr>
              <w:jc w:val="center"/>
              <w:rPr>
                <w:rFonts w:hint="eastAsia" w:ascii="宋体"/>
                <w:spacing w:val="50"/>
                <w:sz w:val="22"/>
                <w:szCs w:val="22"/>
                <w:lang w:val="en-US" w:eastAsia="zh-CN"/>
              </w:rPr>
            </w:pPr>
            <w:r>
              <w:rPr>
                <w:rFonts w:hint="eastAsia" w:ascii="宋体"/>
                <w:spacing w:val="50"/>
                <w:sz w:val="22"/>
                <w:szCs w:val="22"/>
                <w:lang w:val="en-US" w:eastAsia="zh-CN"/>
              </w:rPr>
              <w:t>1</w:t>
            </w:r>
          </w:p>
        </w:tc>
        <w:tc>
          <w:tcPr>
            <w:tcW w:w="1295" w:type="dxa"/>
            <w:gridSpan w:val="2"/>
            <w:vAlign w:val="center"/>
          </w:tcPr>
          <w:p w14:paraId="292719AC">
            <w:pPr>
              <w:jc w:val="center"/>
              <w:rPr>
                <w:rFonts w:hint="eastAsia" w:ascii="宋体"/>
                <w:spacing w:val="50"/>
                <w:sz w:val="22"/>
                <w:szCs w:val="22"/>
                <w:lang w:val="en-US" w:eastAsia="zh-CN"/>
              </w:rPr>
            </w:pPr>
            <w:r>
              <w:rPr>
                <w:rFonts w:hint="eastAsia" w:ascii="宋体"/>
                <w:spacing w:val="50"/>
                <w:sz w:val="22"/>
                <w:szCs w:val="22"/>
                <w:lang w:val="en-US" w:eastAsia="zh-CN"/>
              </w:rPr>
              <w:t>1</w:t>
            </w:r>
          </w:p>
        </w:tc>
        <w:tc>
          <w:tcPr>
            <w:tcW w:w="1050" w:type="dxa"/>
            <w:vAlign w:val="center"/>
          </w:tcPr>
          <w:p w14:paraId="5492566E">
            <w:pPr>
              <w:jc w:val="center"/>
              <w:rPr>
                <w:rFonts w:hint="eastAsia" w:ascii="宋体"/>
                <w:spacing w:val="50"/>
                <w:sz w:val="22"/>
                <w:szCs w:val="22"/>
                <w:lang w:val="en-US" w:eastAsia="zh-CN"/>
              </w:rPr>
            </w:pPr>
            <w:r>
              <w:rPr>
                <w:rFonts w:hint="eastAsia" w:ascii="宋体"/>
                <w:spacing w:val="50"/>
                <w:sz w:val="22"/>
                <w:szCs w:val="22"/>
                <w:lang w:val="en-US" w:eastAsia="zh-CN"/>
              </w:rPr>
              <w:t>1</w:t>
            </w:r>
          </w:p>
        </w:tc>
        <w:tc>
          <w:tcPr>
            <w:tcW w:w="1064" w:type="dxa"/>
            <w:gridSpan w:val="2"/>
            <w:vAlign w:val="center"/>
          </w:tcPr>
          <w:p w14:paraId="48881344">
            <w:pPr>
              <w:jc w:val="center"/>
              <w:rPr>
                <w:rFonts w:hint="eastAsia" w:ascii="宋体"/>
                <w:spacing w:val="50"/>
                <w:sz w:val="22"/>
                <w:szCs w:val="22"/>
                <w:lang w:val="en-US" w:eastAsia="zh-CN"/>
              </w:rPr>
            </w:pPr>
            <w:r>
              <w:rPr>
                <w:rFonts w:hint="eastAsia" w:ascii="宋体"/>
                <w:spacing w:val="50"/>
                <w:sz w:val="22"/>
                <w:szCs w:val="22"/>
                <w:lang w:val="en-US" w:eastAsia="zh-CN"/>
              </w:rPr>
              <w:t>1</w:t>
            </w:r>
          </w:p>
        </w:tc>
        <w:tc>
          <w:tcPr>
            <w:tcW w:w="1050" w:type="dxa"/>
            <w:gridSpan w:val="2"/>
            <w:vAlign w:val="center"/>
          </w:tcPr>
          <w:p w14:paraId="73F09A19">
            <w:pPr>
              <w:jc w:val="center"/>
              <w:rPr>
                <w:rFonts w:hint="eastAsia" w:ascii="宋体"/>
                <w:spacing w:val="50"/>
                <w:sz w:val="22"/>
                <w:szCs w:val="22"/>
                <w:lang w:val="en-US" w:eastAsia="zh-CN"/>
              </w:rPr>
            </w:pPr>
            <w:r>
              <w:rPr>
                <w:rFonts w:hint="eastAsia" w:ascii="宋体"/>
                <w:spacing w:val="50"/>
                <w:sz w:val="22"/>
                <w:szCs w:val="22"/>
                <w:lang w:val="en-US" w:eastAsia="zh-CN"/>
              </w:rPr>
              <w:t>1</w:t>
            </w:r>
          </w:p>
        </w:tc>
        <w:tc>
          <w:tcPr>
            <w:tcW w:w="1036" w:type="dxa"/>
            <w:vAlign w:val="center"/>
          </w:tcPr>
          <w:p w14:paraId="0C86D623">
            <w:pPr>
              <w:jc w:val="center"/>
              <w:rPr>
                <w:rFonts w:hint="eastAsia" w:ascii="宋体"/>
                <w:spacing w:val="50"/>
                <w:sz w:val="22"/>
                <w:szCs w:val="22"/>
                <w:lang w:val="en-US" w:eastAsia="zh-CN"/>
              </w:rPr>
            </w:pPr>
            <w:r>
              <w:rPr>
                <w:rFonts w:hint="eastAsia" w:ascii="宋体"/>
                <w:spacing w:val="50"/>
                <w:sz w:val="22"/>
                <w:szCs w:val="22"/>
                <w:lang w:val="en-US" w:eastAsia="zh-CN"/>
              </w:rPr>
              <w:t>1</w:t>
            </w:r>
          </w:p>
        </w:tc>
        <w:tc>
          <w:tcPr>
            <w:tcW w:w="1064" w:type="dxa"/>
            <w:gridSpan w:val="2"/>
            <w:vAlign w:val="center"/>
          </w:tcPr>
          <w:p w14:paraId="13B0A08C">
            <w:pPr>
              <w:jc w:val="center"/>
              <w:rPr>
                <w:rFonts w:hint="eastAsia" w:ascii="宋体"/>
                <w:spacing w:val="50"/>
                <w:sz w:val="22"/>
                <w:szCs w:val="22"/>
                <w:lang w:val="en-US" w:eastAsia="zh-CN"/>
              </w:rPr>
            </w:pPr>
            <w:r>
              <w:rPr>
                <w:rFonts w:hint="eastAsia" w:ascii="宋体"/>
                <w:spacing w:val="50"/>
                <w:sz w:val="22"/>
                <w:szCs w:val="22"/>
                <w:lang w:val="en-US" w:eastAsia="zh-CN"/>
              </w:rPr>
              <w:t>1</w:t>
            </w:r>
          </w:p>
        </w:tc>
        <w:tc>
          <w:tcPr>
            <w:tcW w:w="1411" w:type="dxa"/>
            <w:tcBorders>
              <w:right w:val="single" w:color="auto" w:sz="12" w:space="0"/>
            </w:tcBorders>
            <w:vAlign w:val="center"/>
          </w:tcPr>
          <w:p w14:paraId="1919DE5E">
            <w:pPr>
              <w:jc w:val="center"/>
              <w:rPr>
                <w:rFonts w:hint="default" w:ascii="宋体"/>
                <w:spacing w:val="50"/>
                <w:sz w:val="22"/>
                <w:szCs w:val="22"/>
                <w:lang w:val="en-US" w:eastAsia="zh-CN"/>
              </w:rPr>
            </w:pPr>
            <w:r>
              <w:rPr>
                <w:rFonts w:hint="eastAsia" w:ascii="宋体"/>
                <w:spacing w:val="50"/>
                <w:sz w:val="22"/>
                <w:szCs w:val="22"/>
                <w:lang w:val="en-US" w:eastAsia="zh-CN"/>
              </w:rPr>
              <w:t>1</w:t>
            </w:r>
          </w:p>
        </w:tc>
      </w:tr>
      <w:tr w14:paraId="61047BF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88" w:hRule="atLeast"/>
          <w:jc w:val="center"/>
        </w:trPr>
        <w:tc>
          <w:tcPr>
            <w:tcW w:w="713" w:type="dxa"/>
            <w:tcBorders>
              <w:left w:val="single" w:color="auto" w:sz="12" w:space="0"/>
            </w:tcBorders>
            <w:vAlign w:val="center"/>
          </w:tcPr>
          <w:p w14:paraId="03827D82">
            <w:pPr>
              <w:jc w:val="center"/>
              <w:rPr>
                <w:rFonts w:hint="eastAsia" w:ascii="宋体"/>
                <w:spacing w:val="50"/>
                <w:sz w:val="22"/>
                <w:szCs w:val="22"/>
                <w:lang w:val="en-US" w:eastAsia="zh-CN"/>
              </w:rPr>
            </w:pPr>
            <w:r>
              <w:rPr>
                <w:rFonts w:hint="eastAsia" w:ascii="宋体"/>
                <w:spacing w:val="50"/>
                <w:sz w:val="22"/>
                <w:szCs w:val="22"/>
                <w:lang w:val="en-US" w:eastAsia="zh-CN"/>
              </w:rPr>
              <w:t>部门</w:t>
            </w:r>
          </w:p>
        </w:tc>
        <w:tc>
          <w:tcPr>
            <w:tcW w:w="1037" w:type="dxa"/>
            <w:gridSpan w:val="2"/>
            <w:vAlign w:val="center"/>
          </w:tcPr>
          <w:p w14:paraId="535BA1FF">
            <w:pPr>
              <w:jc w:val="center"/>
              <w:rPr>
                <w:rFonts w:hint="eastAsia" w:ascii="宋体"/>
                <w:spacing w:val="50"/>
                <w:sz w:val="22"/>
                <w:szCs w:val="22"/>
                <w:lang w:val="en-US" w:eastAsia="zh-CN"/>
              </w:rPr>
            </w:pPr>
          </w:p>
        </w:tc>
        <w:tc>
          <w:tcPr>
            <w:tcW w:w="1295" w:type="dxa"/>
            <w:gridSpan w:val="2"/>
            <w:vAlign w:val="center"/>
          </w:tcPr>
          <w:p w14:paraId="57657247">
            <w:pPr>
              <w:jc w:val="center"/>
              <w:rPr>
                <w:rFonts w:hint="eastAsia" w:ascii="宋体"/>
                <w:spacing w:val="50"/>
                <w:sz w:val="22"/>
                <w:szCs w:val="22"/>
                <w:lang w:val="en-US" w:eastAsia="zh-CN"/>
              </w:rPr>
            </w:pPr>
          </w:p>
        </w:tc>
        <w:tc>
          <w:tcPr>
            <w:tcW w:w="1050" w:type="dxa"/>
            <w:vAlign w:val="center"/>
          </w:tcPr>
          <w:p w14:paraId="4C2749B5">
            <w:pPr>
              <w:jc w:val="center"/>
              <w:rPr>
                <w:rFonts w:hint="eastAsia" w:ascii="宋体"/>
                <w:spacing w:val="50"/>
                <w:sz w:val="22"/>
                <w:szCs w:val="22"/>
                <w:lang w:val="en-US" w:eastAsia="zh-CN"/>
              </w:rPr>
            </w:pPr>
          </w:p>
        </w:tc>
        <w:tc>
          <w:tcPr>
            <w:tcW w:w="1064" w:type="dxa"/>
            <w:gridSpan w:val="2"/>
            <w:vAlign w:val="center"/>
          </w:tcPr>
          <w:p w14:paraId="38F75196">
            <w:pPr>
              <w:jc w:val="center"/>
              <w:rPr>
                <w:rFonts w:hint="eastAsia" w:ascii="宋体"/>
                <w:spacing w:val="50"/>
                <w:sz w:val="22"/>
                <w:szCs w:val="22"/>
                <w:lang w:val="en-US" w:eastAsia="zh-CN"/>
              </w:rPr>
            </w:pPr>
          </w:p>
        </w:tc>
        <w:tc>
          <w:tcPr>
            <w:tcW w:w="1050" w:type="dxa"/>
            <w:gridSpan w:val="2"/>
            <w:vAlign w:val="center"/>
          </w:tcPr>
          <w:p w14:paraId="3C0F209F">
            <w:pPr>
              <w:jc w:val="center"/>
              <w:rPr>
                <w:rFonts w:hint="eastAsia" w:ascii="宋体"/>
                <w:spacing w:val="50"/>
                <w:sz w:val="22"/>
                <w:szCs w:val="22"/>
                <w:lang w:val="en-US" w:eastAsia="zh-CN"/>
              </w:rPr>
            </w:pPr>
          </w:p>
        </w:tc>
        <w:tc>
          <w:tcPr>
            <w:tcW w:w="1036" w:type="dxa"/>
            <w:vAlign w:val="center"/>
          </w:tcPr>
          <w:p w14:paraId="1D26D5DE">
            <w:pPr>
              <w:jc w:val="center"/>
              <w:rPr>
                <w:rFonts w:hint="eastAsia" w:ascii="宋体"/>
                <w:spacing w:val="50"/>
                <w:sz w:val="22"/>
                <w:szCs w:val="22"/>
                <w:lang w:val="en-US" w:eastAsia="zh-CN"/>
              </w:rPr>
            </w:pPr>
          </w:p>
        </w:tc>
        <w:tc>
          <w:tcPr>
            <w:tcW w:w="1064" w:type="dxa"/>
            <w:gridSpan w:val="2"/>
            <w:vAlign w:val="center"/>
          </w:tcPr>
          <w:p w14:paraId="7A041E9D">
            <w:pPr>
              <w:jc w:val="center"/>
              <w:rPr>
                <w:rFonts w:hint="eastAsia" w:ascii="宋体"/>
                <w:spacing w:val="50"/>
                <w:sz w:val="22"/>
                <w:szCs w:val="22"/>
                <w:lang w:val="en-US" w:eastAsia="zh-CN"/>
              </w:rPr>
            </w:pPr>
          </w:p>
        </w:tc>
        <w:tc>
          <w:tcPr>
            <w:tcW w:w="1411" w:type="dxa"/>
            <w:tcBorders>
              <w:right w:val="single" w:color="auto" w:sz="12" w:space="0"/>
            </w:tcBorders>
            <w:vAlign w:val="center"/>
          </w:tcPr>
          <w:p w14:paraId="52F05054">
            <w:pPr>
              <w:jc w:val="center"/>
              <w:rPr>
                <w:rFonts w:hint="eastAsia" w:ascii="宋体"/>
                <w:spacing w:val="50"/>
                <w:sz w:val="22"/>
                <w:szCs w:val="22"/>
                <w:lang w:val="en-US" w:eastAsia="zh-CN"/>
              </w:rPr>
            </w:pPr>
          </w:p>
        </w:tc>
      </w:tr>
      <w:tr w14:paraId="5B30FAA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49" w:hRule="atLeast"/>
          <w:jc w:val="center"/>
        </w:trPr>
        <w:tc>
          <w:tcPr>
            <w:tcW w:w="713" w:type="dxa"/>
            <w:tcBorders>
              <w:left w:val="single" w:color="auto" w:sz="12" w:space="0"/>
            </w:tcBorders>
            <w:vAlign w:val="center"/>
          </w:tcPr>
          <w:p w14:paraId="36D4C738">
            <w:pPr>
              <w:jc w:val="center"/>
              <w:rPr>
                <w:rFonts w:hint="eastAsia" w:ascii="宋体"/>
                <w:spacing w:val="50"/>
                <w:sz w:val="22"/>
                <w:szCs w:val="22"/>
                <w:lang w:val="en-US" w:eastAsia="zh-CN"/>
              </w:rPr>
            </w:pPr>
            <w:r>
              <w:rPr>
                <w:rFonts w:hint="eastAsia" w:ascii="宋体"/>
                <w:spacing w:val="50"/>
                <w:sz w:val="22"/>
                <w:szCs w:val="22"/>
                <w:lang w:val="en-US" w:eastAsia="zh-CN"/>
              </w:rPr>
              <w:t>份数</w:t>
            </w:r>
          </w:p>
        </w:tc>
        <w:tc>
          <w:tcPr>
            <w:tcW w:w="1037" w:type="dxa"/>
            <w:gridSpan w:val="2"/>
            <w:vAlign w:val="center"/>
          </w:tcPr>
          <w:p w14:paraId="3445BDD6">
            <w:pPr>
              <w:jc w:val="center"/>
              <w:rPr>
                <w:rFonts w:hint="eastAsia" w:ascii="宋体"/>
                <w:spacing w:val="50"/>
                <w:sz w:val="22"/>
                <w:szCs w:val="22"/>
                <w:lang w:val="en-US" w:eastAsia="zh-CN"/>
              </w:rPr>
            </w:pPr>
          </w:p>
        </w:tc>
        <w:tc>
          <w:tcPr>
            <w:tcW w:w="1295" w:type="dxa"/>
            <w:gridSpan w:val="2"/>
            <w:vAlign w:val="center"/>
          </w:tcPr>
          <w:p w14:paraId="657BAB04">
            <w:pPr>
              <w:jc w:val="center"/>
              <w:rPr>
                <w:rFonts w:hint="eastAsia" w:ascii="宋体"/>
                <w:spacing w:val="50"/>
                <w:sz w:val="22"/>
                <w:szCs w:val="22"/>
                <w:lang w:val="en-US" w:eastAsia="zh-CN"/>
              </w:rPr>
            </w:pPr>
          </w:p>
        </w:tc>
        <w:tc>
          <w:tcPr>
            <w:tcW w:w="1050" w:type="dxa"/>
            <w:vAlign w:val="center"/>
          </w:tcPr>
          <w:p w14:paraId="5F578DC1">
            <w:pPr>
              <w:jc w:val="center"/>
              <w:rPr>
                <w:rFonts w:hint="eastAsia" w:ascii="宋体"/>
                <w:spacing w:val="50"/>
                <w:sz w:val="22"/>
                <w:szCs w:val="22"/>
                <w:lang w:val="en-US" w:eastAsia="zh-CN"/>
              </w:rPr>
            </w:pPr>
          </w:p>
        </w:tc>
        <w:tc>
          <w:tcPr>
            <w:tcW w:w="1064" w:type="dxa"/>
            <w:gridSpan w:val="2"/>
            <w:vAlign w:val="center"/>
          </w:tcPr>
          <w:p w14:paraId="37E99F09">
            <w:pPr>
              <w:jc w:val="center"/>
              <w:rPr>
                <w:rFonts w:hint="eastAsia" w:ascii="宋体"/>
                <w:spacing w:val="50"/>
                <w:sz w:val="22"/>
                <w:szCs w:val="22"/>
                <w:lang w:val="en-US" w:eastAsia="zh-CN"/>
              </w:rPr>
            </w:pPr>
          </w:p>
        </w:tc>
        <w:tc>
          <w:tcPr>
            <w:tcW w:w="1050" w:type="dxa"/>
            <w:gridSpan w:val="2"/>
            <w:vAlign w:val="center"/>
          </w:tcPr>
          <w:p w14:paraId="01D09686">
            <w:pPr>
              <w:jc w:val="center"/>
              <w:rPr>
                <w:rFonts w:hint="eastAsia" w:ascii="宋体"/>
                <w:spacing w:val="50"/>
                <w:sz w:val="22"/>
                <w:szCs w:val="22"/>
                <w:lang w:val="en-US" w:eastAsia="zh-CN"/>
              </w:rPr>
            </w:pPr>
          </w:p>
        </w:tc>
        <w:tc>
          <w:tcPr>
            <w:tcW w:w="1036" w:type="dxa"/>
            <w:vAlign w:val="center"/>
          </w:tcPr>
          <w:p w14:paraId="3839F9D9">
            <w:pPr>
              <w:jc w:val="center"/>
              <w:rPr>
                <w:rFonts w:hint="eastAsia" w:ascii="宋体"/>
                <w:spacing w:val="50"/>
                <w:sz w:val="22"/>
                <w:szCs w:val="22"/>
                <w:lang w:val="en-US" w:eastAsia="zh-CN"/>
              </w:rPr>
            </w:pPr>
          </w:p>
        </w:tc>
        <w:tc>
          <w:tcPr>
            <w:tcW w:w="1064" w:type="dxa"/>
            <w:gridSpan w:val="2"/>
            <w:vAlign w:val="center"/>
          </w:tcPr>
          <w:p w14:paraId="6F4C7BD9">
            <w:pPr>
              <w:jc w:val="center"/>
              <w:rPr>
                <w:rFonts w:hint="eastAsia" w:ascii="宋体"/>
                <w:spacing w:val="50"/>
                <w:sz w:val="22"/>
                <w:szCs w:val="22"/>
                <w:lang w:val="en-US" w:eastAsia="zh-CN"/>
              </w:rPr>
            </w:pPr>
          </w:p>
        </w:tc>
        <w:tc>
          <w:tcPr>
            <w:tcW w:w="1411" w:type="dxa"/>
            <w:tcBorders>
              <w:right w:val="single" w:color="auto" w:sz="12" w:space="0"/>
            </w:tcBorders>
            <w:vAlign w:val="center"/>
          </w:tcPr>
          <w:p w14:paraId="6CF9B2E8">
            <w:pPr>
              <w:jc w:val="center"/>
              <w:rPr>
                <w:rFonts w:hint="eastAsia" w:ascii="宋体"/>
                <w:spacing w:val="50"/>
                <w:sz w:val="22"/>
                <w:szCs w:val="22"/>
                <w:lang w:val="en-US" w:eastAsia="zh-CN"/>
              </w:rPr>
            </w:pPr>
          </w:p>
        </w:tc>
      </w:tr>
      <w:tr w14:paraId="3AACF56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79" w:hRule="atLeast"/>
          <w:jc w:val="center"/>
        </w:trPr>
        <w:tc>
          <w:tcPr>
            <w:tcW w:w="1433" w:type="dxa"/>
            <w:gridSpan w:val="2"/>
            <w:tcBorders>
              <w:top w:val="single" w:color="auto" w:sz="6" w:space="0"/>
              <w:left w:val="single" w:color="auto" w:sz="12" w:space="0"/>
              <w:bottom w:val="single" w:color="auto" w:sz="6" w:space="0"/>
              <w:right w:val="single" w:color="auto" w:sz="4" w:space="0"/>
            </w:tcBorders>
            <w:vAlign w:val="center"/>
          </w:tcPr>
          <w:p w14:paraId="19ACA35D">
            <w:pPr>
              <w:jc w:val="center"/>
              <w:rPr>
                <w:rFonts w:hint="eastAsia" w:ascii="宋体"/>
                <w:spacing w:val="100"/>
                <w:sz w:val="24"/>
              </w:rPr>
            </w:pPr>
            <w:r>
              <w:rPr>
                <w:rFonts w:hint="eastAsia" w:ascii="宋体"/>
                <w:spacing w:val="100"/>
                <w:sz w:val="24"/>
              </w:rPr>
              <w:t>编制</w:t>
            </w:r>
          </w:p>
        </w:tc>
        <w:tc>
          <w:tcPr>
            <w:tcW w:w="1612" w:type="dxa"/>
            <w:gridSpan w:val="3"/>
            <w:tcBorders>
              <w:top w:val="single" w:color="auto" w:sz="6" w:space="0"/>
              <w:left w:val="single" w:color="auto" w:sz="4" w:space="0"/>
              <w:bottom w:val="single" w:color="auto" w:sz="6" w:space="0"/>
              <w:right w:val="single" w:color="auto" w:sz="6" w:space="0"/>
            </w:tcBorders>
            <w:vAlign w:val="center"/>
          </w:tcPr>
          <w:p w14:paraId="5160B53F">
            <w:pPr>
              <w:jc w:val="center"/>
              <w:rPr>
                <w:rFonts w:hint="eastAsia" w:ascii="宋体"/>
                <w:spacing w:val="100"/>
                <w:sz w:val="24"/>
              </w:rPr>
            </w:pPr>
          </w:p>
        </w:tc>
        <w:tc>
          <w:tcPr>
            <w:tcW w:w="1555" w:type="dxa"/>
            <w:gridSpan w:val="2"/>
            <w:tcBorders>
              <w:top w:val="single" w:color="auto" w:sz="6" w:space="0"/>
              <w:left w:val="single" w:color="auto" w:sz="6" w:space="0"/>
              <w:bottom w:val="single" w:color="auto" w:sz="6" w:space="0"/>
              <w:right w:val="single" w:color="auto" w:sz="6" w:space="0"/>
            </w:tcBorders>
            <w:vAlign w:val="center"/>
          </w:tcPr>
          <w:p w14:paraId="547A5343">
            <w:pPr>
              <w:jc w:val="center"/>
              <w:rPr>
                <w:rFonts w:hint="eastAsia" w:ascii="宋体"/>
                <w:spacing w:val="100"/>
                <w:sz w:val="24"/>
              </w:rPr>
            </w:pPr>
            <w:r>
              <w:rPr>
                <w:rFonts w:hint="eastAsia" w:ascii="宋体"/>
                <w:spacing w:val="100"/>
                <w:sz w:val="24"/>
              </w:rPr>
              <w:t>校对</w:t>
            </w:r>
          </w:p>
        </w:tc>
        <w:tc>
          <w:tcPr>
            <w:tcW w:w="1609" w:type="dxa"/>
            <w:gridSpan w:val="3"/>
            <w:tcBorders>
              <w:top w:val="single" w:color="auto" w:sz="6" w:space="0"/>
              <w:left w:val="single" w:color="auto" w:sz="6" w:space="0"/>
              <w:bottom w:val="single" w:color="auto" w:sz="6" w:space="0"/>
              <w:right w:val="single" w:color="auto" w:sz="6" w:space="0"/>
            </w:tcBorders>
            <w:vAlign w:val="center"/>
          </w:tcPr>
          <w:p w14:paraId="0BACA7D1">
            <w:pPr>
              <w:jc w:val="center"/>
              <w:rPr>
                <w:rFonts w:hint="eastAsia" w:ascii="宋体"/>
                <w:spacing w:val="100"/>
                <w:sz w:val="24"/>
              </w:rPr>
            </w:pPr>
          </w:p>
        </w:tc>
        <w:tc>
          <w:tcPr>
            <w:tcW w:w="1036" w:type="dxa"/>
            <w:tcBorders>
              <w:top w:val="single" w:color="auto" w:sz="6" w:space="0"/>
              <w:left w:val="single" w:color="auto" w:sz="6" w:space="0"/>
              <w:bottom w:val="single" w:color="auto" w:sz="6" w:space="0"/>
              <w:right w:val="single" w:color="auto" w:sz="4" w:space="0"/>
            </w:tcBorders>
            <w:vAlign w:val="center"/>
          </w:tcPr>
          <w:p w14:paraId="70C17A74">
            <w:pPr>
              <w:jc w:val="center"/>
              <w:rPr>
                <w:rFonts w:hint="eastAsia" w:ascii="宋体"/>
                <w:spacing w:val="100"/>
                <w:sz w:val="24"/>
              </w:rPr>
            </w:pPr>
            <w:r>
              <w:rPr>
                <w:rFonts w:hint="eastAsia" w:ascii="宋体"/>
                <w:spacing w:val="100"/>
                <w:sz w:val="24"/>
              </w:rPr>
              <w:t>审核</w:t>
            </w:r>
          </w:p>
        </w:tc>
        <w:tc>
          <w:tcPr>
            <w:tcW w:w="2475" w:type="dxa"/>
            <w:gridSpan w:val="3"/>
            <w:tcBorders>
              <w:top w:val="single" w:color="auto" w:sz="6" w:space="0"/>
              <w:left w:val="single" w:color="auto" w:sz="4" w:space="0"/>
              <w:bottom w:val="single" w:color="auto" w:sz="6" w:space="0"/>
              <w:right w:val="single" w:color="auto" w:sz="12" w:space="0"/>
            </w:tcBorders>
            <w:vAlign w:val="center"/>
          </w:tcPr>
          <w:p w14:paraId="2EC3A2BC">
            <w:pPr>
              <w:jc w:val="center"/>
              <w:rPr>
                <w:rFonts w:hint="eastAsia" w:ascii="宋体"/>
                <w:spacing w:val="100"/>
                <w:sz w:val="24"/>
              </w:rPr>
            </w:pPr>
          </w:p>
        </w:tc>
      </w:tr>
      <w:tr w14:paraId="0AC84F0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79" w:hRule="atLeast"/>
          <w:jc w:val="center"/>
        </w:trPr>
        <w:tc>
          <w:tcPr>
            <w:tcW w:w="1433" w:type="dxa"/>
            <w:gridSpan w:val="2"/>
            <w:tcBorders>
              <w:top w:val="single" w:color="auto" w:sz="6" w:space="0"/>
              <w:left w:val="single" w:color="auto" w:sz="12" w:space="0"/>
              <w:bottom w:val="single" w:color="auto" w:sz="6" w:space="0"/>
              <w:right w:val="single" w:color="auto" w:sz="4" w:space="0"/>
            </w:tcBorders>
            <w:vAlign w:val="center"/>
          </w:tcPr>
          <w:p w14:paraId="381C6A2A">
            <w:pPr>
              <w:jc w:val="both"/>
              <w:rPr>
                <w:rFonts w:hint="eastAsia" w:ascii="宋体" w:eastAsiaTheme="minorEastAsia"/>
                <w:spacing w:val="100"/>
                <w:sz w:val="24"/>
                <w:lang w:val="en-US" w:eastAsia="zh-CN"/>
              </w:rPr>
            </w:pPr>
            <w:r>
              <w:rPr>
                <w:rFonts w:hint="eastAsia" w:ascii="宋体"/>
                <w:spacing w:val="100"/>
                <w:sz w:val="24"/>
                <w:lang w:val="en-US" w:eastAsia="zh-CN"/>
              </w:rPr>
              <w:t>标准化</w:t>
            </w:r>
          </w:p>
        </w:tc>
        <w:tc>
          <w:tcPr>
            <w:tcW w:w="1612" w:type="dxa"/>
            <w:gridSpan w:val="3"/>
            <w:tcBorders>
              <w:top w:val="single" w:color="auto" w:sz="6" w:space="0"/>
              <w:left w:val="single" w:color="auto" w:sz="4" w:space="0"/>
              <w:bottom w:val="single" w:color="auto" w:sz="6" w:space="0"/>
              <w:right w:val="single" w:color="auto" w:sz="6" w:space="0"/>
            </w:tcBorders>
            <w:vAlign w:val="center"/>
          </w:tcPr>
          <w:p w14:paraId="08211830">
            <w:pPr>
              <w:jc w:val="center"/>
              <w:rPr>
                <w:rFonts w:hint="eastAsia" w:ascii="宋体"/>
                <w:spacing w:val="100"/>
                <w:sz w:val="24"/>
              </w:rPr>
            </w:pPr>
          </w:p>
        </w:tc>
        <w:tc>
          <w:tcPr>
            <w:tcW w:w="1555" w:type="dxa"/>
            <w:gridSpan w:val="2"/>
            <w:tcBorders>
              <w:top w:val="single" w:color="auto" w:sz="6" w:space="0"/>
              <w:left w:val="single" w:color="auto" w:sz="6" w:space="0"/>
              <w:bottom w:val="single" w:color="auto" w:sz="6" w:space="0"/>
              <w:right w:val="single" w:color="auto" w:sz="6" w:space="0"/>
            </w:tcBorders>
            <w:vAlign w:val="center"/>
          </w:tcPr>
          <w:p w14:paraId="3994C693">
            <w:pPr>
              <w:jc w:val="center"/>
              <w:rPr>
                <w:rFonts w:hint="eastAsia" w:ascii="宋体" w:eastAsiaTheme="minorEastAsia"/>
                <w:spacing w:val="100"/>
                <w:sz w:val="24"/>
                <w:lang w:eastAsia="zh-CN"/>
              </w:rPr>
            </w:pPr>
            <w:r>
              <w:rPr>
                <w:rFonts w:hint="eastAsia" w:ascii="宋体"/>
                <w:spacing w:val="100"/>
                <w:sz w:val="24"/>
                <w:lang w:val="en-US" w:eastAsia="zh-CN"/>
              </w:rPr>
              <w:t>批准</w:t>
            </w:r>
          </w:p>
        </w:tc>
        <w:tc>
          <w:tcPr>
            <w:tcW w:w="1609" w:type="dxa"/>
            <w:gridSpan w:val="3"/>
            <w:tcBorders>
              <w:top w:val="single" w:color="auto" w:sz="6" w:space="0"/>
              <w:left w:val="single" w:color="auto" w:sz="6" w:space="0"/>
              <w:bottom w:val="single" w:color="auto" w:sz="6" w:space="0"/>
              <w:right w:val="single" w:color="auto" w:sz="6" w:space="0"/>
            </w:tcBorders>
            <w:vAlign w:val="center"/>
          </w:tcPr>
          <w:p w14:paraId="2C30837C">
            <w:pPr>
              <w:jc w:val="center"/>
              <w:rPr>
                <w:rFonts w:hint="eastAsia" w:ascii="宋体"/>
                <w:spacing w:val="100"/>
                <w:sz w:val="24"/>
              </w:rPr>
            </w:pPr>
          </w:p>
        </w:tc>
        <w:tc>
          <w:tcPr>
            <w:tcW w:w="1036" w:type="dxa"/>
            <w:tcBorders>
              <w:top w:val="single" w:color="auto" w:sz="6" w:space="0"/>
              <w:left w:val="single" w:color="auto" w:sz="6" w:space="0"/>
              <w:bottom w:val="single" w:color="auto" w:sz="6" w:space="0"/>
              <w:right w:val="single" w:color="auto" w:sz="4" w:space="0"/>
            </w:tcBorders>
            <w:vAlign w:val="center"/>
          </w:tcPr>
          <w:p w14:paraId="3D885431">
            <w:pPr>
              <w:jc w:val="center"/>
              <w:rPr>
                <w:rFonts w:hint="eastAsia" w:ascii="宋体" w:eastAsiaTheme="minorEastAsia"/>
                <w:spacing w:val="100"/>
                <w:sz w:val="24"/>
                <w:lang w:eastAsia="zh-CN"/>
              </w:rPr>
            </w:pPr>
            <w:r>
              <w:rPr>
                <w:rFonts w:hint="eastAsia" w:ascii="宋体"/>
                <w:spacing w:val="100"/>
                <w:sz w:val="24"/>
                <w:lang w:val="en-US" w:eastAsia="zh-CN"/>
              </w:rPr>
              <w:t>归档</w:t>
            </w:r>
          </w:p>
        </w:tc>
        <w:tc>
          <w:tcPr>
            <w:tcW w:w="2475" w:type="dxa"/>
            <w:gridSpan w:val="3"/>
            <w:tcBorders>
              <w:top w:val="single" w:color="auto" w:sz="6" w:space="0"/>
              <w:left w:val="single" w:color="auto" w:sz="4" w:space="0"/>
              <w:bottom w:val="single" w:color="auto" w:sz="6" w:space="0"/>
              <w:right w:val="single" w:color="auto" w:sz="12" w:space="0"/>
            </w:tcBorders>
            <w:vAlign w:val="center"/>
          </w:tcPr>
          <w:p w14:paraId="554B489B">
            <w:pPr>
              <w:jc w:val="center"/>
              <w:rPr>
                <w:rFonts w:hint="eastAsia" w:ascii="宋体"/>
                <w:spacing w:val="100"/>
                <w:sz w:val="24"/>
              </w:rPr>
            </w:pPr>
          </w:p>
        </w:tc>
      </w:tr>
      <w:tr w14:paraId="445BBE4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79" w:hRule="atLeast"/>
          <w:jc w:val="center"/>
        </w:trPr>
        <w:tc>
          <w:tcPr>
            <w:tcW w:w="1433" w:type="dxa"/>
            <w:gridSpan w:val="2"/>
            <w:tcBorders>
              <w:top w:val="single" w:color="auto" w:sz="6" w:space="0"/>
              <w:left w:val="single" w:color="auto" w:sz="12" w:space="0"/>
              <w:bottom w:val="single" w:color="auto" w:sz="12" w:space="0"/>
              <w:right w:val="single" w:color="auto" w:sz="4" w:space="0"/>
            </w:tcBorders>
            <w:vAlign w:val="center"/>
          </w:tcPr>
          <w:p w14:paraId="564C064F">
            <w:pPr>
              <w:jc w:val="center"/>
              <w:rPr>
                <w:rFonts w:hint="eastAsia" w:ascii="宋体" w:eastAsiaTheme="minorEastAsia"/>
                <w:spacing w:val="100"/>
                <w:sz w:val="24"/>
                <w:lang w:val="en-US" w:eastAsia="zh-CN"/>
              </w:rPr>
            </w:pPr>
            <w:r>
              <w:rPr>
                <w:rFonts w:hint="eastAsia" w:ascii="宋体"/>
                <w:spacing w:val="100"/>
                <w:sz w:val="24"/>
                <w:lang w:val="en-US" w:eastAsia="zh-CN"/>
              </w:rPr>
              <w:t>会签</w:t>
            </w:r>
          </w:p>
        </w:tc>
        <w:tc>
          <w:tcPr>
            <w:tcW w:w="8287" w:type="dxa"/>
            <w:gridSpan w:val="12"/>
            <w:tcBorders>
              <w:top w:val="single" w:color="auto" w:sz="6" w:space="0"/>
              <w:left w:val="single" w:color="auto" w:sz="4" w:space="0"/>
              <w:bottom w:val="single" w:color="auto" w:sz="12" w:space="0"/>
              <w:right w:val="single" w:color="auto" w:sz="12" w:space="0"/>
            </w:tcBorders>
            <w:vAlign w:val="center"/>
          </w:tcPr>
          <w:p w14:paraId="6B82949A">
            <w:pPr>
              <w:jc w:val="center"/>
              <w:rPr>
                <w:rFonts w:hint="eastAsia" w:ascii="宋体"/>
                <w:spacing w:val="100"/>
                <w:sz w:val="24"/>
              </w:rPr>
            </w:pPr>
          </w:p>
        </w:tc>
      </w:tr>
    </w:tbl>
    <w:p w14:paraId="03EFD619">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b/>
          <w:bCs/>
          <w:sz w:val="32"/>
          <w:szCs w:val="32"/>
          <w:lang w:val="en-US" w:eastAsia="zh-CN"/>
        </w:rPr>
        <w:sectPr>
          <w:pgSz w:w="11906" w:h="16838"/>
          <w:pgMar w:top="1440" w:right="1800" w:bottom="1440" w:left="1800" w:header="851" w:footer="992" w:gutter="0"/>
          <w:pgNumType w:fmt="decimal"/>
          <w:cols w:space="425" w:num="1"/>
          <w:docGrid w:type="lines" w:linePitch="312" w:charSpace="0"/>
        </w:sectPr>
      </w:pPr>
    </w:p>
    <w:p w14:paraId="374E52EB">
      <w:pPr>
        <w:spacing w:before="312" w:beforeLines="100" w:after="312" w:afterLines="100" w:line="440" w:lineRule="exact"/>
        <w:jc w:val="left"/>
        <w:rPr>
          <w:rFonts w:hint="eastAsia" w:ascii="黑体" w:hAnsi="黑体" w:eastAsia="黑体" w:cs="黑体"/>
          <w:sz w:val="28"/>
          <w:lang w:val="en-US" w:eastAsia="zh-CN"/>
        </w:rPr>
      </w:pPr>
      <w:r>
        <w:rPr>
          <w:rFonts w:hint="eastAsia" w:ascii="黑体" w:hAnsi="黑体" w:eastAsia="黑体" w:cs="黑体"/>
          <w:sz w:val="28"/>
          <w:lang w:val="en-US" w:eastAsia="zh-CN"/>
        </w:rPr>
        <w:t>1 目的</w:t>
      </w:r>
    </w:p>
    <w:p w14:paraId="386571D6">
      <w:pPr>
        <w:spacing w:line="440" w:lineRule="exact"/>
        <w:ind w:firstLine="560" w:firstLineChars="200"/>
        <w:jc w:val="left"/>
        <w:rPr>
          <w:rFonts w:hint="eastAsia" w:ascii="Times New Roman" w:hAnsi="Times New Roman" w:eastAsia="宋体" w:cs="Times New Roman"/>
          <w:sz w:val="28"/>
          <w:szCs w:val="28"/>
          <w:lang w:eastAsia="zh-CN"/>
        </w:rPr>
      </w:pPr>
      <w:r>
        <w:rPr>
          <w:rFonts w:hint="eastAsia" w:ascii="Times New Roman" w:hAnsi="Times New Roman" w:eastAsia="宋体" w:cs="Times New Roman"/>
          <w:sz w:val="28"/>
          <w:szCs w:val="28"/>
        </w:rPr>
        <w:t>为了加强公司的成本管理，规范生产成本管理，将企业成本控制在合理的范围内，特制定本</w:t>
      </w:r>
      <w:r>
        <w:rPr>
          <w:rFonts w:hint="eastAsia" w:ascii="Times New Roman" w:hAnsi="Times New Roman" w:eastAsia="宋体" w:cs="Times New Roman"/>
          <w:sz w:val="28"/>
          <w:szCs w:val="28"/>
          <w:lang w:val="en-US" w:eastAsia="zh-CN"/>
        </w:rPr>
        <w:t>程序。</w:t>
      </w:r>
    </w:p>
    <w:p w14:paraId="4FF37C6B">
      <w:pPr>
        <w:spacing w:before="312" w:beforeLines="100" w:after="312" w:afterLines="100" w:line="440" w:lineRule="exact"/>
        <w:jc w:val="left"/>
        <w:rPr>
          <w:rFonts w:hint="eastAsia" w:ascii="黑体" w:hAnsi="黑体" w:eastAsia="黑体" w:cs="黑体"/>
          <w:sz w:val="28"/>
          <w:lang w:val="en-US" w:eastAsia="zh-CN"/>
        </w:rPr>
      </w:pPr>
      <w:r>
        <w:rPr>
          <w:rFonts w:hint="eastAsia" w:ascii="黑体" w:hAnsi="黑体" w:eastAsia="黑体" w:cs="黑体"/>
          <w:sz w:val="28"/>
          <w:lang w:val="en-US" w:eastAsia="zh-CN"/>
        </w:rPr>
        <w:t>2 适用范围</w:t>
      </w:r>
    </w:p>
    <w:p w14:paraId="5D5DEA60">
      <w:pPr>
        <w:ind w:firstLine="560" w:firstLineChars="200"/>
        <w:jc w:val="left"/>
        <w:rPr>
          <w:rFonts w:hint="eastAsia" w:ascii="Times New Roman" w:hAnsi="Times New Roman" w:eastAsia="宋体" w:cs="Times New Roman"/>
          <w:kern w:val="0"/>
          <w:sz w:val="28"/>
          <w:lang w:val="en-US" w:eastAsia="zh-CN" w:bidi="en-US"/>
        </w:rPr>
      </w:pPr>
      <w:r>
        <w:rPr>
          <w:rFonts w:hint="eastAsia" w:ascii="Times New Roman" w:hAnsi="Times New Roman" w:eastAsia="宋体" w:cs="Times New Roman"/>
          <w:kern w:val="0"/>
          <w:sz w:val="28"/>
          <w:lang w:val="en-US" w:eastAsia="zh-CN" w:bidi="en-US"/>
        </w:rPr>
        <w:t>本程序适用于公司内全部单位。</w:t>
      </w:r>
    </w:p>
    <w:p w14:paraId="23BA2B97">
      <w:pPr>
        <w:spacing w:before="312" w:beforeLines="100" w:after="312" w:afterLines="100" w:line="440" w:lineRule="exact"/>
        <w:jc w:val="left"/>
        <w:rPr>
          <w:rFonts w:hint="default" w:ascii="黑体" w:hAnsi="黑体" w:eastAsia="黑体" w:cs="黑体"/>
          <w:sz w:val="28"/>
          <w:lang w:val="en-US" w:eastAsia="zh-CN"/>
        </w:rPr>
      </w:pPr>
      <w:r>
        <w:rPr>
          <w:rFonts w:hint="eastAsia" w:ascii="黑体" w:hAnsi="黑体" w:eastAsia="黑体" w:cs="黑体"/>
          <w:sz w:val="28"/>
          <w:lang w:val="en-US" w:eastAsia="zh-CN"/>
        </w:rPr>
        <w:t>3 术语和定义</w:t>
      </w:r>
    </w:p>
    <w:p w14:paraId="08DDADC9">
      <w:pPr>
        <w:ind w:firstLine="560" w:firstLineChars="200"/>
        <w:jc w:val="left"/>
        <w:rPr>
          <w:rFonts w:hint="default" w:ascii="Times New Roman" w:hAnsi="Times New Roman" w:eastAsia="宋体" w:cs="Times New Roman"/>
          <w:kern w:val="0"/>
          <w:sz w:val="28"/>
          <w:lang w:val="en-US" w:eastAsia="zh-CN" w:bidi="en-US"/>
        </w:rPr>
      </w:pPr>
      <w:r>
        <w:rPr>
          <w:rFonts w:hint="eastAsia" w:ascii="Times New Roman" w:hAnsi="Times New Roman" w:eastAsia="宋体" w:cs="Times New Roman"/>
          <w:kern w:val="0"/>
          <w:sz w:val="28"/>
          <w:lang w:val="en-US" w:eastAsia="zh-CN" w:bidi="en-US"/>
        </w:rPr>
        <w:t>无</w:t>
      </w:r>
    </w:p>
    <w:p w14:paraId="2A6CE3D8">
      <w:pPr>
        <w:spacing w:before="312" w:beforeLines="100" w:after="312" w:afterLines="100" w:line="440" w:lineRule="exact"/>
        <w:jc w:val="left"/>
        <w:rPr>
          <w:rFonts w:hint="eastAsia" w:ascii="黑体" w:hAnsi="黑体" w:eastAsia="黑体" w:cs="黑体"/>
          <w:sz w:val="28"/>
          <w:lang w:val="en-US" w:eastAsia="zh-CN"/>
        </w:rPr>
      </w:pPr>
      <w:r>
        <w:rPr>
          <w:rFonts w:hint="eastAsia" w:ascii="黑体" w:hAnsi="黑体" w:eastAsia="黑体" w:cs="黑体"/>
          <w:sz w:val="28"/>
          <w:lang w:val="en-US" w:eastAsia="zh-CN"/>
        </w:rPr>
        <w:t>4 职责和权限</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97"/>
        <w:gridCol w:w="6725"/>
      </w:tblGrid>
      <w:tr w14:paraId="526477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1833" w:type="dxa"/>
            <w:vAlign w:val="center"/>
          </w:tcPr>
          <w:p w14:paraId="158F3FB9">
            <w:pPr>
              <w:widowControl/>
              <w:wordWrap w:val="0"/>
              <w:adjustRightInd w:val="0"/>
              <w:snapToGrid w:val="0"/>
              <w:spacing w:line="240" w:lineRule="auto"/>
              <w:ind w:firstLine="0" w:firstLineChars="0"/>
              <w:jc w:val="center"/>
              <w:rPr>
                <w:rFonts w:hint="default" w:cs="Times New Roman" w:asciiTheme="minorEastAsia" w:hAnsiTheme="minorEastAsia" w:eastAsiaTheme="minorEastAsia"/>
                <w:bCs/>
                <w:color w:val="000000"/>
                <w:kern w:val="0"/>
                <w:sz w:val="24"/>
                <w:szCs w:val="24"/>
                <w:lang w:val="en-US" w:eastAsia="zh-CN" w:bidi="en-US"/>
              </w:rPr>
            </w:pPr>
            <w:r>
              <w:rPr>
                <w:rFonts w:hint="eastAsia" w:cs="Times New Roman" w:asciiTheme="minorEastAsia" w:hAnsiTheme="minorEastAsia" w:eastAsiaTheme="minorEastAsia"/>
                <w:bCs/>
                <w:color w:val="000000"/>
                <w:kern w:val="0"/>
                <w:sz w:val="24"/>
                <w:szCs w:val="24"/>
                <w:lang w:val="en-US" w:eastAsia="zh-CN" w:bidi="en-US"/>
              </w:rPr>
              <w:t>部</w:t>
            </w:r>
            <w:r>
              <w:rPr>
                <w:rFonts w:hint="eastAsia" w:cs="Times New Roman" w:asciiTheme="minorEastAsia" w:hAnsiTheme="minorEastAsia"/>
                <w:bCs/>
                <w:color w:val="000000"/>
                <w:kern w:val="0"/>
                <w:sz w:val="24"/>
                <w:szCs w:val="24"/>
                <w:lang w:val="en-US" w:eastAsia="zh-CN" w:bidi="en-US"/>
              </w:rPr>
              <w:t xml:space="preserve"> </w:t>
            </w:r>
            <w:r>
              <w:rPr>
                <w:rFonts w:hint="eastAsia" w:cs="Times New Roman" w:asciiTheme="minorEastAsia" w:hAnsiTheme="minorEastAsia" w:eastAsiaTheme="minorEastAsia"/>
                <w:bCs/>
                <w:color w:val="000000"/>
                <w:kern w:val="0"/>
                <w:sz w:val="24"/>
                <w:szCs w:val="24"/>
                <w:lang w:val="en-US" w:eastAsia="zh-CN" w:bidi="en-US"/>
              </w:rPr>
              <w:t>门</w:t>
            </w:r>
          </w:p>
        </w:tc>
        <w:tc>
          <w:tcPr>
            <w:tcW w:w="6887" w:type="dxa"/>
            <w:vAlign w:val="center"/>
          </w:tcPr>
          <w:p w14:paraId="5D690861">
            <w:pPr>
              <w:widowControl/>
              <w:wordWrap w:val="0"/>
              <w:adjustRightInd w:val="0"/>
              <w:snapToGrid w:val="0"/>
              <w:spacing w:line="240" w:lineRule="auto"/>
              <w:ind w:firstLine="0" w:firstLineChars="0"/>
              <w:jc w:val="center"/>
              <w:rPr>
                <w:rFonts w:hint="default" w:cs="Times New Roman" w:asciiTheme="minorEastAsia" w:hAnsiTheme="minorEastAsia" w:eastAsiaTheme="minorEastAsia"/>
                <w:bCs/>
                <w:color w:val="000000"/>
                <w:kern w:val="0"/>
                <w:sz w:val="24"/>
                <w:szCs w:val="24"/>
                <w:lang w:val="en-US" w:eastAsia="zh-CN" w:bidi="en-US"/>
              </w:rPr>
            </w:pPr>
            <w:r>
              <w:rPr>
                <w:rFonts w:hint="eastAsia" w:cs="Times New Roman" w:asciiTheme="minorEastAsia" w:hAnsiTheme="minorEastAsia" w:eastAsiaTheme="minorEastAsia"/>
                <w:bCs/>
                <w:color w:val="000000"/>
                <w:kern w:val="0"/>
                <w:sz w:val="24"/>
                <w:szCs w:val="24"/>
                <w:lang w:val="en-US" w:eastAsia="zh-CN" w:bidi="en-US"/>
              </w:rPr>
              <w:t>主</w:t>
            </w:r>
            <w:r>
              <w:rPr>
                <w:rFonts w:hint="eastAsia" w:cs="Times New Roman" w:asciiTheme="minorEastAsia" w:hAnsiTheme="minorEastAsia"/>
                <w:bCs/>
                <w:color w:val="000000"/>
                <w:kern w:val="0"/>
                <w:sz w:val="24"/>
                <w:szCs w:val="24"/>
                <w:lang w:val="en-US" w:eastAsia="zh-CN" w:bidi="en-US"/>
              </w:rPr>
              <w:t xml:space="preserve"> </w:t>
            </w:r>
            <w:r>
              <w:rPr>
                <w:rFonts w:hint="eastAsia" w:cs="Times New Roman" w:asciiTheme="minorEastAsia" w:hAnsiTheme="minorEastAsia" w:eastAsiaTheme="minorEastAsia"/>
                <w:bCs/>
                <w:color w:val="000000"/>
                <w:kern w:val="0"/>
                <w:sz w:val="24"/>
                <w:szCs w:val="24"/>
                <w:lang w:val="en-US" w:eastAsia="zh-CN" w:bidi="en-US"/>
              </w:rPr>
              <w:t>要</w:t>
            </w:r>
            <w:r>
              <w:rPr>
                <w:rFonts w:hint="eastAsia" w:cs="Times New Roman" w:asciiTheme="minorEastAsia" w:hAnsiTheme="minorEastAsia"/>
                <w:bCs/>
                <w:color w:val="000000"/>
                <w:kern w:val="0"/>
                <w:sz w:val="24"/>
                <w:szCs w:val="24"/>
                <w:lang w:val="en-US" w:eastAsia="zh-CN" w:bidi="en-US"/>
              </w:rPr>
              <w:t xml:space="preserve"> </w:t>
            </w:r>
            <w:r>
              <w:rPr>
                <w:rFonts w:hint="eastAsia" w:cs="Times New Roman" w:asciiTheme="minorEastAsia" w:hAnsiTheme="minorEastAsia" w:eastAsiaTheme="minorEastAsia"/>
                <w:bCs/>
                <w:color w:val="000000"/>
                <w:kern w:val="0"/>
                <w:sz w:val="24"/>
                <w:szCs w:val="24"/>
                <w:lang w:val="en-US" w:eastAsia="zh-CN" w:bidi="en-US"/>
              </w:rPr>
              <w:t>职</w:t>
            </w:r>
            <w:r>
              <w:rPr>
                <w:rFonts w:hint="eastAsia" w:cs="Times New Roman" w:asciiTheme="minorEastAsia" w:hAnsiTheme="minorEastAsia"/>
                <w:bCs/>
                <w:color w:val="000000"/>
                <w:kern w:val="0"/>
                <w:sz w:val="24"/>
                <w:szCs w:val="24"/>
                <w:lang w:val="en-US" w:eastAsia="zh-CN" w:bidi="en-US"/>
              </w:rPr>
              <w:t xml:space="preserve"> </w:t>
            </w:r>
            <w:r>
              <w:rPr>
                <w:rFonts w:hint="eastAsia" w:cs="Times New Roman" w:asciiTheme="minorEastAsia" w:hAnsiTheme="minorEastAsia" w:eastAsiaTheme="minorEastAsia"/>
                <w:bCs/>
                <w:color w:val="000000"/>
                <w:kern w:val="0"/>
                <w:sz w:val="24"/>
                <w:szCs w:val="24"/>
                <w:lang w:val="en-US" w:eastAsia="zh-CN" w:bidi="en-US"/>
              </w:rPr>
              <w:t>责</w:t>
            </w:r>
            <w:r>
              <w:rPr>
                <w:rFonts w:hint="eastAsia" w:cs="Times New Roman" w:asciiTheme="minorEastAsia" w:hAnsiTheme="minorEastAsia"/>
                <w:bCs/>
                <w:color w:val="000000"/>
                <w:kern w:val="0"/>
                <w:sz w:val="24"/>
                <w:szCs w:val="24"/>
                <w:lang w:val="en-US" w:eastAsia="zh-CN" w:bidi="en-US"/>
              </w:rPr>
              <w:t xml:space="preserve"> </w:t>
            </w:r>
            <w:r>
              <w:rPr>
                <w:rFonts w:hint="eastAsia" w:cs="Times New Roman" w:asciiTheme="minorEastAsia" w:hAnsiTheme="minorEastAsia" w:eastAsiaTheme="minorEastAsia"/>
                <w:bCs/>
                <w:color w:val="000000"/>
                <w:kern w:val="0"/>
                <w:sz w:val="24"/>
                <w:szCs w:val="24"/>
                <w:lang w:val="en-US" w:eastAsia="zh-CN" w:bidi="en-US"/>
              </w:rPr>
              <w:t>描</w:t>
            </w:r>
            <w:r>
              <w:rPr>
                <w:rFonts w:hint="eastAsia" w:cs="Times New Roman" w:asciiTheme="minorEastAsia" w:hAnsiTheme="minorEastAsia"/>
                <w:bCs/>
                <w:color w:val="000000"/>
                <w:kern w:val="0"/>
                <w:sz w:val="24"/>
                <w:szCs w:val="24"/>
                <w:lang w:val="en-US" w:eastAsia="zh-CN" w:bidi="en-US"/>
              </w:rPr>
              <w:t xml:space="preserve"> </w:t>
            </w:r>
            <w:r>
              <w:rPr>
                <w:rFonts w:hint="eastAsia" w:cs="Times New Roman" w:asciiTheme="minorEastAsia" w:hAnsiTheme="minorEastAsia" w:eastAsiaTheme="minorEastAsia"/>
                <w:bCs/>
                <w:color w:val="000000"/>
                <w:kern w:val="0"/>
                <w:sz w:val="24"/>
                <w:szCs w:val="24"/>
                <w:lang w:val="en-US" w:eastAsia="zh-CN" w:bidi="en-US"/>
              </w:rPr>
              <w:t>述</w:t>
            </w:r>
          </w:p>
        </w:tc>
      </w:tr>
      <w:tr w14:paraId="108A83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48" w:hRule="atLeast"/>
        </w:trPr>
        <w:tc>
          <w:tcPr>
            <w:tcW w:w="1833" w:type="dxa"/>
            <w:vAlign w:val="center"/>
          </w:tcPr>
          <w:p w14:paraId="68AACEC1">
            <w:pPr>
              <w:numPr>
                <w:ilvl w:val="0"/>
                <w:numId w:val="0"/>
              </w:numPr>
              <w:jc w:val="center"/>
              <w:rPr>
                <w:rFonts w:hint="eastAsia" w:asciiTheme="minorEastAsia" w:hAnsiTheme="minorEastAsia" w:eastAsiaTheme="minorEastAsia" w:cstheme="minorEastAsia"/>
                <w:b w:val="0"/>
                <w:bCs w:val="0"/>
                <w:sz w:val="24"/>
                <w:szCs w:val="24"/>
                <w:highlight w:val="none"/>
                <w:vertAlign w:val="baseline"/>
                <w:lang w:val="en-US" w:eastAsia="zh-CN"/>
              </w:rPr>
            </w:pPr>
            <w:r>
              <w:rPr>
                <w:rFonts w:hint="eastAsia" w:asciiTheme="minorEastAsia" w:hAnsiTheme="minorEastAsia" w:eastAsiaTheme="minorEastAsia" w:cstheme="minorEastAsia"/>
                <w:b w:val="0"/>
                <w:bCs w:val="0"/>
                <w:sz w:val="24"/>
                <w:szCs w:val="24"/>
                <w:highlight w:val="none"/>
                <w:vertAlign w:val="baseline"/>
                <w:lang w:val="en-US" w:eastAsia="zh-CN"/>
              </w:rPr>
              <w:t>复材车间</w:t>
            </w:r>
          </w:p>
        </w:tc>
        <w:tc>
          <w:tcPr>
            <w:tcW w:w="6887" w:type="dxa"/>
            <w:vAlign w:val="center"/>
          </w:tcPr>
          <w:p w14:paraId="20AA8D06">
            <w:pPr>
              <w:numPr>
                <w:ilvl w:val="0"/>
                <w:numId w:val="0"/>
              </w:numPr>
              <w:jc w:val="both"/>
              <w:rPr>
                <w:rFonts w:hint="eastAsia" w:asciiTheme="minorEastAsia" w:hAnsiTheme="minorEastAsia" w:eastAsiaTheme="minorEastAsia" w:cstheme="minorEastAsia"/>
                <w:b/>
                <w:bCs/>
                <w:sz w:val="24"/>
                <w:szCs w:val="24"/>
                <w:highlight w:val="none"/>
                <w:vertAlign w:val="baseline"/>
                <w:lang w:val="en-US" w:eastAsia="zh-CN"/>
              </w:rPr>
            </w:pPr>
            <w:r>
              <w:rPr>
                <w:rFonts w:hint="eastAsia" w:asciiTheme="minorEastAsia" w:hAnsiTheme="minorEastAsia" w:eastAsiaTheme="minorEastAsia" w:cstheme="minorEastAsia"/>
                <w:b w:val="0"/>
                <w:bCs w:val="0"/>
                <w:sz w:val="24"/>
                <w:szCs w:val="24"/>
                <w:highlight w:val="none"/>
                <w:vertAlign w:val="baseline"/>
                <w:lang w:val="en-US" w:eastAsia="zh-CN"/>
              </w:rPr>
              <w:t>复材车间需强化物耗、能耗及加工损失管控，降低生产损耗，提升产品产量；同时加强维修和设备更新费用预算</w:t>
            </w:r>
            <w:r>
              <w:rPr>
                <w:rFonts w:hint="eastAsia" w:asciiTheme="minorEastAsia" w:hAnsiTheme="minorEastAsia" w:cstheme="minorEastAsia"/>
                <w:b w:val="0"/>
                <w:bCs w:val="0"/>
                <w:sz w:val="24"/>
                <w:szCs w:val="24"/>
                <w:highlight w:val="none"/>
                <w:vertAlign w:val="baseline"/>
                <w:lang w:val="en-US" w:eastAsia="zh-CN"/>
              </w:rPr>
              <w:t>控制</w:t>
            </w:r>
            <w:r>
              <w:rPr>
                <w:rFonts w:hint="eastAsia" w:asciiTheme="minorEastAsia" w:hAnsiTheme="minorEastAsia" w:eastAsiaTheme="minorEastAsia" w:cstheme="minorEastAsia"/>
                <w:b w:val="0"/>
                <w:bCs w:val="0"/>
                <w:sz w:val="24"/>
                <w:szCs w:val="24"/>
                <w:highlight w:val="none"/>
                <w:vertAlign w:val="baseline"/>
                <w:lang w:val="en-US" w:eastAsia="zh-CN"/>
              </w:rPr>
              <w:t>，通过规范操作、维护保养及提升大修质量，保障装置长周期稳定运行</w:t>
            </w:r>
            <w:r>
              <w:rPr>
                <w:rFonts w:hint="eastAsia" w:asciiTheme="minorEastAsia" w:hAnsiTheme="minorEastAsia" w:cstheme="minorEastAsia"/>
                <w:b w:val="0"/>
                <w:bCs w:val="0"/>
                <w:sz w:val="24"/>
                <w:szCs w:val="24"/>
                <w:highlight w:val="none"/>
                <w:vertAlign w:val="baseline"/>
                <w:lang w:val="en-US" w:eastAsia="zh-CN"/>
              </w:rPr>
              <w:t>。</w:t>
            </w:r>
          </w:p>
        </w:tc>
      </w:tr>
      <w:tr w14:paraId="56FEC9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vAlign w:val="center"/>
          </w:tcPr>
          <w:p w14:paraId="0AFCCA98">
            <w:pPr>
              <w:numPr>
                <w:ilvl w:val="0"/>
                <w:numId w:val="0"/>
              </w:numPr>
              <w:jc w:val="center"/>
              <w:rPr>
                <w:rFonts w:hint="eastAsia" w:asciiTheme="minorEastAsia" w:hAnsiTheme="minorEastAsia" w:eastAsiaTheme="minorEastAsia" w:cstheme="minorEastAsia"/>
                <w:b w:val="0"/>
                <w:bCs w:val="0"/>
                <w:sz w:val="24"/>
                <w:szCs w:val="24"/>
                <w:highlight w:val="none"/>
                <w:vertAlign w:val="baseline"/>
                <w:lang w:val="en-US" w:eastAsia="zh-CN"/>
              </w:rPr>
            </w:pPr>
            <w:r>
              <w:rPr>
                <w:rFonts w:hint="eastAsia" w:asciiTheme="minorEastAsia" w:hAnsiTheme="minorEastAsia" w:eastAsiaTheme="minorEastAsia" w:cstheme="minorEastAsia"/>
                <w:b w:val="0"/>
                <w:bCs w:val="0"/>
                <w:sz w:val="24"/>
                <w:szCs w:val="24"/>
                <w:highlight w:val="none"/>
                <w:vertAlign w:val="baseline"/>
                <w:lang w:val="en-US" w:eastAsia="zh-CN"/>
              </w:rPr>
              <w:t>财务部</w:t>
            </w:r>
          </w:p>
        </w:tc>
        <w:tc>
          <w:tcPr>
            <w:tcW w:w="6887" w:type="dxa"/>
            <w:vAlign w:val="center"/>
          </w:tcPr>
          <w:p w14:paraId="0789D992">
            <w:pPr>
              <w:numPr>
                <w:ilvl w:val="0"/>
                <w:numId w:val="0"/>
              </w:numPr>
              <w:jc w:val="both"/>
              <w:rPr>
                <w:rFonts w:hint="eastAsia" w:asciiTheme="minorEastAsia" w:hAnsiTheme="minorEastAsia" w:eastAsiaTheme="minorEastAsia" w:cstheme="minorEastAsia"/>
                <w:i w:val="0"/>
                <w:iCs w:val="0"/>
                <w:caps w:val="0"/>
                <w:color w:val="404040"/>
                <w:spacing w:val="0"/>
                <w:sz w:val="24"/>
                <w:szCs w:val="24"/>
                <w:shd w:val="clear" w:fill="FFFFFF"/>
                <w:lang w:eastAsia="zh-CN"/>
              </w:rPr>
            </w:pPr>
            <w:r>
              <w:rPr>
                <w:rFonts w:hint="eastAsia" w:asciiTheme="minorEastAsia" w:hAnsiTheme="minorEastAsia" w:eastAsiaTheme="minorEastAsia" w:cstheme="minorEastAsia"/>
                <w:i w:val="0"/>
                <w:iCs w:val="0"/>
                <w:caps w:val="0"/>
                <w:color w:val="404040"/>
                <w:spacing w:val="0"/>
                <w:sz w:val="24"/>
                <w:szCs w:val="24"/>
                <w:shd w:val="clear" w:fill="FFFFFF"/>
              </w:rPr>
              <w:t>加强和完善成本管理的基础工作，审核成本、费用预算，监督各部门、各产品的成本费用支出情况；按照规定的成本费用项目，登记成本费用明细账分类核算，准确、及时核算归集产品成本，监督成本预算执行情况</w:t>
            </w:r>
            <w:r>
              <w:rPr>
                <w:rFonts w:hint="eastAsia" w:asciiTheme="minorEastAsia" w:hAnsiTheme="minorEastAsia" w:cstheme="minorEastAsia"/>
                <w:i w:val="0"/>
                <w:iCs w:val="0"/>
                <w:caps w:val="0"/>
                <w:color w:val="404040"/>
                <w:spacing w:val="0"/>
                <w:sz w:val="24"/>
                <w:szCs w:val="24"/>
                <w:shd w:val="clear" w:fill="FFFFFF"/>
                <w:lang w:eastAsia="zh-CN"/>
              </w:rPr>
              <w:t>。</w:t>
            </w:r>
          </w:p>
        </w:tc>
      </w:tr>
      <w:tr w14:paraId="73C79F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vAlign w:val="center"/>
          </w:tcPr>
          <w:p w14:paraId="0165AC1A">
            <w:pPr>
              <w:numPr>
                <w:ilvl w:val="0"/>
                <w:numId w:val="0"/>
              </w:numPr>
              <w:jc w:val="center"/>
              <w:rPr>
                <w:rFonts w:hint="eastAsia" w:asciiTheme="minorEastAsia" w:hAnsiTheme="minorEastAsia" w:eastAsiaTheme="minorEastAsia" w:cstheme="minorEastAsia"/>
                <w:b w:val="0"/>
                <w:bCs w:val="0"/>
                <w:sz w:val="24"/>
                <w:szCs w:val="24"/>
              </w:rPr>
            </w:pPr>
            <w:r>
              <w:rPr>
                <w:rFonts w:hint="eastAsia" w:asciiTheme="minorEastAsia" w:hAnsiTheme="minorEastAsia" w:cstheme="minorEastAsia"/>
                <w:b w:val="0"/>
                <w:bCs w:val="0"/>
                <w:sz w:val="24"/>
                <w:szCs w:val="24"/>
                <w:highlight w:val="none"/>
                <w:vertAlign w:val="baseline"/>
                <w:lang w:val="en-US" w:eastAsia="zh-CN"/>
              </w:rPr>
              <w:t>经营发展</w:t>
            </w:r>
            <w:r>
              <w:rPr>
                <w:rFonts w:hint="eastAsia" w:asciiTheme="minorEastAsia" w:hAnsiTheme="minorEastAsia" w:eastAsiaTheme="minorEastAsia" w:cstheme="minorEastAsia"/>
                <w:b w:val="0"/>
                <w:bCs w:val="0"/>
                <w:sz w:val="24"/>
                <w:szCs w:val="24"/>
                <w:highlight w:val="none"/>
                <w:vertAlign w:val="baseline"/>
                <w:lang w:val="en-US" w:eastAsia="zh-CN"/>
              </w:rPr>
              <w:t>部</w:t>
            </w:r>
          </w:p>
        </w:tc>
        <w:tc>
          <w:tcPr>
            <w:tcW w:w="6887" w:type="dxa"/>
            <w:vAlign w:val="center"/>
          </w:tcPr>
          <w:p w14:paraId="02CC2C25">
            <w:pPr>
              <w:numPr>
                <w:ilvl w:val="0"/>
                <w:numId w:val="0"/>
              </w:numPr>
              <w:jc w:val="both"/>
              <w:rPr>
                <w:rFonts w:hint="eastAsia" w:asciiTheme="minorEastAsia" w:hAnsiTheme="minorEastAsia" w:eastAsiaTheme="minorEastAsia" w:cstheme="minorEastAsia"/>
                <w:i w:val="0"/>
                <w:iCs w:val="0"/>
                <w:caps w:val="0"/>
                <w:color w:val="404040"/>
                <w:spacing w:val="0"/>
                <w:sz w:val="24"/>
                <w:szCs w:val="24"/>
                <w:shd w:val="clear" w:fill="FFFFFF"/>
                <w:lang w:eastAsia="zh-CN"/>
              </w:rPr>
            </w:pPr>
            <w:r>
              <w:rPr>
                <w:rFonts w:hint="eastAsia" w:asciiTheme="minorEastAsia" w:hAnsiTheme="minorEastAsia" w:eastAsiaTheme="minorEastAsia" w:cstheme="minorEastAsia"/>
                <w:i w:val="0"/>
                <w:iCs w:val="0"/>
                <w:caps w:val="0"/>
                <w:color w:val="404040"/>
                <w:spacing w:val="0"/>
                <w:sz w:val="24"/>
                <w:szCs w:val="24"/>
                <w:shd w:val="clear" w:fill="FFFFFF"/>
              </w:rPr>
              <w:t>需严控原材料及物资采购成本，通过优化供应商选择、减少中间环节和库存积压，从源头降低产品成本；同时要适应市场变化，推行直供采购和集中订货，提高采购效率，实现降本增效</w:t>
            </w:r>
            <w:r>
              <w:rPr>
                <w:rFonts w:hint="eastAsia" w:asciiTheme="minorEastAsia" w:hAnsiTheme="minorEastAsia" w:cstheme="minorEastAsia"/>
                <w:i w:val="0"/>
                <w:iCs w:val="0"/>
                <w:caps w:val="0"/>
                <w:color w:val="404040"/>
                <w:spacing w:val="0"/>
                <w:sz w:val="24"/>
                <w:szCs w:val="24"/>
                <w:shd w:val="clear" w:fill="FFFFFF"/>
                <w:lang w:eastAsia="zh-CN"/>
              </w:rPr>
              <w:t>；</w:t>
            </w:r>
            <w:r>
              <w:rPr>
                <w:rFonts w:hint="eastAsia" w:asciiTheme="minorEastAsia" w:hAnsiTheme="minorEastAsia" w:eastAsiaTheme="minorEastAsia" w:cstheme="minorEastAsia"/>
                <w:i w:val="0"/>
                <w:iCs w:val="0"/>
                <w:caps w:val="0"/>
                <w:color w:val="404040"/>
                <w:spacing w:val="0"/>
                <w:sz w:val="24"/>
                <w:szCs w:val="24"/>
                <w:shd w:val="clear" w:fill="FFFFFF"/>
              </w:rPr>
              <w:t>依据不同工序和工艺流程制定科学的人工工时定额标准；定额员需在产品投产前，针对每个零件编号的各道工序精准设定人工及设备工时，确保生产效能优化</w:t>
            </w:r>
            <w:r>
              <w:rPr>
                <w:rFonts w:hint="eastAsia" w:asciiTheme="minorEastAsia" w:hAnsiTheme="minorEastAsia" w:cstheme="minorEastAsia"/>
                <w:i w:val="0"/>
                <w:iCs w:val="0"/>
                <w:caps w:val="0"/>
                <w:color w:val="404040"/>
                <w:spacing w:val="0"/>
                <w:sz w:val="24"/>
                <w:szCs w:val="24"/>
                <w:shd w:val="clear" w:fill="FFFFFF"/>
                <w:lang w:eastAsia="zh-CN"/>
              </w:rPr>
              <w:t>。</w:t>
            </w:r>
          </w:p>
        </w:tc>
      </w:tr>
      <w:tr w14:paraId="77BE21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vAlign w:val="center"/>
          </w:tcPr>
          <w:p w14:paraId="2C5013C8">
            <w:pPr>
              <w:numPr>
                <w:ilvl w:val="0"/>
                <w:numId w:val="0"/>
              </w:numPr>
              <w:jc w:val="center"/>
              <w:rPr>
                <w:rFonts w:hint="eastAsia" w:asciiTheme="minorEastAsia" w:hAnsiTheme="minorEastAsia" w:eastAsiaTheme="minorEastAsia" w:cstheme="minorEastAsia"/>
                <w:b w:val="0"/>
                <w:bCs w:val="0"/>
                <w:sz w:val="24"/>
                <w:szCs w:val="24"/>
                <w:lang w:eastAsia="zh-CN"/>
              </w:rPr>
            </w:pPr>
            <w:r>
              <w:rPr>
                <w:rFonts w:hint="eastAsia" w:asciiTheme="minorEastAsia" w:hAnsiTheme="minorEastAsia" w:eastAsiaTheme="minorEastAsia" w:cstheme="minorEastAsia"/>
                <w:b w:val="0"/>
                <w:bCs w:val="0"/>
                <w:sz w:val="24"/>
                <w:szCs w:val="24"/>
                <w:highlight w:val="none"/>
                <w:vertAlign w:val="baseline"/>
                <w:lang w:val="en-US" w:eastAsia="zh-CN"/>
              </w:rPr>
              <w:t>工程技术部</w:t>
            </w:r>
          </w:p>
        </w:tc>
        <w:tc>
          <w:tcPr>
            <w:tcW w:w="6887" w:type="dxa"/>
            <w:vAlign w:val="center"/>
          </w:tcPr>
          <w:p w14:paraId="54DCB40A">
            <w:pPr>
              <w:numPr>
                <w:ilvl w:val="0"/>
                <w:numId w:val="0"/>
              </w:numPr>
              <w:jc w:val="both"/>
              <w:rPr>
                <w:rFonts w:hint="eastAsia" w:asciiTheme="minorEastAsia" w:hAnsiTheme="minorEastAsia" w:eastAsiaTheme="minorEastAsia" w:cstheme="minorEastAsia"/>
                <w:i w:val="0"/>
                <w:iCs w:val="0"/>
                <w:caps w:val="0"/>
                <w:color w:val="404040"/>
                <w:spacing w:val="0"/>
                <w:sz w:val="24"/>
                <w:szCs w:val="24"/>
                <w:shd w:val="clear" w:fill="FFFFFF"/>
              </w:rPr>
            </w:pPr>
            <w:r>
              <w:rPr>
                <w:rFonts w:hint="eastAsia" w:asciiTheme="minorEastAsia" w:hAnsiTheme="minorEastAsia" w:eastAsiaTheme="minorEastAsia" w:cstheme="minorEastAsia"/>
                <w:i w:val="0"/>
                <w:iCs w:val="0"/>
                <w:caps w:val="0"/>
                <w:color w:val="404040"/>
                <w:spacing w:val="0"/>
                <w:sz w:val="24"/>
                <w:szCs w:val="24"/>
                <w:shd w:val="clear" w:fill="FFFFFF"/>
              </w:rPr>
              <w:t>规范原材料消耗标准及投料流程，从源头控制生产成本；同时推动工艺创新和技术升级，开发高附加值产品，提升生产效率和产品质量。</w:t>
            </w:r>
          </w:p>
        </w:tc>
      </w:tr>
    </w:tbl>
    <w:p w14:paraId="21877C33">
      <w:pPr>
        <w:spacing w:before="312" w:beforeLines="100" w:after="312" w:afterLines="100" w:line="440" w:lineRule="exact"/>
        <w:jc w:val="left"/>
        <w:rPr>
          <w:rFonts w:hint="default" w:ascii="黑体" w:hAnsi="黑体" w:eastAsia="黑体" w:cs="黑体"/>
          <w:sz w:val="28"/>
          <w:lang w:val="en-US" w:eastAsia="zh-CN"/>
        </w:rPr>
      </w:pPr>
      <w:r>
        <w:rPr>
          <w:rFonts w:hint="eastAsia" w:ascii="黑体" w:hAnsi="黑体" w:eastAsia="黑体" w:cs="黑体"/>
          <w:sz w:val="28"/>
          <w:lang w:val="en-US" w:eastAsia="zh-CN"/>
        </w:rPr>
        <w:t>5 规定</w:t>
      </w:r>
    </w:p>
    <w:p w14:paraId="6531002A">
      <w:pPr>
        <w:spacing w:before="156" w:beforeLines="50" w:after="156" w:afterLines="50" w:line="440" w:lineRule="exact"/>
        <w:rPr>
          <w:rFonts w:hint="default" w:ascii="黑体" w:hAnsi="黑体" w:eastAsia="黑体" w:cs="黑体"/>
          <w:sz w:val="28"/>
          <w:szCs w:val="28"/>
          <w:lang w:val="en-US" w:eastAsia="zh-CN"/>
        </w:rPr>
      </w:pPr>
      <w:r>
        <w:rPr>
          <w:rFonts w:hint="eastAsia" w:ascii="黑体" w:hAnsi="黑体" w:eastAsia="黑体" w:cs="黑体"/>
          <w:sz w:val="28"/>
          <w:szCs w:val="28"/>
          <w:lang w:val="en-US" w:eastAsia="zh-CN"/>
        </w:rPr>
        <w:t>5.1 生产成本控制</w:t>
      </w:r>
    </w:p>
    <w:p w14:paraId="4C12B076">
      <w:pPr>
        <w:spacing w:line="440" w:lineRule="exact"/>
        <w:ind w:firstLine="560" w:firstLineChars="200"/>
        <w:jc w:val="left"/>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5.1.1 生产成本定额管理：研发项目完成后，工程技术部提供技术方案、BOM单，由经营发展部制定合理的工时定额，对订单成本进行预测。</w:t>
      </w:r>
    </w:p>
    <w:p w14:paraId="63A414AA">
      <w:pPr>
        <w:spacing w:line="440" w:lineRule="exact"/>
        <w:ind w:firstLine="560" w:firstLineChars="200"/>
        <w:jc w:val="left"/>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5.1.2 生产部负责生产成本指标的分解、下达，并对生产过程中的物耗标准、领料程序、人工标准工时、动力费、折旧费进行事中控制程序。</w:t>
      </w:r>
    </w:p>
    <w:p w14:paraId="7B3CCAC5">
      <w:pPr>
        <w:spacing w:line="440" w:lineRule="exact"/>
        <w:ind w:firstLine="560" w:firstLineChars="200"/>
        <w:jc w:val="left"/>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1）物料成本的控制，严格执行按照工艺单进行领料，加强领料管理。加强物料的退补料管理。减少物料损耗，防止物料浪费。</w:t>
      </w:r>
    </w:p>
    <w:p w14:paraId="4DB5B202">
      <w:pPr>
        <w:spacing w:line="440" w:lineRule="exact"/>
        <w:ind w:firstLine="560" w:firstLineChars="200"/>
        <w:jc w:val="left"/>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2）人工成本的控制，严格按照工艺路线进行生产。通过实施标准工时管理，提高工作效率。定额员对各个产品工序设定人工工时。因生产过程中发生的特殊情况需调整工时，由车间工人填写情况说明，车间主任审核后提交至定额员审核，最后经营发展部长审核后修改。</w:t>
      </w:r>
    </w:p>
    <w:p w14:paraId="630E394C">
      <w:pPr>
        <w:spacing w:line="440" w:lineRule="exact"/>
        <w:ind w:firstLine="560" w:firstLineChars="200"/>
        <w:jc w:val="left"/>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 xml:space="preserve">3）折旧费用的控制，生产设备维护人员参考资产标签上的产能、资产的折旧年限与折旧方法，计算单位时间的产能数据(标准产量/每月、标准产量/每季度)与实际单位时间内产能进行对比。对于阶段性超负荷运作的生产设备，生产设备维护人员应关注设备的维修与维护工作；对于长时间超负荷运作的生产设备，应及时上报管理层是否需要新增生产设备；对于长时间产能出现闲置，生产部门负责人应重新将生产资源进行整合，将闲置资产的名单提交管理层。由管理层商议闲置资产使用的优化方案。 定期维护机器设备，保证机器的生产效能，延长设备的使用寿命。 </w:t>
      </w:r>
    </w:p>
    <w:p w14:paraId="11A2F9A7">
      <w:pPr>
        <w:spacing w:line="440" w:lineRule="exact"/>
        <w:ind w:firstLine="560" w:firstLineChars="200"/>
        <w:jc w:val="left"/>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4）水电、燃料、动力费的控制，通过实施标准化操作降低水、电、气费用的支出。通过推行节约减损技巧降低水、电、气消耗。</w:t>
      </w:r>
    </w:p>
    <w:p w14:paraId="19F5792B">
      <w:pPr>
        <w:spacing w:line="440" w:lineRule="exact"/>
        <w:ind w:firstLine="560" w:firstLineChars="200"/>
        <w:jc w:val="left"/>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5）加强对质量成本的统计与管理，及时对由于质量缺陷造成的材料损失和人工损失进行统计。质量安环部加强对质量成本管理和控制。</w:t>
      </w:r>
    </w:p>
    <w:p w14:paraId="5B799736">
      <w:pPr>
        <w:spacing w:before="156" w:beforeLines="50" w:after="156" w:afterLines="50" w:line="440" w:lineRule="exact"/>
        <w:rPr>
          <w:rFonts w:hint="default" w:ascii="黑体" w:hAnsi="黑体" w:eastAsia="黑体" w:cs="黑体"/>
          <w:sz w:val="28"/>
          <w:szCs w:val="28"/>
          <w:lang w:val="en-US" w:eastAsia="zh-CN"/>
        </w:rPr>
      </w:pPr>
      <w:r>
        <w:rPr>
          <w:rFonts w:hint="eastAsia" w:ascii="黑体" w:hAnsi="黑体" w:eastAsia="黑体" w:cs="黑体"/>
          <w:sz w:val="28"/>
          <w:szCs w:val="28"/>
          <w:lang w:val="en-US" w:eastAsia="zh-CN"/>
        </w:rPr>
        <w:t>5.2 产品生产成本核算基础工作</w:t>
      </w:r>
    </w:p>
    <w:p w14:paraId="2CD7EA20">
      <w:pPr>
        <w:spacing w:line="440" w:lineRule="exact"/>
        <w:ind w:firstLine="560" w:firstLineChars="200"/>
        <w:jc w:val="left"/>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5.2.1 为了准确、真实地核算产品成本，公司各部门、各复材车间和仓库管理部门必须建立健全成本管理基础工作</w:t>
      </w:r>
    </w:p>
    <w:p w14:paraId="7DD87DC9">
      <w:pPr>
        <w:spacing w:line="440" w:lineRule="exact"/>
        <w:ind w:firstLine="560" w:firstLineChars="200"/>
        <w:jc w:val="left"/>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5.2.2 各复材车间要加强对产品成本核算的基础管理工作，具体工作主要从以下四个方面进行</w:t>
      </w:r>
    </w:p>
    <w:p w14:paraId="12D9C86A">
      <w:pPr>
        <w:spacing w:line="440" w:lineRule="exact"/>
        <w:ind w:firstLine="560" w:firstLineChars="200"/>
        <w:jc w:val="left"/>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1）复材车间根据生产订单和对应工艺单，向仓库领用原材料。当期生产实际使用的直接材料</w:t>
      </w:r>
      <w:bookmarkStart w:id="0" w:name="_Hlk72401517"/>
      <w:r>
        <w:rPr>
          <w:rFonts w:hint="eastAsia" w:ascii="Times New Roman" w:hAnsi="Times New Roman" w:eastAsia="宋体" w:cs="Times New Roman"/>
          <w:sz w:val="28"/>
          <w:szCs w:val="28"/>
          <w:lang w:val="en-US" w:eastAsia="zh-CN"/>
        </w:rPr>
        <w:t>成本可直接归入每个“生产订单”下进行核算。</w:t>
      </w:r>
      <w:bookmarkEnd w:id="0"/>
    </w:p>
    <w:p w14:paraId="748FF62E">
      <w:pPr>
        <w:spacing w:line="440" w:lineRule="exact"/>
        <w:ind w:firstLine="560" w:firstLineChars="200"/>
        <w:jc w:val="left"/>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2）经营发展部定额员每月将车间一线操作工当月获得的“人工工时”数量进行统计，提交至行政人事部门计算出工时工资，加上“工龄工资”、“加班工资”、“保密津贴”等其他工资薪金。行政人事部将各车间生产工人工资总额及其明细费用发至财务部门。</w:t>
      </w:r>
    </w:p>
    <w:p w14:paraId="136865ED">
      <w:pPr>
        <w:spacing w:line="440" w:lineRule="exact"/>
        <w:ind w:firstLine="560" w:firstLineChars="200"/>
        <w:jc w:val="left"/>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3）因生产任务发生变动，需要调拨生产设备的，应及时通知财务人员调整生产设备所属部门及车间，以便每月计提的折旧能准确的分配至对应产品成本中。</w:t>
      </w:r>
    </w:p>
    <w:p w14:paraId="46CFBC94">
      <w:pPr>
        <w:spacing w:line="440" w:lineRule="exact"/>
        <w:ind w:firstLine="560" w:firstLineChars="200"/>
        <w:jc w:val="left"/>
        <w:rPr>
          <w:rFonts w:hint="default"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5.2.3仓库管理</w:t>
      </w:r>
    </w:p>
    <w:p w14:paraId="510D5509">
      <w:pPr>
        <w:spacing w:line="440" w:lineRule="exact"/>
        <w:ind w:firstLine="560" w:firstLineChars="200"/>
        <w:jc w:val="left"/>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1）加强仓库登记管理，对领用的生产所需的原材料及备品备件进行全面、准确登记。</w:t>
      </w:r>
    </w:p>
    <w:p w14:paraId="72F3720D">
      <w:pPr>
        <w:spacing w:line="440" w:lineRule="exact"/>
        <w:ind w:firstLine="560" w:firstLineChars="200"/>
        <w:jc w:val="left"/>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2）严格物资的验收计量，对生产经营活动中的原材料、备件、产品等物资的入库、出库，都要经过严格的检验和计量。</w:t>
      </w:r>
    </w:p>
    <w:p w14:paraId="21027C39">
      <w:pPr>
        <w:spacing w:line="440" w:lineRule="exact"/>
        <w:ind w:firstLine="560" w:firstLineChars="200"/>
        <w:jc w:val="left"/>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3）强化物资的盘点管理，建立《存货盘点表》，实行定期盘点和不定期盘点相结合的方法。</w:t>
      </w:r>
    </w:p>
    <w:p w14:paraId="247EDC64">
      <w:pPr>
        <w:spacing w:line="440" w:lineRule="exact"/>
        <w:ind w:firstLine="560" w:firstLineChars="200"/>
        <w:jc w:val="left"/>
        <w:rPr>
          <w:rFonts w:hint="default"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5.2.3建立健全原始记录管理</w:t>
      </w:r>
    </w:p>
    <w:p w14:paraId="7BD178C7">
      <w:pPr>
        <w:spacing w:line="440" w:lineRule="exact"/>
        <w:ind w:firstLine="560" w:firstLineChars="200"/>
        <w:jc w:val="left"/>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1）对生产中耗用的各种原材料、备件、工具和动力，工时、设备利用情况，内部转移，成品交库、出库和数量，质量检验，各项财产、物资的毁损等建立原始记录。</w:t>
      </w:r>
    </w:p>
    <w:p w14:paraId="37D41281">
      <w:pPr>
        <w:spacing w:line="440" w:lineRule="exact"/>
        <w:ind w:firstLine="560" w:firstLineChars="200"/>
        <w:jc w:val="left"/>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2）采用统一的原始记录格式的填制方法。</w:t>
      </w:r>
    </w:p>
    <w:p w14:paraId="3ACACBDA">
      <w:pPr>
        <w:spacing w:line="440" w:lineRule="exact"/>
        <w:ind w:firstLine="560" w:firstLineChars="200"/>
        <w:jc w:val="left"/>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3）严格签署、审查、传递、汇集、保管程序，保证数字完整、清晰、真实可靠。</w:t>
      </w:r>
    </w:p>
    <w:p w14:paraId="0239B99E">
      <w:pPr>
        <w:spacing w:before="156" w:beforeLines="50" w:after="156" w:afterLines="50" w:line="440" w:lineRule="exact"/>
        <w:rPr>
          <w:rFonts w:hint="eastAsia" w:ascii="黑体" w:hAnsi="黑体" w:eastAsia="黑体" w:cs="黑体"/>
          <w:sz w:val="28"/>
          <w:szCs w:val="28"/>
          <w:lang w:val="en-US" w:eastAsia="zh-CN"/>
        </w:rPr>
      </w:pPr>
      <w:r>
        <w:rPr>
          <w:rFonts w:hint="default" w:ascii="黑体" w:hAnsi="黑体" w:eastAsia="黑体" w:cs="黑体"/>
          <w:sz w:val="28"/>
          <w:szCs w:val="28"/>
          <w:lang w:val="en-US" w:eastAsia="zh-CN"/>
        </w:rPr>
        <w:t>5.</w:t>
      </w:r>
      <w:r>
        <w:rPr>
          <w:rFonts w:hint="eastAsia" w:ascii="黑体" w:hAnsi="黑体" w:eastAsia="黑体" w:cs="黑体"/>
          <w:sz w:val="28"/>
          <w:szCs w:val="28"/>
          <w:lang w:val="en-US" w:eastAsia="zh-CN"/>
        </w:rPr>
        <w:t>3</w:t>
      </w:r>
      <w:r>
        <w:rPr>
          <w:rFonts w:hint="default" w:ascii="黑体" w:hAnsi="黑体" w:eastAsia="黑体" w:cs="黑体"/>
          <w:sz w:val="28"/>
          <w:szCs w:val="28"/>
          <w:lang w:val="en-US" w:eastAsia="zh-CN"/>
        </w:rPr>
        <w:t xml:space="preserve"> 产品生产成本核算要求</w:t>
      </w:r>
    </w:p>
    <w:p w14:paraId="2CC731B3">
      <w:pPr>
        <w:spacing w:line="440" w:lineRule="exact"/>
        <w:ind w:firstLine="560" w:firstLineChars="200"/>
        <w:jc w:val="left"/>
        <w:rPr>
          <w:rFonts w:hint="eastAsia" w:ascii="Times New Roman" w:hAnsi="Times New Roman" w:eastAsia="宋体" w:cs="Times New Roman"/>
          <w:sz w:val="28"/>
          <w:szCs w:val="28"/>
          <w:lang w:val="en-US" w:eastAsia="zh-CN"/>
        </w:rPr>
      </w:pPr>
      <w:r>
        <w:rPr>
          <w:rFonts w:hint="default" w:ascii="Times New Roman" w:hAnsi="Times New Roman" w:eastAsia="宋体" w:cs="Times New Roman"/>
          <w:sz w:val="28"/>
          <w:szCs w:val="28"/>
          <w:lang w:val="en-US" w:eastAsia="zh-CN"/>
        </w:rPr>
        <w:t>5.</w:t>
      </w:r>
      <w:r>
        <w:rPr>
          <w:rFonts w:hint="eastAsia" w:ascii="Times New Roman" w:hAnsi="Times New Roman" w:eastAsia="宋体" w:cs="Times New Roman"/>
          <w:sz w:val="28"/>
          <w:szCs w:val="28"/>
          <w:lang w:val="en-US" w:eastAsia="zh-CN"/>
        </w:rPr>
        <w:t>3</w:t>
      </w:r>
      <w:r>
        <w:rPr>
          <w:rFonts w:hint="default" w:ascii="Times New Roman" w:hAnsi="Times New Roman" w:eastAsia="宋体" w:cs="Times New Roman"/>
          <w:sz w:val="28"/>
          <w:szCs w:val="28"/>
          <w:lang w:val="en-US" w:eastAsia="zh-CN"/>
        </w:rPr>
        <w:t>.1</w:t>
      </w:r>
      <w:r>
        <w:rPr>
          <w:rFonts w:hint="eastAsia" w:ascii="Times New Roman" w:hAnsi="Times New Roman" w:eastAsia="宋体" w:cs="Times New Roman"/>
          <w:sz w:val="28"/>
          <w:szCs w:val="28"/>
          <w:lang w:val="en-US" w:eastAsia="zh-CN"/>
        </w:rPr>
        <w:t>公司按照权责发生制原则进行核算，凡不属于本期产品承担的费用，无论款项是否已经支付，也不能计入本期产品生产成本，要严格划清成本支出的界限。</w:t>
      </w:r>
    </w:p>
    <w:p w14:paraId="41673A1C">
      <w:pPr>
        <w:spacing w:line="440" w:lineRule="exact"/>
        <w:ind w:firstLine="560" w:firstLineChars="200"/>
        <w:jc w:val="left"/>
        <w:rPr>
          <w:rFonts w:hint="eastAsia" w:ascii="Times New Roman" w:hAnsi="Times New Roman" w:eastAsia="宋体" w:cs="Times New Roman"/>
          <w:sz w:val="28"/>
          <w:szCs w:val="28"/>
          <w:lang w:val="en-US" w:eastAsia="zh-CN"/>
        </w:rPr>
      </w:pPr>
      <w:r>
        <w:rPr>
          <w:rFonts w:hint="default" w:ascii="Times New Roman" w:hAnsi="Times New Roman" w:eastAsia="宋体" w:cs="Times New Roman"/>
          <w:sz w:val="28"/>
          <w:szCs w:val="28"/>
          <w:lang w:val="en-US" w:eastAsia="zh-CN"/>
        </w:rPr>
        <w:t>5.</w:t>
      </w:r>
      <w:r>
        <w:rPr>
          <w:rFonts w:hint="eastAsia" w:ascii="Times New Roman" w:hAnsi="Times New Roman" w:eastAsia="宋体" w:cs="Times New Roman"/>
          <w:sz w:val="28"/>
          <w:szCs w:val="28"/>
          <w:lang w:val="en-US" w:eastAsia="zh-CN"/>
        </w:rPr>
        <w:t>3</w:t>
      </w:r>
      <w:r>
        <w:rPr>
          <w:rFonts w:hint="default" w:ascii="Times New Roman" w:hAnsi="Times New Roman" w:eastAsia="宋体" w:cs="Times New Roman"/>
          <w:sz w:val="28"/>
          <w:szCs w:val="28"/>
          <w:lang w:val="en-US" w:eastAsia="zh-CN"/>
        </w:rPr>
        <w:t>.</w:t>
      </w:r>
      <w:r>
        <w:rPr>
          <w:rFonts w:hint="eastAsia" w:ascii="Times New Roman" w:hAnsi="Times New Roman" w:eastAsia="宋体" w:cs="Times New Roman"/>
          <w:sz w:val="28"/>
          <w:szCs w:val="28"/>
          <w:lang w:val="en-US" w:eastAsia="zh-CN"/>
        </w:rPr>
        <w:t>2生产成本核算必须划清下列界限，不得相互混淆。</w:t>
      </w:r>
    </w:p>
    <w:p w14:paraId="36B75C7B">
      <w:pPr>
        <w:spacing w:line="440" w:lineRule="exact"/>
        <w:ind w:firstLine="560" w:firstLineChars="200"/>
        <w:jc w:val="left"/>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1）正确划分应计入成本与不应计入成本的界限。</w:t>
      </w:r>
    </w:p>
    <w:p w14:paraId="158A8621">
      <w:pPr>
        <w:spacing w:line="440" w:lineRule="exact"/>
        <w:ind w:firstLine="560" w:firstLineChars="200"/>
        <w:jc w:val="left"/>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2）正确划分各月的费用界限。</w:t>
      </w:r>
    </w:p>
    <w:p w14:paraId="180482DE">
      <w:pPr>
        <w:spacing w:line="440" w:lineRule="exact"/>
        <w:ind w:firstLine="560" w:firstLineChars="200"/>
        <w:jc w:val="left"/>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3）正确划分产品费用和期间费用的界限。</w:t>
      </w:r>
    </w:p>
    <w:p w14:paraId="507AF7C7">
      <w:pPr>
        <w:spacing w:line="440" w:lineRule="exact"/>
        <w:ind w:firstLine="560" w:firstLineChars="200"/>
        <w:jc w:val="left"/>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 xml:space="preserve">4）合理确认各车间、各类型产品之间成本费用的分摊标准。 </w:t>
      </w:r>
    </w:p>
    <w:p w14:paraId="371FD07E">
      <w:pPr>
        <w:spacing w:line="440" w:lineRule="exact"/>
        <w:ind w:firstLine="560" w:firstLineChars="200"/>
        <w:jc w:val="left"/>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5）合理确认产成品与在产品之间的成本费用的分配方法 。</w:t>
      </w:r>
    </w:p>
    <w:p w14:paraId="72EF5D24">
      <w:pPr>
        <w:spacing w:line="440" w:lineRule="exact"/>
        <w:ind w:firstLine="560" w:firstLineChars="200"/>
        <w:jc w:val="left"/>
        <w:rPr>
          <w:rFonts w:hint="eastAsia" w:ascii="Times New Roman" w:hAnsi="Times New Roman" w:eastAsia="宋体" w:cs="Times New Roman"/>
          <w:sz w:val="28"/>
          <w:szCs w:val="28"/>
          <w:lang w:val="en-US" w:eastAsia="zh-CN"/>
        </w:rPr>
      </w:pPr>
      <w:r>
        <w:rPr>
          <w:rFonts w:hint="default" w:ascii="Times New Roman" w:hAnsi="Times New Roman" w:eastAsia="宋体" w:cs="Times New Roman"/>
          <w:sz w:val="28"/>
          <w:szCs w:val="28"/>
          <w:lang w:val="en-US" w:eastAsia="zh-CN"/>
        </w:rPr>
        <w:t>5.</w:t>
      </w:r>
      <w:r>
        <w:rPr>
          <w:rFonts w:hint="eastAsia" w:ascii="Times New Roman" w:hAnsi="Times New Roman" w:eastAsia="宋体" w:cs="Times New Roman"/>
          <w:sz w:val="28"/>
          <w:szCs w:val="28"/>
          <w:lang w:val="en-US" w:eastAsia="zh-CN"/>
        </w:rPr>
        <w:t>3</w:t>
      </w:r>
      <w:r>
        <w:rPr>
          <w:rFonts w:hint="default" w:ascii="Times New Roman" w:hAnsi="Times New Roman" w:eastAsia="宋体" w:cs="Times New Roman"/>
          <w:sz w:val="28"/>
          <w:szCs w:val="28"/>
          <w:lang w:val="en-US" w:eastAsia="zh-CN"/>
        </w:rPr>
        <w:t>.</w:t>
      </w:r>
      <w:r>
        <w:rPr>
          <w:rFonts w:hint="eastAsia" w:ascii="Times New Roman" w:hAnsi="Times New Roman" w:eastAsia="宋体" w:cs="Times New Roman"/>
          <w:sz w:val="28"/>
          <w:szCs w:val="28"/>
          <w:lang w:val="en-US" w:eastAsia="zh-CN"/>
        </w:rPr>
        <w:t>3下列支出应当计入产品生产成本</w:t>
      </w:r>
    </w:p>
    <w:p w14:paraId="641315B2">
      <w:pPr>
        <w:spacing w:line="440" w:lineRule="exact"/>
        <w:ind w:firstLine="560" w:firstLineChars="200"/>
        <w:jc w:val="left"/>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1）直接材料，包括生产经营过程中实际消耗的原材料、外购半成品以及其他直接材料。</w:t>
      </w:r>
    </w:p>
    <w:p w14:paraId="083B0AC8">
      <w:pPr>
        <w:spacing w:line="440" w:lineRule="exact"/>
        <w:ind w:firstLine="560" w:firstLineChars="200"/>
        <w:jc w:val="left"/>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2）直接人工，包括公司直接从事产品生产人员的工资、五险一金、奖金、津贴和补贴、福利费。</w:t>
      </w:r>
    </w:p>
    <w:p w14:paraId="3173E3C5">
      <w:pPr>
        <w:spacing w:line="440" w:lineRule="exact"/>
        <w:ind w:firstLine="560" w:firstLineChars="200"/>
        <w:jc w:val="left"/>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3）委外加工费，包括公司提供主要材料，委托其他公司提供加工和生产辅助材料，并收取加工费的业务。</w:t>
      </w:r>
    </w:p>
    <w:p w14:paraId="3D3EEE03">
      <w:pPr>
        <w:spacing w:line="440" w:lineRule="exact"/>
        <w:ind w:firstLine="560" w:firstLineChars="200"/>
        <w:jc w:val="left"/>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4）制造费用，包括公司各个复材车间为组织和管理生产所发生的复材车间管理人员工资、员工福利费、修理费、办公费、水电费、加工费、机物料消耗、劳动保护费、低值易耗品摊销、差旅费、折旧费、运杂费、交通费、保险费、检定费、计量费、维护费以及其他制造费用。</w:t>
      </w:r>
    </w:p>
    <w:p w14:paraId="1E04AD2C">
      <w:pPr>
        <w:spacing w:line="440" w:lineRule="exact"/>
        <w:ind w:firstLine="560" w:firstLineChars="200"/>
        <w:jc w:val="left"/>
        <w:rPr>
          <w:rFonts w:hint="eastAsia" w:ascii="Times New Roman" w:hAnsi="Times New Roman" w:eastAsia="宋体" w:cs="Times New Roman"/>
          <w:sz w:val="28"/>
          <w:szCs w:val="28"/>
          <w:lang w:val="en-US" w:eastAsia="zh-CN"/>
        </w:rPr>
      </w:pPr>
      <w:r>
        <w:rPr>
          <w:rFonts w:hint="default" w:ascii="Times New Roman" w:hAnsi="Times New Roman" w:eastAsia="宋体" w:cs="Times New Roman"/>
          <w:sz w:val="28"/>
          <w:szCs w:val="28"/>
          <w:lang w:val="en-US" w:eastAsia="zh-CN"/>
        </w:rPr>
        <w:t>5.</w:t>
      </w:r>
      <w:r>
        <w:rPr>
          <w:rFonts w:hint="eastAsia" w:ascii="Times New Roman" w:hAnsi="Times New Roman" w:eastAsia="宋体" w:cs="Times New Roman"/>
          <w:sz w:val="28"/>
          <w:szCs w:val="28"/>
          <w:lang w:val="en-US" w:eastAsia="zh-CN"/>
        </w:rPr>
        <w:t>3</w:t>
      </w:r>
      <w:r>
        <w:rPr>
          <w:rFonts w:hint="default" w:ascii="Times New Roman" w:hAnsi="Times New Roman" w:eastAsia="宋体" w:cs="Times New Roman"/>
          <w:sz w:val="28"/>
          <w:szCs w:val="28"/>
          <w:lang w:val="en-US" w:eastAsia="zh-CN"/>
        </w:rPr>
        <w:t>.</w:t>
      </w:r>
      <w:r>
        <w:rPr>
          <w:rFonts w:hint="eastAsia" w:ascii="Times New Roman" w:hAnsi="Times New Roman" w:eastAsia="宋体" w:cs="Times New Roman"/>
          <w:sz w:val="28"/>
          <w:szCs w:val="28"/>
          <w:lang w:val="en-US" w:eastAsia="zh-CN"/>
        </w:rPr>
        <w:t>4下列收入不得冲减生产成本</w:t>
      </w:r>
    </w:p>
    <w:p w14:paraId="277DEF5B">
      <w:pPr>
        <w:spacing w:line="440" w:lineRule="exact"/>
        <w:ind w:firstLine="560" w:firstLineChars="200"/>
        <w:jc w:val="left"/>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1）规定应列入营业外收入的各项收入。</w:t>
      </w:r>
    </w:p>
    <w:p w14:paraId="4936E781">
      <w:pPr>
        <w:spacing w:line="440" w:lineRule="exact"/>
        <w:ind w:firstLine="560" w:firstLineChars="200"/>
        <w:jc w:val="left"/>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2）固定资产变价收入。</w:t>
      </w:r>
    </w:p>
    <w:p w14:paraId="690F74CA">
      <w:pPr>
        <w:spacing w:line="440" w:lineRule="exact"/>
        <w:ind w:firstLine="560" w:firstLineChars="200"/>
        <w:jc w:val="left"/>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3）外销材料、残次品等发生的收入。</w:t>
      </w:r>
    </w:p>
    <w:p w14:paraId="07B16AE8">
      <w:pPr>
        <w:spacing w:line="440" w:lineRule="exact"/>
        <w:ind w:firstLine="560" w:firstLineChars="200"/>
        <w:jc w:val="left"/>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4）按规定应直接上交财政的各种罚款收入。</w:t>
      </w:r>
    </w:p>
    <w:p w14:paraId="076CAFB3">
      <w:pPr>
        <w:spacing w:line="440" w:lineRule="exact"/>
        <w:ind w:firstLine="560" w:firstLineChars="200"/>
        <w:jc w:val="left"/>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5）按规定不应该冲减生产成本的其他收入。</w:t>
      </w:r>
    </w:p>
    <w:p w14:paraId="0F157DB5">
      <w:pPr>
        <w:spacing w:before="156" w:beforeLines="50" w:after="156" w:afterLines="50" w:line="440" w:lineRule="exact"/>
        <w:rPr>
          <w:rFonts w:hint="default" w:ascii="黑体" w:hAnsi="黑体" w:eastAsia="黑体" w:cs="黑体"/>
          <w:sz w:val="28"/>
          <w:szCs w:val="28"/>
          <w:lang w:val="en-US" w:eastAsia="zh-CN"/>
        </w:rPr>
      </w:pPr>
      <w:r>
        <w:rPr>
          <w:rFonts w:hint="eastAsia" w:ascii="黑体" w:hAnsi="黑体" w:eastAsia="黑体" w:cs="黑体"/>
          <w:sz w:val="28"/>
          <w:szCs w:val="28"/>
          <w:lang w:val="en-US" w:eastAsia="zh-CN"/>
        </w:rPr>
        <w:t>5.4 生产成本核算</w:t>
      </w:r>
    </w:p>
    <w:p w14:paraId="01638AED">
      <w:pPr>
        <w:spacing w:line="440" w:lineRule="exact"/>
        <w:ind w:firstLine="560" w:firstLineChars="200"/>
        <w:jc w:val="left"/>
        <w:rPr>
          <w:rFonts w:hint="eastAsia" w:ascii="Times New Roman" w:hAnsi="Times New Roman" w:eastAsia="宋体" w:cs="Times New Roman"/>
          <w:sz w:val="28"/>
          <w:szCs w:val="28"/>
          <w:lang w:val="en-US" w:eastAsia="zh-CN"/>
        </w:rPr>
      </w:pPr>
      <w:r>
        <w:rPr>
          <w:rFonts w:hint="default" w:ascii="Times New Roman" w:hAnsi="Times New Roman" w:eastAsia="宋体" w:cs="Times New Roman"/>
          <w:sz w:val="28"/>
          <w:szCs w:val="28"/>
          <w:lang w:val="en-US" w:eastAsia="zh-CN"/>
        </w:rPr>
        <w:t>5.</w:t>
      </w:r>
      <w:r>
        <w:rPr>
          <w:rFonts w:hint="eastAsia" w:ascii="Times New Roman" w:hAnsi="Times New Roman" w:eastAsia="宋体" w:cs="Times New Roman"/>
          <w:sz w:val="28"/>
          <w:szCs w:val="28"/>
          <w:lang w:val="en-US" w:eastAsia="zh-CN"/>
        </w:rPr>
        <w:t>4.1财务部每月末按照生产订单确定成本核算对象。</w:t>
      </w:r>
    </w:p>
    <w:p w14:paraId="234C82BC">
      <w:pPr>
        <w:spacing w:line="440" w:lineRule="exact"/>
        <w:ind w:firstLine="560" w:firstLineChars="200"/>
        <w:jc w:val="left"/>
        <w:rPr>
          <w:rFonts w:hint="eastAsia" w:ascii="Times New Roman" w:hAnsi="Times New Roman" w:eastAsia="宋体" w:cs="Times New Roman"/>
          <w:sz w:val="28"/>
          <w:szCs w:val="28"/>
          <w:lang w:val="en-US" w:eastAsia="zh-CN"/>
        </w:rPr>
      </w:pPr>
      <w:r>
        <w:rPr>
          <w:rFonts w:hint="default" w:ascii="Times New Roman" w:hAnsi="Times New Roman" w:eastAsia="宋体" w:cs="Times New Roman"/>
          <w:sz w:val="28"/>
          <w:szCs w:val="28"/>
          <w:lang w:val="en-US" w:eastAsia="zh-CN"/>
        </w:rPr>
        <w:t>5.</w:t>
      </w:r>
      <w:r>
        <w:rPr>
          <w:rFonts w:hint="eastAsia" w:ascii="Times New Roman" w:hAnsi="Times New Roman" w:eastAsia="宋体" w:cs="Times New Roman"/>
          <w:sz w:val="28"/>
          <w:szCs w:val="28"/>
          <w:lang w:val="en-US" w:eastAsia="zh-CN"/>
        </w:rPr>
        <w:t>4.2在总账中设置“生产成本”一级科目，并按照各种要素费用设置直接材料、直接人工、制造费用和委外加工费等成本项目。</w:t>
      </w:r>
    </w:p>
    <w:p w14:paraId="2E920E58">
      <w:pPr>
        <w:spacing w:line="440" w:lineRule="exact"/>
        <w:ind w:firstLine="560" w:firstLineChars="200"/>
        <w:jc w:val="left"/>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1）产成品：指已经完成生产过程，并已经验收合格入库可供出售的产品。</w:t>
      </w:r>
    </w:p>
    <w:p w14:paraId="634ACD8F">
      <w:pPr>
        <w:spacing w:line="440" w:lineRule="exact"/>
        <w:ind w:firstLine="560" w:firstLineChars="200"/>
        <w:jc w:val="left"/>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2）在产品：指月终尚未完工或虽已完工但尚需等待检验等原因，不具备入库条件的各种形态在产品。</w:t>
      </w:r>
    </w:p>
    <w:p w14:paraId="45DA54AB">
      <w:pPr>
        <w:spacing w:line="440" w:lineRule="exact"/>
        <w:ind w:firstLine="560" w:firstLineChars="200"/>
        <w:jc w:val="left"/>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3）对耗用同一种原料生产出两种以上分类产品应分别列为成本核算对象。</w:t>
      </w:r>
    </w:p>
    <w:p w14:paraId="6F9501DB">
      <w:pPr>
        <w:spacing w:line="440" w:lineRule="exact"/>
        <w:ind w:firstLine="560" w:firstLineChars="200"/>
        <w:jc w:val="left"/>
        <w:rPr>
          <w:rFonts w:hint="eastAsia" w:ascii="Times New Roman" w:hAnsi="Times New Roman" w:eastAsia="宋体" w:cs="Times New Roman"/>
          <w:sz w:val="28"/>
          <w:szCs w:val="28"/>
          <w:lang w:val="en-US" w:eastAsia="zh-CN"/>
        </w:rPr>
      </w:pPr>
      <w:r>
        <w:rPr>
          <w:rFonts w:hint="default" w:ascii="Times New Roman" w:hAnsi="Times New Roman" w:eastAsia="宋体" w:cs="Times New Roman"/>
          <w:sz w:val="28"/>
          <w:szCs w:val="28"/>
          <w:lang w:val="en-US" w:eastAsia="zh-CN"/>
        </w:rPr>
        <w:t>5.</w:t>
      </w:r>
      <w:r>
        <w:rPr>
          <w:rFonts w:hint="eastAsia" w:ascii="Times New Roman" w:hAnsi="Times New Roman" w:eastAsia="宋体" w:cs="Times New Roman"/>
          <w:sz w:val="28"/>
          <w:szCs w:val="28"/>
          <w:lang w:val="en-US" w:eastAsia="zh-CN"/>
        </w:rPr>
        <w:t>4.3成本核算项目</w:t>
      </w:r>
    </w:p>
    <w:p w14:paraId="3B212972">
      <w:pPr>
        <w:spacing w:line="440" w:lineRule="exact"/>
        <w:ind w:firstLine="560" w:firstLineChars="200"/>
        <w:jc w:val="left"/>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公司生产成本下设置直接材料、直接人工和制造费用对当期生产成本进行归集核算，其中直接材料归集核算生产直接耗用原材料，直接人工归集核算车间直接从事产品生产人员的薪酬，制造费用归集核算固定资产折旧、机物料消耗、水电费消耗、生产管理人员薪酬等间接生产费用。</w:t>
      </w:r>
    </w:p>
    <w:p w14:paraId="09612738">
      <w:pPr>
        <w:spacing w:line="440" w:lineRule="exact"/>
        <w:ind w:firstLine="560" w:firstLineChars="200"/>
        <w:jc w:val="left"/>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1）直接材料，材料成本主要包括材料购买价格、运杂费、装卸费、定额内的合理损耗、入库前的加工、整理及挑选费用等。材料采用实际成本核算，按全月平均法计算出库成本。</w:t>
      </w:r>
    </w:p>
    <w:p w14:paraId="50E14CEA">
      <w:pPr>
        <w:spacing w:line="440" w:lineRule="exact"/>
        <w:ind w:firstLine="560" w:firstLineChars="200"/>
        <w:jc w:val="left"/>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2）直接人工，直接人工核算车间一线操作工人的工资、奖金、五险一金、福利费等人工成本支出。车间一线操作工人按照当月获得的工时工资，再加上“工龄工资”、“加班工资”、“保密津贴”等其他工资薪金，合计记入“生产成本-直接人工”。</w:t>
      </w:r>
    </w:p>
    <w:p w14:paraId="577DBEF4">
      <w:pPr>
        <w:spacing w:line="440" w:lineRule="exact"/>
        <w:ind w:firstLine="560" w:firstLineChars="200"/>
        <w:jc w:val="left"/>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3）制造费用，企业为生产产品和提供劳务而发生的各项间接生产费用，通过“制造费用”科目归集，具体内容包括折旧费、质检费、物料消耗、运输费、租赁费、低值易耗品摊销、水、电、燃气动力费、办公费、差旅费、车间管理人员职工薪酬(包括车间管理人员、工装检验、调度等)、劳动保护费、三废环保费用、车辆使用费、机修费用等费用，期末按工时分摊至对应的 “生产订单”下。</w:t>
      </w:r>
    </w:p>
    <w:p w14:paraId="263AA0E2">
      <w:pPr>
        <w:spacing w:line="440" w:lineRule="exact"/>
        <w:ind w:firstLine="560" w:firstLineChars="200"/>
        <w:jc w:val="left"/>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4）委外加工费用，委托外部加工的加工费在收回时通过“生产成本-加工费用”归集，可直接对应到单个“生产订单”。</w:t>
      </w:r>
    </w:p>
    <w:p w14:paraId="385292B6">
      <w:pPr>
        <w:spacing w:line="440" w:lineRule="exact"/>
        <w:ind w:firstLine="560" w:firstLineChars="200"/>
        <w:jc w:val="left"/>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5）产品完工入库，财务人员及时根据入库单将生产成本结转至存货-产成品科目核算。期末，尚未完工的产品发生的成本在生产成本科目核算。当期发生的直接人工和制造费用成本按各个“生产订单”的人工工时的比例进行分配。</w:t>
      </w:r>
    </w:p>
    <w:p w14:paraId="75B4FC08">
      <w:pPr>
        <w:spacing w:line="440" w:lineRule="exact"/>
        <w:ind w:firstLine="560" w:firstLineChars="200"/>
        <w:jc w:val="left"/>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6）根据当期确认收入的各产品数量，以及按存货发出计价原则计算的存货价格对应结转产品销售成本。</w:t>
      </w:r>
    </w:p>
    <w:p w14:paraId="3E15DF06">
      <w:pPr>
        <w:spacing w:line="440" w:lineRule="exact"/>
        <w:ind w:firstLine="560" w:firstLineChars="200"/>
        <w:jc w:val="left"/>
        <w:rPr>
          <w:rFonts w:hint="eastAsia" w:ascii="Times New Roman" w:hAnsi="Times New Roman" w:eastAsia="宋体" w:cs="Times New Roman"/>
          <w:sz w:val="28"/>
          <w:szCs w:val="28"/>
          <w:lang w:val="en-US" w:eastAsia="zh-CN"/>
        </w:rPr>
      </w:pPr>
      <w:r>
        <w:rPr>
          <w:rFonts w:hint="default" w:ascii="Times New Roman" w:hAnsi="Times New Roman" w:eastAsia="宋体" w:cs="Times New Roman"/>
          <w:sz w:val="28"/>
          <w:szCs w:val="28"/>
          <w:lang w:val="en-US" w:eastAsia="zh-CN"/>
        </w:rPr>
        <w:t>5.</w:t>
      </w:r>
      <w:r>
        <w:rPr>
          <w:rFonts w:hint="eastAsia" w:ascii="Times New Roman" w:hAnsi="Times New Roman" w:eastAsia="宋体" w:cs="Times New Roman"/>
          <w:sz w:val="28"/>
          <w:szCs w:val="28"/>
          <w:lang w:val="en-US" w:eastAsia="zh-CN"/>
        </w:rPr>
        <w:t>4.4具体产品的成本核算</w:t>
      </w:r>
    </w:p>
    <w:p w14:paraId="0059F38F">
      <w:pPr>
        <w:spacing w:line="440" w:lineRule="exact"/>
        <w:ind w:firstLine="560" w:firstLineChars="200"/>
        <w:jc w:val="left"/>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1）原材料暂估成本按照公司外购原材料验收入库后不含税的订单采购价格和相关费用，并暂估对应应付账款，与供应商对账并收到发票后冲回暂估材料成本，按对账金额重新确认材料入库成本。</w:t>
      </w:r>
    </w:p>
    <w:p w14:paraId="469580B9">
      <w:pPr>
        <w:spacing w:line="440" w:lineRule="exact"/>
        <w:ind w:firstLine="560" w:firstLineChars="200"/>
        <w:jc w:val="left"/>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2）产品生产过程成本归集和分配流程，直接材料由仓库人员操作供应链系统记录其收发工作。在录入供应链系统时，主要材料可直接归入每个“生产订单”，核算记入“生产成本-原材料”；辅助材料先分类为“公共类别”，在“制造费用-机物料消耗”归集。每月末，财务部从供应链系统中导出材料出库单列表，根据系统自动计算的加权平均单价(全月平均)和领用数量核算材料成本。车间一线操作工人按照当月人工工资合计记入“生产成本-直接人工”。工装检验、调度等管理人员成本按照合同约定的月度工资先在“制造费用-人工费”归集。</w:t>
      </w:r>
    </w:p>
    <w:p w14:paraId="036136AF">
      <w:pPr>
        <w:spacing w:line="440" w:lineRule="exact"/>
        <w:ind w:firstLine="560" w:firstLineChars="200"/>
        <w:jc w:val="left"/>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“生产成本-直接人工”根据当月合计额在各个“生产订单”之间进行分配。即：分配率=“生产成本-直接人工”÷∑(单个“生产订单”的“人工工时”量) 单个“生产订单”的直接人工=分配率×单个“生产订单”的“人工工时”量，制造费用主要核算的有差旅费、办公费、管理人员人工费，厂房和机器折旧费、修理费、水电费等。归集的制造费用同样在各个“生产订单”之间进行分配。即：分配率=“制造费用”÷∑(单个“生产订单”的“人工工时”量)单个“生产订单”的制造费用=分配率×单个“生产订单”的“人工工时”量。</w:t>
      </w:r>
    </w:p>
    <w:p w14:paraId="3B69C710">
      <w:pPr>
        <w:spacing w:line="440" w:lineRule="exact"/>
        <w:ind w:firstLine="560" w:firstLineChars="200"/>
        <w:jc w:val="left"/>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3）产品完工入库流程，产品生产完工后经过质量安环部检验，按生产订单对完工的合格产品进行入库检验。财务部依据完工产品入库单，以该批完工产品对应的直接材料成本、人工成本、制造费用等费用转入库存商品成本。</w:t>
      </w:r>
    </w:p>
    <w:p w14:paraId="6002FE35">
      <w:pPr>
        <w:spacing w:line="440" w:lineRule="exact"/>
        <w:ind w:firstLine="560" w:firstLineChars="200"/>
        <w:jc w:val="left"/>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4）销售退换货产品账务处理：该批不良品质量安环部根据质量检测结果，判定是否合格，工程技术部根据质量判定结果，决定是否返修返工，质量安环部做退货单，经营发展部下返修返工订单，生产部转生产订单，质量安环部编制“材料出库单”表外领料。</w:t>
      </w:r>
    </w:p>
    <w:p w14:paraId="74D47134">
      <w:pPr>
        <w:spacing w:line="440" w:lineRule="exact"/>
        <w:ind w:firstLine="560" w:firstLineChars="200"/>
        <w:jc w:val="left"/>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6）其他几个特殊问题核算的处理办法，原材料、燃料、备品备件、半成品等发生的盈亏处理，必须查明原因，按照规定的审批权限，报经有关部门审核批准，扣除责任者赔偿后的余额，按公司内部管理权责的划分，分别计入和冲减公司管理费用及营业外收支，或按规定调整消耗量或产量。具有待摊性质和预提性质的费用处理，具有待摊性质的费用，在其发生时一次性计提，然后将其纳入到有关成本项目当中。</w:t>
      </w:r>
    </w:p>
    <w:p w14:paraId="79572634">
      <w:pPr>
        <w:spacing w:line="440" w:lineRule="exact"/>
        <w:ind w:firstLine="560" w:firstLineChars="200"/>
        <w:jc w:val="left"/>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具有预提性质的费用，根据其具体使用项目在其预先提取时分别计入“应付账款”、“其他应付款”或“应付利息”当中。“废品损失”的处理：凡是生产中的废品，将废品扣除可回收的价值后，在原成本项目中反映。凡是销售后用户退回的废品，均应退回原复材车间，其废品损失应计入该产品的生产成本，并将废品的销售量及销售成本以红字按原数冲回产成品账户。如果废品修复后入库，应增加车间的当月产量。</w:t>
      </w:r>
    </w:p>
    <w:p w14:paraId="0B7A244A">
      <w:pPr>
        <w:spacing w:before="156" w:beforeLines="50" w:after="156" w:afterLines="50" w:line="440" w:lineRule="exact"/>
        <w:rPr>
          <w:rFonts w:hint="default" w:ascii="黑体" w:hAnsi="黑体" w:eastAsia="黑体" w:cs="黑体"/>
          <w:sz w:val="28"/>
          <w:szCs w:val="28"/>
          <w:lang w:val="en-US" w:eastAsia="zh-CN"/>
        </w:rPr>
      </w:pPr>
      <w:r>
        <w:rPr>
          <w:rFonts w:hint="eastAsia" w:ascii="黑体" w:hAnsi="黑体" w:eastAsia="黑体" w:cs="黑体"/>
          <w:sz w:val="28"/>
          <w:szCs w:val="28"/>
          <w:lang w:val="en-US" w:eastAsia="zh-CN"/>
        </w:rPr>
        <w:t>5.5 成本核算注意事项</w:t>
      </w:r>
    </w:p>
    <w:p w14:paraId="196AD96C">
      <w:pPr>
        <w:spacing w:line="440" w:lineRule="exact"/>
        <w:ind w:firstLine="560" w:firstLineChars="200"/>
        <w:jc w:val="left"/>
        <w:rPr>
          <w:rFonts w:hint="eastAsia" w:ascii="Times New Roman" w:hAnsi="Times New Roman" w:eastAsia="宋体" w:cs="Times New Roman"/>
          <w:sz w:val="28"/>
          <w:szCs w:val="28"/>
          <w:lang w:val="en-US" w:eastAsia="zh-CN"/>
        </w:rPr>
      </w:pPr>
      <w:r>
        <w:rPr>
          <w:rFonts w:hint="default" w:ascii="Times New Roman" w:hAnsi="Times New Roman" w:eastAsia="宋体" w:cs="Times New Roman"/>
          <w:sz w:val="28"/>
          <w:szCs w:val="28"/>
          <w:lang w:val="en-US" w:eastAsia="zh-CN"/>
        </w:rPr>
        <w:t>5.</w:t>
      </w:r>
      <w:r>
        <w:rPr>
          <w:rFonts w:hint="eastAsia" w:ascii="Times New Roman" w:hAnsi="Times New Roman" w:eastAsia="宋体" w:cs="Times New Roman"/>
          <w:sz w:val="28"/>
          <w:szCs w:val="28"/>
          <w:lang w:val="en-US" w:eastAsia="zh-CN"/>
        </w:rPr>
        <w:t>5.1相关部门提供给财务部成本核算的资料必须准确、完整、真实、合法，记载、编制必须及时。</w:t>
      </w:r>
    </w:p>
    <w:p w14:paraId="1420EA45">
      <w:pPr>
        <w:spacing w:line="440" w:lineRule="exact"/>
        <w:ind w:firstLine="560" w:firstLineChars="200"/>
        <w:jc w:val="left"/>
        <w:rPr>
          <w:rFonts w:hint="eastAsia" w:ascii="Times New Roman" w:hAnsi="Times New Roman" w:eastAsia="宋体" w:cs="Times New Roman"/>
          <w:sz w:val="28"/>
          <w:szCs w:val="28"/>
          <w:lang w:val="en-US" w:eastAsia="zh-CN"/>
        </w:rPr>
      </w:pPr>
      <w:r>
        <w:rPr>
          <w:rFonts w:hint="default" w:ascii="Times New Roman" w:hAnsi="Times New Roman" w:eastAsia="宋体" w:cs="Times New Roman"/>
          <w:sz w:val="28"/>
          <w:szCs w:val="28"/>
          <w:lang w:val="en-US" w:eastAsia="zh-CN"/>
        </w:rPr>
        <w:t>5.</w:t>
      </w:r>
      <w:r>
        <w:rPr>
          <w:rFonts w:hint="eastAsia" w:ascii="Times New Roman" w:hAnsi="Times New Roman" w:eastAsia="宋体" w:cs="Times New Roman"/>
          <w:sz w:val="28"/>
          <w:szCs w:val="28"/>
          <w:lang w:val="en-US" w:eastAsia="zh-CN"/>
        </w:rPr>
        <w:t>5.2遵循权责发生制原则、收支配比原则。根据计算期内完成的实际工作量、实际消耗、实际价格进行核算。</w:t>
      </w:r>
    </w:p>
    <w:p w14:paraId="461280FE">
      <w:pPr>
        <w:spacing w:line="440" w:lineRule="exact"/>
        <w:ind w:firstLine="560" w:firstLineChars="200"/>
        <w:jc w:val="left"/>
        <w:rPr>
          <w:rFonts w:hint="eastAsia" w:ascii="Times New Roman" w:hAnsi="Times New Roman" w:eastAsia="宋体" w:cs="Times New Roman"/>
          <w:sz w:val="28"/>
          <w:szCs w:val="28"/>
          <w:lang w:val="en-US" w:eastAsia="zh-CN"/>
        </w:rPr>
      </w:pPr>
      <w:r>
        <w:rPr>
          <w:rFonts w:hint="default" w:ascii="Times New Roman" w:hAnsi="Times New Roman" w:eastAsia="宋体" w:cs="Times New Roman"/>
          <w:sz w:val="28"/>
          <w:szCs w:val="28"/>
          <w:lang w:val="en-US" w:eastAsia="zh-CN"/>
        </w:rPr>
        <w:t>5.</w:t>
      </w:r>
      <w:r>
        <w:rPr>
          <w:rFonts w:hint="eastAsia" w:ascii="Times New Roman" w:hAnsi="Times New Roman" w:eastAsia="宋体" w:cs="Times New Roman"/>
          <w:sz w:val="28"/>
          <w:szCs w:val="28"/>
          <w:lang w:val="en-US" w:eastAsia="zh-CN"/>
        </w:rPr>
        <w:t>5.3确定成本支出范围，划清成本界限。划清基建、研发项目、更新改造、专项款等资本性支出与成本费用的界限；划清本单位成本负担的支出和不由本单位成本负担的支出界限；划清营业成本与营业外支出的界限；划清本期与前、后期支出的界限。</w:t>
      </w:r>
    </w:p>
    <w:p w14:paraId="6ADE8201">
      <w:pPr>
        <w:spacing w:before="156" w:beforeLines="50" w:after="156" w:afterLines="50" w:line="440" w:lineRule="exact"/>
        <w:rPr>
          <w:rFonts w:hint="default" w:ascii="黑体" w:hAnsi="黑体" w:eastAsia="黑体" w:cs="黑体"/>
          <w:sz w:val="28"/>
          <w:szCs w:val="28"/>
          <w:lang w:val="en-US" w:eastAsia="zh-CN"/>
        </w:rPr>
      </w:pPr>
      <w:r>
        <w:rPr>
          <w:rFonts w:hint="eastAsia" w:ascii="黑体" w:hAnsi="黑体" w:eastAsia="黑体" w:cs="黑体"/>
          <w:sz w:val="28"/>
          <w:szCs w:val="28"/>
          <w:lang w:val="en-US" w:eastAsia="zh-CN"/>
        </w:rPr>
        <w:t>5.6 成本费用核算分析</w:t>
      </w:r>
    </w:p>
    <w:p w14:paraId="0E26DD0F">
      <w:pPr>
        <w:spacing w:line="440" w:lineRule="exact"/>
        <w:ind w:firstLine="560" w:firstLineChars="200"/>
        <w:jc w:val="left"/>
        <w:rPr>
          <w:rFonts w:hint="eastAsia" w:ascii="Times New Roman" w:hAnsi="Times New Roman" w:eastAsia="宋体" w:cs="Times New Roman"/>
          <w:sz w:val="28"/>
          <w:szCs w:val="28"/>
          <w:lang w:val="en-US" w:eastAsia="zh-CN"/>
        </w:rPr>
      </w:pPr>
      <w:r>
        <w:rPr>
          <w:rFonts w:hint="default" w:ascii="Times New Roman" w:hAnsi="Times New Roman" w:eastAsia="宋体" w:cs="Times New Roman"/>
          <w:sz w:val="28"/>
          <w:szCs w:val="28"/>
          <w:lang w:val="en-US" w:eastAsia="zh-CN"/>
        </w:rPr>
        <w:t>5.</w:t>
      </w:r>
      <w:r>
        <w:rPr>
          <w:rFonts w:hint="eastAsia" w:ascii="Times New Roman" w:hAnsi="Times New Roman" w:eastAsia="宋体" w:cs="Times New Roman"/>
          <w:sz w:val="28"/>
          <w:szCs w:val="28"/>
          <w:lang w:val="en-US" w:eastAsia="zh-CN"/>
        </w:rPr>
        <w:t>6.1成本费用核算分析：根据成本费用目标检查和评估实际执行情况，分析成本费用差异的原因。找出影响成本费用的因素和降低途径，提出改进建议挖掘潜力，提高经济效益。</w:t>
      </w:r>
    </w:p>
    <w:p w14:paraId="5F85DA44">
      <w:pPr>
        <w:spacing w:line="440" w:lineRule="exact"/>
        <w:ind w:firstLine="560" w:firstLineChars="200"/>
        <w:jc w:val="left"/>
        <w:rPr>
          <w:rFonts w:hint="eastAsia" w:ascii="Times New Roman" w:hAnsi="Times New Roman" w:eastAsia="宋体" w:cs="Times New Roman"/>
          <w:sz w:val="28"/>
          <w:szCs w:val="28"/>
          <w:lang w:val="en-US" w:eastAsia="zh-CN"/>
        </w:rPr>
      </w:pPr>
      <w:r>
        <w:rPr>
          <w:rFonts w:hint="default" w:ascii="Times New Roman" w:hAnsi="Times New Roman" w:eastAsia="宋体" w:cs="Times New Roman"/>
          <w:sz w:val="28"/>
          <w:szCs w:val="28"/>
          <w:lang w:val="en-US" w:eastAsia="zh-CN"/>
        </w:rPr>
        <w:t>5.</w:t>
      </w:r>
      <w:r>
        <w:rPr>
          <w:rFonts w:hint="eastAsia" w:ascii="Times New Roman" w:hAnsi="Times New Roman" w:eastAsia="宋体" w:cs="Times New Roman"/>
          <w:sz w:val="28"/>
          <w:szCs w:val="28"/>
          <w:lang w:val="en-US" w:eastAsia="zh-CN"/>
        </w:rPr>
        <w:t>6.2成本费用分析，主要是分析材料、费用的升降原因、预算执行、完成情况、提出降低费用的措施办法。</w:t>
      </w:r>
    </w:p>
    <w:p w14:paraId="65247EFC">
      <w:pPr>
        <w:spacing w:line="440" w:lineRule="exact"/>
        <w:ind w:firstLine="560" w:firstLineChars="200"/>
        <w:jc w:val="left"/>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1）财务部成本会计通过分析收入利润率、成本费用利润率等指标，评估成本费用的现实情况。</w:t>
      </w:r>
    </w:p>
    <w:p w14:paraId="25D97FD8">
      <w:pPr>
        <w:spacing w:line="440" w:lineRule="exact"/>
        <w:ind w:firstLine="560" w:firstLineChars="200"/>
        <w:jc w:val="left"/>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2）财务部成本会计根据工资、材料、燃料、电力、折旧以及其他各要素费用的变化情况，通过同主要消耗定额和开支标准进行对比，计算各因素的影响程度。</w:t>
      </w:r>
    </w:p>
    <w:p w14:paraId="2E670213">
      <w:pPr>
        <w:spacing w:line="440" w:lineRule="exact"/>
        <w:ind w:firstLine="560" w:firstLineChars="200"/>
        <w:jc w:val="left"/>
        <w:rPr>
          <w:rFonts w:hint="default"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3）经营发展部、生产部、工程技术部对成本费用的升降原因进行分析，并同时提出下一步改进工作的意见。</w:t>
      </w:r>
    </w:p>
    <w:p w14:paraId="0E3A178A">
      <w:pPr>
        <w:spacing w:before="312" w:beforeLines="100" w:after="312" w:afterLines="100" w:line="440" w:lineRule="exact"/>
        <w:jc w:val="left"/>
        <w:rPr>
          <w:rFonts w:hint="default" w:ascii="黑体" w:hAnsi="黑体" w:eastAsia="黑体" w:cs="黑体"/>
          <w:sz w:val="28"/>
          <w:lang w:val="en-US" w:eastAsia="zh-CN"/>
        </w:rPr>
      </w:pPr>
      <w:r>
        <w:rPr>
          <w:rFonts w:hint="eastAsia" w:ascii="黑体" w:hAnsi="黑体" w:eastAsia="黑体" w:cs="黑体"/>
          <w:sz w:val="28"/>
          <w:lang w:val="en-US" w:eastAsia="zh-CN"/>
        </w:rPr>
        <w:t>6 相关流程</w:t>
      </w:r>
    </w:p>
    <w:p w14:paraId="047A0BC9">
      <w:pPr>
        <w:jc w:val="left"/>
        <w:rPr>
          <w:rFonts w:hint="eastAsia"/>
          <w:b w:val="0"/>
          <w:bCs w:val="0"/>
          <w:sz w:val="28"/>
          <w:szCs w:val="28"/>
          <w:lang w:val="en-US" w:eastAsia="zh-CN"/>
        </w:rPr>
      </w:pPr>
      <w:r>
        <w:rPr>
          <w:rFonts w:hint="eastAsia"/>
          <w:b w:val="0"/>
          <w:bCs w:val="0"/>
          <w:sz w:val="28"/>
          <w:szCs w:val="28"/>
          <w:lang w:val="en-US" w:eastAsia="zh-CN"/>
        </w:rPr>
        <w:t>详见沈阳用友上线流程</w:t>
      </w:r>
    </w:p>
    <w:p w14:paraId="729EA1AA">
      <w:pPr>
        <w:spacing w:before="312" w:beforeLines="100" w:after="312" w:afterLines="100" w:line="440" w:lineRule="exact"/>
        <w:jc w:val="left"/>
        <w:rPr>
          <w:rFonts w:hint="default" w:ascii="黑体" w:hAnsi="黑体" w:eastAsia="黑体" w:cs="黑体"/>
          <w:sz w:val="28"/>
          <w:lang w:val="en-US" w:eastAsia="zh-CN"/>
        </w:rPr>
      </w:pPr>
      <w:r>
        <w:rPr>
          <w:rFonts w:hint="eastAsia" w:ascii="黑体" w:hAnsi="黑体" w:eastAsia="黑体" w:cs="黑体"/>
          <w:sz w:val="28"/>
          <w:lang w:val="en-US" w:eastAsia="zh-CN"/>
        </w:rPr>
        <w:t>7 规定表格</w:t>
      </w:r>
    </w:p>
    <w:p w14:paraId="3DF190B6">
      <w:pPr>
        <w:spacing w:line="440" w:lineRule="exact"/>
        <w:ind w:firstLine="560" w:firstLineChars="200"/>
        <w:jc w:val="left"/>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无</w:t>
      </w:r>
    </w:p>
    <w:p w14:paraId="6EFC8F11">
      <w:pPr>
        <w:spacing w:before="312" w:beforeLines="100" w:after="312" w:afterLines="100" w:line="440" w:lineRule="exact"/>
        <w:jc w:val="left"/>
        <w:rPr>
          <w:rFonts w:hint="default" w:ascii="黑体" w:hAnsi="黑体" w:eastAsia="黑体" w:cs="黑体"/>
          <w:sz w:val="28"/>
          <w:lang w:val="en-US" w:eastAsia="zh-CN"/>
        </w:rPr>
      </w:pPr>
      <w:r>
        <w:rPr>
          <w:rFonts w:hint="eastAsia" w:ascii="黑体" w:hAnsi="黑体" w:eastAsia="黑体" w:cs="黑体"/>
          <w:sz w:val="28"/>
          <w:lang w:val="en-US" w:eastAsia="zh-CN"/>
        </w:rPr>
        <w:t>8 记录控制</w:t>
      </w:r>
    </w:p>
    <w:p w14:paraId="6F7349BB">
      <w:pPr>
        <w:spacing w:line="440" w:lineRule="exact"/>
        <w:ind w:firstLine="560" w:firstLineChars="200"/>
        <w:jc w:val="left"/>
        <w:rPr>
          <w:rFonts w:hint="default"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相关报表由财务部负责存档，保存年限30年。</w:t>
      </w:r>
    </w:p>
    <w:sectPr>
      <w:headerReference r:id="rId3" w:type="default"/>
      <w:footerReference r:id="rId4" w:type="default"/>
      <w:pgSz w:w="11906" w:h="16838"/>
      <w:pgMar w:top="1440" w:right="1800" w:bottom="1440" w:left="1800" w:header="851" w:footer="992" w:gutter="0"/>
      <w:pgNumType w:fmt="numberInDash"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imes">
    <w:altName w:val="Times New Roman"/>
    <w:panose1 w:val="02020603050405020304"/>
    <w:charset w:val="00"/>
    <w:family w:val="roman"/>
    <w:pitch w:val="default"/>
    <w:sig w:usb0="00000000" w:usb1="00000000"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57788C">
    <w:pPr>
      <w:pStyle w:val="5"/>
      <w:jc w:val="center"/>
      <w:rPr>
        <w:rFonts w:hint="default" w:eastAsiaTheme="minorEastAsia"/>
        <w:lang w:val="en-US" w:eastAsia="zh-CN"/>
      </w:rP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9" name="文本框 4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B669A53">
                          <w:pPr>
                            <w:pStyle w:val="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Hg6Gf4zAgAAYwQAAA4AAAAAAAAAAQAgAAAAHwEAAGRycy9lMm9Eb2MueG1sUEsF&#10;BgAAAAAGAAYAWQEAAMQFAAAAAA==&#10;">
              <v:fill on="f" focussize="0,0"/>
              <v:stroke on="f" weight="0.5pt"/>
              <v:imagedata o:title=""/>
              <o:lock v:ext="edit" aspectratio="f"/>
              <v:textbox inset="0mm,0mm,0mm,0mm" style="mso-fit-shape-to-text:t;">
                <w:txbxContent>
                  <w:p w14:paraId="3B669A53">
                    <w:pPr>
                      <w:pStyle w:val="5"/>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92F5FC">
    <w:pPr>
      <w:pStyle w:val="6"/>
      <w:pBdr>
        <w:bottom w:val="none" w:color="auto" w:sz="0" w:space="0"/>
      </w:pBdr>
      <w:spacing w:after="120" w:afterLines="50"/>
      <w:jc w:val="both"/>
      <w:rPr>
        <w:sz w:val="10"/>
        <w:szCs w:val="1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mUyMDJmYTRhNDk0OGFiMTQ1ODRhM2U0Mzk4NzA2NWIifQ=="/>
  </w:docVars>
  <w:rsids>
    <w:rsidRoot w:val="5D3E6CEF"/>
    <w:rsid w:val="03265D02"/>
    <w:rsid w:val="032A093F"/>
    <w:rsid w:val="0A291EE4"/>
    <w:rsid w:val="0D1E4C12"/>
    <w:rsid w:val="1345104A"/>
    <w:rsid w:val="140C2E6B"/>
    <w:rsid w:val="188677A8"/>
    <w:rsid w:val="210E62C7"/>
    <w:rsid w:val="21195E02"/>
    <w:rsid w:val="24D9609E"/>
    <w:rsid w:val="28385963"/>
    <w:rsid w:val="2B195446"/>
    <w:rsid w:val="2D70227B"/>
    <w:rsid w:val="2D9B78B2"/>
    <w:rsid w:val="31384881"/>
    <w:rsid w:val="32DA58BD"/>
    <w:rsid w:val="35940147"/>
    <w:rsid w:val="38FE3710"/>
    <w:rsid w:val="3A630A59"/>
    <w:rsid w:val="3D537138"/>
    <w:rsid w:val="407A60D5"/>
    <w:rsid w:val="43B81461"/>
    <w:rsid w:val="46D067FE"/>
    <w:rsid w:val="49367CC8"/>
    <w:rsid w:val="4A0E55E5"/>
    <w:rsid w:val="4B7C6914"/>
    <w:rsid w:val="4C8E32E4"/>
    <w:rsid w:val="4D5257D6"/>
    <w:rsid w:val="512F1563"/>
    <w:rsid w:val="526279B1"/>
    <w:rsid w:val="551B75AE"/>
    <w:rsid w:val="552A7CFD"/>
    <w:rsid w:val="577F481A"/>
    <w:rsid w:val="57F16BEE"/>
    <w:rsid w:val="5A4F5D05"/>
    <w:rsid w:val="5D3E6CEF"/>
    <w:rsid w:val="5F7836B0"/>
    <w:rsid w:val="61CE365B"/>
    <w:rsid w:val="6241527D"/>
    <w:rsid w:val="625F4263"/>
    <w:rsid w:val="6637243F"/>
    <w:rsid w:val="66C22023"/>
    <w:rsid w:val="67450352"/>
    <w:rsid w:val="69F256DE"/>
    <w:rsid w:val="6AEB74BF"/>
    <w:rsid w:val="6CFD2982"/>
    <w:rsid w:val="708571A2"/>
    <w:rsid w:val="72F37FB0"/>
    <w:rsid w:val="79FC67C6"/>
    <w:rsid w:val="7EF96E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100" w:beforeLines="100" w:after="100" w:afterLines="100"/>
      <w:ind w:firstLine="0" w:firstLineChars="0"/>
      <w:outlineLvl w:val="0"/>
    </w:pPr>
    <w:rPr>
      <w:rFonts w:eastAsia="黑体"/>
      <w:bCs/>
      <w:kern w:val="44"/>
      <w:szCs w:val="44"/>
      <w:lang w:bidi="ar-SA"/>
    </w:rPr>
  </w:style>
  <w:style w:type="paragraph" w:styleId="3">
    <w:name w:val="heading 2"/>
    <w:basedOn w:val="1"/>
    <w:next w:val="1"/>
    <w:qFormat/>
    <w:uiPriority w:val="0"/>
    <w:pPr>
      <w:keepNext/>
      <w:spacing w:before="120" w:after="120"/>
      <w:ind w:firstLine="0" w:firstLineChars="0"/>
      <w:outlineLvl w:val="1"/>
    </w:pPr>
    <w:rPr>
      <w:rFonts w:eastAsia="黑体"/>
      <w:iCs/>
      <w:kern w:val="2"/>
      <w:szCs w:val="28"/>
      <w:lang w:bidi="ar-SA"/>
    </w:rPr>
  </w:style>
  <w:style w:type="character" w:default="1" w:styleId="9">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4">
    <w:name w:val="Body Text"/>
    <w:basedOn w:val="1"/>
    <w:qFormat/>
    <w:uiPriority w:val="0"/>
    <w:pPr>
      <w:ind w:firstLine="0" w:firstLineChars="0"/>
    </w:pPr>
  </w:style>
  <w:style w:type="paragraph" w:styleId="5">
    <w:name w:val="footer"/>
    <w:basedOn w:val="1"/>
    <w:qFormat/>
    <w:uiPriority w:val="0"/>
    <w:pPr>
      <w:tabs>
        <w:tab w:val="center" w:pos="4153"/>
        <w:tab w:val="right" w:pos="8306"/>
      </w:tabs>
      <w:snapToGrid w:val="0"/>
      <w:jc w:val="left"/>
    </w:pPr>
    <w:rPr>
      <w:sz w:val="18"/>
    </w:rPr>
  </w:style>
  <w:style w:type="paragraph" w:styleId="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8">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0">
    <w:name w:val="List Paragraph"/>
    <w:basedOn w:val="1"/>
    <w:qFormat/>
    <w:uiPriority w:val="99"/>
    <w:pPr>
      <w:ind w:firstLine="420"/>
    </w:pPr>
    <w:rPr>
      <w:szCs w:val="2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9</Pages>
  <Words>5120</Words>
  <Characters>5229</Characters>
  <Lines>0</Lines>
  <Paragraphs>0</Paragraphs>
  <TotalTime>13</TotalTime>
  <ScaleCrop>false</ScaleCrop>
  <LinksUpToDate>false</LinksUpToDate>
  <CharactersWithSpaces>5274</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2025-06-18T05:20:00Z</dcterms:created>
  <dc:creator>G</dc:creator>
  <cp:lastModifiedBy>Administrator</cp:lastModifiedBy>
  <cp:lastPrinted>2025-10-16T06:43:00Z</cp:lastPrinted>
  <dcterms:modified xsi:type="dcterms:W3CDTF">2025-10-16T07:17:16Z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5B73243314104128A80F2B820C674784_13</vt:lpwstr>
  </property>
  <property fmtid="{D5CDD505-2E9C-101B-9397-08002B2CF9AE}" pid="4" name="KSOTemplateDocerSaveRecord">
    <vt:lpwstr>eyJoZGlkIjoiYjNmMzNmNzE3MDlmMDUyNGVkMzAxYzhkNDcwZDE1NzIifQ==</vt:lpwstr>
  </property>
</Properties>
</file>