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720"/>
        <w:gridCol w:w="280"/>
        <w:gridCol w:w="37"/>
        <w:gridCol w:w="666"/>
        <w:gridCol w:w="297"/>
        <w:gridCol w:w="332"/>
        <w:gridCol w:w="668"/>
        <w:gridCol w:w="382"/>
        <w:gridCol w:w="505"/>
        <w:gridCol w:w="113"/>
        <w:gridCol w:w="1000"/>
        <w:gridCol w:w="20"/>
        <w:gridCol w:w="476"/>
        <w:gridCol w:w="504"/>
        <w:gridCol w:w="532"/>
        <w:gridCol w:w="468"/>
        <w:gridCol w:w="13"/>
        <w:gridCol w:w="987"/>
        <w:gridCol w:w="1007"/>
      </w:tblGrid>
      <w:tr w14:paraId="4CA65F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20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397EA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Times" w:eastAsia="黑体" w:cs="Times New Roman"/>
                <w:bCs/>
                <w:spacing w:val="20"/>
                <w:sz w:val="36"/>
                <w:szCs w:val="36"/>
                <w:lang w:val="en-US" w:eastAsia="zh-CN"/>
              </w:rPr>
            </w:pPr>
            <w:r>
              <w:rPr>
                <w:rFonts w:hint="eastAsia" w:ascii="黑体" w:hAnsi="Times" w:eastAsia="黑体" w:cs="Times New Roman"/>
                <w:bCs/>
                <w:spacing w:val="20"/>
                <w:sz w:val="36"/>
                <w:szCs w:val="36"/>
                <w:lang w:val="en-US" w:eastAsia="zh-CN"/>
              </w:rPr>
              <w:t>沈阳昌兴复材航空科技有限责任公司</w:t>
            </w:r>
          </w:p>
          <w:p w14:paraId="3927F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hAnsi="Times" w:eastAsia="黑体" w:cs="Times New Roman"/>
                <w:bCs/>
                <w:spacing w:val="20"/>
                <w:sz w:val="36"/>
                <w:szCs w:val="36"/>
                <w:lang w:val="en-US" w:eastAsia="zh-CN"/>
              </w:rPr>
              <w:t>制 度 文 件</w:t>
            </w:r>
          </w:p>
        </w:tc>
      </w:tr>
      <w:tr w14:paraId="4CBDAF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4"/>
            <w:vMerge w:val="restart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E46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3983" w:type="dxa"/>
            <w:gridSpan w:val="9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7310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财务报销及付款管理程序</w:t>
            </w:r>
          </w:p>
        </w:tc>
        <w:tc>
          <w:tcPr>
            <w:tcW w:w="199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863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08706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default" w:ascii="黑体" w:eastAsia="黑体"/>
                <w:sz w:val="28"/>
                <w:szCs w:val="36"/>
                <w:lang w:val="en-US" w:eastAsia="zh-CN"/>
              </w:rPr>
              <w:t>GLTX-CW-0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5</w:t>
            </w:r>
          </w:p>
        </w:tc>
      </w:tr>
      <w:tr w14:paraId="6F2FBD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4"/>
            <w:vMerge w:val="continue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3BE2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9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D506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</w:p>
        </w:tc>
        <w:tc>
          <w:tcPr>
            <w:tcW w:w="199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3C40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版次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52958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Times New Roman"/>
                <w:bCs/>
                <w:sz w:val="28"/>
                <w:szCs w:val="28"/>
                <w:lang w:val="en-US" w:eastAsia="zh-CN" w:bidi="en-US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A</w:t>
            </w:r>
          </w:p>
        </w:tc>
      </w:tr>
      <w:tr w14:paraId="056A0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4"/>
            <w:vMerge w:val="continue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9D5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9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8E22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D0E5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61FAA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5856F6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4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D69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4BF6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财务部</w:t>
            </w:r>
          </w:p>
        </w:tc>
        <w:tc>
          <w:tcPr>
            <w:tcW w:w="1638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0D94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7516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24C6F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2026-2-3</w:t>
            </w:r>
          </w:p>
        </w:tc>
      </w:tr>
      <w:tr w14:paraId="4B01DD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20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69404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kern w:val="0"/>
                <w:sz w:val="32"/>
                <w:szCs w:val="32"/>
              </w:rPr>
            </w:pPr>
            <w:r>
              <w:rPr>
                <w:rFonts w:hint="eastAsia" w:ascii="宋体" w:hAnsi="Times" w:eastAsia="宋体" w:cs="Times New Roman"/>
                <w:bCs/>
                <w:sz w:val="24"/>
                <w:szCs w:val="28"/>
              </w:rPr>
              <w:t>更    改    记    录</w:t>
            </w:r>
          </w:p>
        </w:tc>
      </w:tr>
      <w:tr w14:paraId="23AD26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9F1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  <w:lang w:eastAsia="zh-CN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  <w:lang w:val="en-US" w:eastAsia="zh-CN"/>
              </w:rPr>
              <w:t>序号</w:t>
            </w:r>
          </w:p>
        </w:tc>
        <w:tc>
          <w:tcPr>
            <w:tcW w:w="218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AD87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更改单</w:t>
            </w: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  <w:lang w:val="en-US" w:eastAsia="zh-CN"/>
              </w:rPr>
              <w:t>编</w:t>
            </w: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号</w:t>
            </w:r>
          </w:p>
        </w:tc>
        <w:tc>
          <w:tcPr>
            <w:tcW w:w="264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F9E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更改者签字</w:t>
            </w: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55D53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</w:pPr>
            <w:r>
              <w:rPr>
                <w:rFonts w:hint="eastAsia" w:ascii="宋体" w:hAnsi="Times" w:eastAsia="宋体" w:cs="Times New Roman"/>
                <w:bCs/>
                <w:kern w:val="0"/>
                <w:sz w:val="24"/>
                <w:szCs w:val="28"/>
              </w:rPr>
              <w:t>更改日期</w:t>
            </w:r>
          </w:p>
        </w:tc>
      </w:tr>
      <w:tr w14:paraId="7ECDEC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7B7C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18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DD6E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64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C11A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4B1A8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</w:tr>
      <w:tr w14:paraId="66FD0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6EF3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18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36C5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64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0766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7656D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</w:tr>
      <w:tr w14:paraId="00F91F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D893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18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D6B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64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16F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100A8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</w:tr>
      <w:tr w14:paraId="5215EF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D66C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18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4D6B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64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EA68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35294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</w:tr>
      <w:tr w14:paraId="5ABB09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785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184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3579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645" w:type="dxa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5FB5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7B045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宋体"/>
              </w:rPr>
            </w:pPr>
          </w:p>
        </w:tc>
      </w:tr>
      <w:tr w14:paraId="2628B8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20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7DBC0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1F8301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8BA7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C21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经营</w:t>
            </w:r>
          </w:p>
          <w:p w14:paraId="3E8FD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发展部</w:t>
            </w: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6900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行政</w:t>
            </w:r>
          </w:p>
          <w:p w14:paraId="576F4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人事部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D63D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工程</w:t>
            </w:r>
          </w:p>
          <w:p w14:paraId="28B2F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技术部</w:t>
            </w: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584D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财务部</w:t>
            </w:r>
          </w:p>
        </w:tc>
        <w:tc>
          <w:tcPr>
            <w:tcW w:w="1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184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质量</w:t>
            </w:r>
          </w:p>
          <w:p w14:paraId="02BDE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管理部</w:t>
            </w: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C982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项目管理部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57F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物资</w:t>
            </w:r>
          </w:p>
          <w:p w14:paraId="1B0E0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保障部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E931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复材车间</w:t>
            </w:r>
          </w:p>
        </w:tc>
        <w:tc>
          <w:tcPr>
            <w:tcW w:w="10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1A310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1"/>
                <w:szCs w:val="21"/>
                <w:lang w:val="en-US" w:eastAsia="zh-CN"/>
              </w:rPr>
              <w:t>运维安环部</w:t>
            </w:r>
          </w:p>
        </w:tc>
      </w:tr>
      <w:tr w14:paraId="4F19E0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2E02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96F9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271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925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8881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3F09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C86D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B0A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19D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3BDCF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</w:tr>
      <w:tr w14:paraId="3E80D7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3827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35BA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76572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C274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F75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C0F2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D26D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A041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2F05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0C5BD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</w:tr>
      <w:tr w14:paraId="6EFFAA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6D4C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445B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57BA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F578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E99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1D09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39F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4C7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CF9B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3DF46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</w:tr>
      <w:tr w14:paraId="3AACF5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9ACA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1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160B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47A5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BACA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  <w:tc>
          <w:tcPr>
            <w:tcW w:w="103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0C17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2EC3A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</w:tr>
      <w:tr w14:paraId="0AC84F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81C6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eastAsiaTheme="minorEastAsia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612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8211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  <w:tc>
          <w:tcPr>
            <w:tcW w:w="155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994C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eastAsiaTheme="minorEastAsia"/>
                <w:spacing w:val="100"/>
                <w:sz w:val="24"/>
                <w:lang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09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308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  <w:tc>
          <w:tcPr>
            <w:tcW w:w="1036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D885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eastAsiaTheme="minorEastAsia"/>
                <w:spacing w:val="100"/>
                <w:sz w:val="24"/>
                <w:lang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2475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554B4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</w:tr>
      <w:tr w14:paraId="445BBE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33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564C0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eastAsiaTheme="minorEastAsia"/>
                <w:spacing w:val="100"/>
                <w:sz w:val="24"/>
                <w:lang w:val="en-US" w:eastAsia="zh-CN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287" w:type="dxa"/>
            <w:gridSpan w:val="18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B829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/>
                <w:spacing w:val="100"/>
                <w:sz w:val="24"/>
              </w:rPr>
            </w:pPr>
          </w:p>
        </w:tc>
      </w:tr>
    </w:tbl>
    <w:p w14:paraId="76FD9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8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  <w:sectPr>
          <w:pgSz w:w="11905" w:h="16838"/>
          <w:pgMar w:top="1417" w:right="1701" w:bottom="1417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425" w:num="1"/>
          <w:rtlGutter w:val="0"/>
          <w:docGrid w:type="lines" w:linePitch="312" w:charSpace="0"/>
        </w:sectPr>
      </w:pPr>
    </w:p>
    <w:p w14:paraId="374E52EB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jc w:val="left"/>
        <w:textAlignment w:val="auto"/>
        <w:rPr>
          <w:rFonts w:hint="eastAsia" w:ascii="Times New Roman" w:hAnsi="Times New Roman" w:eastAsia="黑体" w:cs="Times New Roman"/>
          <w:snapToGrid/>
          <w:color w:val="000000"/>
          <w:kern w:val="2"/>
          <w:sz w:val="28"/>
          <w:szCs w:val="22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snapToGrid/>
          <w:color w:val="000000"/>
          <w:kern w:val="2"/>
          <w:sz w:val="28"/>
          <w:szCs w:val="22"/>
          <w:lang w:val="en-US" w:eastAsia="zh-CN"/>
        </w:rPr>
        <w:t>1 目的</w:t>
      </w:r>
    </w:p>
    <w:p w14:paraId="386571D6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为规范公司财务报销及付款行为，明确审批流程，强化费用管控，保障公司资金安全、合规使用，杜绝违规报销、无序付款现象，结合公司实际情况，特制定本程序。</w:t>
      </w:r>
    </w:p>
    <w:p w14:paraId="4FF37C6B">
      <w:pPr>
        <w:widowControl w:val="0"/>
        <w:kinsoku/>
        <w:autoSpaceDE/>
        <w:autoSpaceDN/>
        <w:adjustRightInd/>
        <w:snapToGrid/>
        <w:spacing w:before="312" w:beforeLines="100" w:after="312" w:afterLines="100" w:line="440" w:lineRule="exact"/>
        <w:jc w:val="left"/>
        <w:textAlignment w:val="auto"/>
        <w:rPr>
          <w:rFonts w:hint="eastAsia" w:ascii="Times New Roman" w:hAnsi="Times New Roman" w:eastAsia="黑体" w:cs="Times New Roman"/>
          <w:snapToGrid/>
          <w:color w:val="000000"/>
          <w:kern w:val="2"/>
          <w:sz w:val="28"/>
          <w:szCs w:val="22"/>
          <w:lang w:val="en-US" w:eastAsia="zh-CN"/>
        </w:rPr>
      </w:pPr>
      <w:r>
        <w:rPr>
          <w:rFonts w:hint="eastAsia" w:ascii="Times New Roman" w:hAnsi="Times New Roman" w:eastAsia="黑体" w:cs="Times New Roman"/>
          <w:snapToGrid/>
          <w:color w:val="000000"/>
          <w:kern w:val="2"/>
          <w:sz w:val="28"/>
          <w:szCs w:val="22"/>
          <w:lang w:val="en-US" w:eastAsia="zh-CN"/>
        </w:rPr>
        <w:t>2 适用范围</w:t>
      </w:r>
    </w:p>
    <w:p w14:paraId="66F4358D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本程序适用于公司全体员工（含试用期员工、正式员工、劳务工、管理人员）的所有财务报销事项（含打车费、差旅费、办公费等各类费用）及所有对外付款、对内付款事项（含货款、服务费、员工报销款、备用金冲抵付款等），涵盖付款全流程、报销全流程及相关审核、审批职责。</w:t>
      </w:r>
    </w:p>
    <w:p w14:paraId="62B1CFB4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jc w:val="both"/>
        <w:textAlignment w:val="baseline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3 术语和定义</w:t>
      </w:r>
    </w:p>
    <w:p w14:paraId="08DDADC9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Theme="majorEastAsia" w:hAnsiTheme="majorEastAsia" w:eastAsiaTheme="majorEastAsia" w:cstheme="majorEastAsia"/>
          <w:sz w:val="28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highlight w:val="none"/>
          <w:lang w:val="en-US" w:eastAsia="zh-CN"/>
        </w:rPr>
        <w:t>无</w:t>
      </w:r>
    </w:p>
    <w:p w14:paraId="68607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4 职责和权限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162"/>
      </w:tblGrid>
      <w:tr w14:paraId="5264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92" w:type="pct"/>
            <w:vAlign w:val="center"/>
          </w:tcPr>
          <w:p w14:paraId="6D9C1915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部门</w:t>
            </w:r>
          </w:p>
        </w:tc>
        <w:tc>
          <w:tcPr>
            <w:tcW w:w="4107" w:type="pct"/>
            <w:vAlign w:val="center"/>
          </w:tcPr>
          <w:p w14:paraId="5D690861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主 要 职 责 描 述</w:t>
            </w:r>
          </w:p>
        </w:tc>
      </w:tr>
      <w:tr w14:paraId="108A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892" w:type="pct"/>
            <w:shd w:val="clear" w:color="auto" w:fill="auto"/>
            <w:vAlign w:val="center"/>
          </w:tcPr>
          <w:p w14:paraId="68AACEC1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申请人</w:t>
            </w:r>
          </w:p>
        </w:tc>
        <w:tc>
          <w:tcPr>
            <w:tcW w:w="4107" w:type="pct"/>
            <w:shd w:val="clear" w:color="auto" w:fill="auto"/>
            <w:vAlign w:val="center"/>
          </w:tcPr>
          <w:p w14:paraId="09288265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整理真实、完整的报销/付款单据，规范填写付款凭证，按照要求黏贴单据。按流程提交申请，及时补充审核所需资料。</w:t>
            </w:r>
          </w:p>
          <w:p w14:paraId="20AA8D06">
            <w:pPr>
              <w:widowControl w:val="0"/>
              <w:numPr>
                <w:ilvl w:val="0"/>
                <w:numId w:val="1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对单据的真实性、合法性、完整性负责，严禁提供虚假单据或申请，违者追究相关责任并追回违规款项。</w:t>
            </w:r>
          </w:p>
        </w:tc>
      </w:tr>
      <w:tr w14:paraId="5911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892" w:type="pct"/>
            <w:vAlign w:val="center"/>
          </w:tcPr>
          <w:p w14:paraId="6D895AF7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财务部</w:t>
            </w:r>
          </w:p>
        </w:tc>
        <w:tc>
          <w:tcPr>
            <w:tcW w:w="4107" w:type="pct"/>
            <w:vAlign w:val="center"/>
          </w:tcPr>
          <w:p w14:paraId="58D40469">
            <w:pPr>
              <w:widowControl w:val="0"/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审核所有报销/付款申请，严格核对单据、金额及合规性，审核通过后签字确认。</w:t>
            </w:r>
          </w:p>
          <w:p w14:paraId="2E980190">
            <w:pPr>
              <w:widowControl w:val="0"/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跟踪审批流程，及时办理付款手续。</w:t>
            </w:r>
          </w:p>
          <w:p w14:paraId="7DAF5C35">
            <w:pPr>
              <w:widowControl w:val="0"/>
              <w:numPr>
                <w:ilvl w:val="0"/>
                <w:numId w:val="2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归档、保管报销/付款相关单据，便于后续查询、审计。</w:t>
            </w:r>
          </w:p>
        </w:tc>
      </w:tr>
      <w:tr w14:paraId="20A89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892" w:type="pct"/>
            <w:shd w:val="clear" w:color="auto" w:fill="auto"/>
            <w:vAlign w:val="center"/>
          </w:tcPr>
          <w:p w14:paraId="23C48F5F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副总经理</w:t>
            </w:r>
          </w:p>
        </w:tc>
        <w:tc>
          <w:tcPr>
            <w:tcW w:w="4107" w:type="pct"/>
            <w:shd w:val="clear" w:color="auto" w:fill="auto"/>
            <w:vAlign w:val="center"/>
          </w:tcPr>
          <w:p w14:paraId="79DCAE1D">
            <w:pPr>
              <w:widowControl w:val="0"/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审核财务签字后的报销/付款申请，核实事项真实性、合理性，审核无误后签字确认。</w:t>
            </w:r>
          </w:p>
          <w:p w14:paraId="2C790D04">
            <w:pPr>
              <w:widowControl w:val="0"/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对审核发现的问题，及时退回相关环节核实、更正。</w:t>
            </w:r>
          </w:p>
          <w:p w14:paraId="1788714F">
            <w:pPr>
              <w:widowControl w:val="0"/>
              <w:numPr>
                <w:ilvl w:val="0"/>
                <w:numId w:val="3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严禁未经财务签字，擅自审批报销/付款申请。</w:t>
            </w:r>
          </w:p>
        </w:tc>
      </w:tr>
      <w:tr w14:paraId="1C89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92" w:type="pct"/>
            <w:shd w:val="clear" w:color="auto" w:fill="auto"/>
            <w:vAlign w:val="center"/>
          </w:tcPr>
          <w:p w14:paraId="4C314EDE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总经理</w:t>
            </w:r>
          </w:p>
        </w:tc>
        <w:tc>
          <w:tcPr>
            <w:tcW w:w="4107" w:type="pct"/>
            <w:shd w:val="clear" w:color="auto" w:fill="auto"/>
            <w:vAlign w:val="center"/>
          </w:tcPr>
          <w:p w14:paraId="47376C9A">
            <w:pPr>
              <w:widowControl w:val="0"/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 xml:space="preserve"> 对副总审批后的报销/付款申请进行最终审批，确认事项合规、金额准确、流程完整，审核无误后签字确认。</w:t>
            </w:r>
          </w:p>
          <w:p w14:paraId="44B79AEF">
            <w:pPr>
              <w:widowControl w:val="0"/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重点审核大额付款、特殊事项付款。</w:t>
            </w:r>
          </w:p>
          <w:p w14:paraId="26525527">
            <w:pPr>
              <w:widowControl w:val="0"/>
              <w:numPr>
                <w:ilvl w:val="0"/>
                <w:numId w:val="4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严禁未经财务签字、副总审批，擅自审批付款。</w:t>
            </w:r>
          </w:p>
        </w:tc>
      </w:tr>
      <w:tr w14:paraId="32B6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92" w:type="pct"/>
            <w:shd w:val="clear" w:color="auto" w:fill="auto"/>
            <w:vAlign w:val="center"/>
          </w:tcPr>
          <w:p w14:paraId="1D029FD0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董事长</w:t>
            </w:r>
          </w:p>
        </w:tc>
        <w:tc>
          <w:tcPr>
            <w:tcW w:w="4107" w:type="pct"/>
            <w:shd w:val="clear" w:color="auto" w:fill="auto"/>
            <w:vAlign w:val="center"/>
          </w:tcPr>
          <w:p w14:paraId="78B846AA">
            <w:pPr>
              <w:widowControl w:val="0"/>
              <w:numPr>
                <w:ilvl w:val="0"/>
                <w:numId w:val="5"/>
              </w:numPr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4"/>
                <w:szCs w:val="22"/>
                <w:lang w:val="en-US" w:eastAsia="zh-CN" w:bidi="en-US"/>
              </w:rPr>
              <w:t>对总经理审批后的付款事项进行最终审批，审批通过后财务部方可办理付款。</w:t>
            </w:r>
          </w:p>
        </w:tc>
      </w:tr>
    </w:tbl>
    <w:p w14:paraId="21877C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440" w:lineRule="exact"/>
        <w:ind w:left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5</w:t>
      </w: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 xml:space="preserve"> 工作程序</w:t>
      </w:r>
    </w:p>
    <w:p w14:paraId="5D78A76B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default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</w:pPr>
      <w:r>
        <w:rPr>
          <w:rFonts w:hint="eastAsia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  <w:t>5.1核心原则</w:t>
      </w:r>
    </w:p>
    <w:p w14:paraId="6A186B27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合规性原则：报销及付款事项需符合国家财经法规、公司财务制度，票据真实合法完整，流程符合本程序规定。</w:t>
      </w:r>
    </w:p>
    <w:p w14:paraId="303C0961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闭环管理原则：所有付款及报销事项，必须完成 “申请人提交→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  <w:t>财务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  <w:t>人员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  <w:t>审核签字→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  <w:t>财务部长审批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  <w:t>→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副总审批→总经理审批→董事长审批→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出纳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付款” 的完整流程，严禁跳过任何审批环节。</w:t>
      </w:r>
    </w:p>
    <w:p w14:paraId="11EC3A7C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重点管控原则：打车费报销实行专项管理，明确报销范围、标准、凭证要求，从严审核，杜绝不合理报销。</w:t>
      </w:r>
    </w:p>
    <w:p w14:paraId="2DE77CD5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权责清晰原则：明确各环节人员具体职责，确保权责明确、追责可溯。</w:t>
      </w:r>
    </w:p>
    <w:p w14:paraId="69ABF01E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default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</w:pPr>
      <w:r>
        <w:rPr>
          <w:rFonts w:hint="default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  <w:t>5.2</w:t>
      </w:r>
      <w:r>
        <w:rPr>
          <w:rFonts w:hint="eastAsia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  <w:t xml:space="preserve"> 报销及付款时间</w:t>
      </w:r>
    </w:p>
    <w:p w14:paraId="1DF960D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ind w:leftChars="0"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  <w:t>5.2.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  <w:t>1 单据提交时间</w:t>
      </w:r>
    </w:p>
    <w:p w14:paraId="3F10268D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常规报销单据：申请人需在费用发生后的7个工作日内整理完毕并提交至财务部。</w:t>
      </w:r>
    </w:p>
    <w:p w14:paraId="6E50626B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highlight w:val="none"/>
          <w:lang w:val="en-US" w:eastAsia="zh-CN"/>
        </w:rPr>
        <w:t>打车费报销单据：班组需在每月20日前，将上月21日至本月19日期间的打车费单据统一提交至行政人事部复核。</w:t>
      </w:r>
    </w:p>
    <w:p w14:paraId="188FC332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对外付款申请：申请人需在合同约定付款日期前10个工作日提交付款申请，预留充足审批时间。</w:t>
      </w:r>
    </w:p>
    <w:p w14:paraId="2721F5F6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5.2.2 审批流转时间</w:t>
      </w:r>
    </w:p>
    <w:p w14:paraId="22097FAA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财务部审核：自收到完整单据后1个工作日内完成审核并签字。</w:t>
      </w:r>
    </w:p>
    <w:p w14:paraId="2DE06114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副总审批：自收到财务签字单据后1个工作日内完成审批。</w:t>
      </w:r>
    </w:p>
    <w:p w14:paraId="58AE2687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总经理审批：自收到副总审批单据后1个工作日内完成审批。</w:t>
      </w:r>
    </w:p>
    <w:p w14:paraId="6C1ADC7C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董事长审批：财务部汇总审批单据后，每周统一提交董事长线上审批，签字后补。</w:t>
      </w:r>
    </w:p>
    <w:p w14:paraId="26ED483D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5.2.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3 付款执行时间</w:t>
      </w:r>
    </w:p>
    <w:p w14:paraId="2B62D248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常规付款：每周五为固定付款日，财务部对董事长审批通过的付款事项集中办理付款。</w:t>
      </w:r>
    </w:p>
    <w:p w14:paraId="0593A238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紧急付款：因特殊情况需加急付款的，需在申请中注明“紧急付款”，经总经理、董事长特批后，财务部可在1个工作日内办理。</w:t>
      </w:r>
    </w:p>
    <w:p w14:paraId="255EB206">
      <w:pPr>
        <w:widowControl w:val="0"/>
        <w:kinsoku/>
        <w:autoSpaceDE/>
        <w:autoSpaceDN/>
        <w:adjustRightInd/>
        <w:snapToGrid/>
        <w:spacing w:before="156" w:beforeLines="50" w:after="156" w:afterLines="50" w:line="440" w:lineRule="exact"/>
        <w:jc w:val="both"/>
        <w:textAlignment w:val="auto"/>
        <w:rPr>
          <w:rFonts w:hint="default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</w:pPr>
      <w:r>
        <w:rPr>
          <w:rFonts w:hint="default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  <w:t>5.</w:t>
      </w:r>
      <w:r>
        <w:rPr>
          <w:rFonts w:hint="eastAsia" w:ascii="黑体" w:hAnsi="黑体" w:eastAsia="黑体" w:cs="黑体"/>
          <w:snapToGrid/>
          <w:color w:val="000000"/>
          <w:kern w:val="2"/>
          <w:sz w:val="28"/>
          <w:szCs w:val="24"/>
          <w:lang w:val="en-US" w:eastAsia="zh-CN"/>
        </w:rPr>
        <w:t>3 打车费报销专项管理规定</w:t>
      </w:r>
    </w:p>
    <w:p w14:paraId="5757241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440" w:lineRule="exact"/>
        <w:ind w:leftChars="0"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  <w:t>5.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  <w:t>3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  <w:t>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 w:bidi="ar-SA"/>
        </w:rPr>
        <w:t>1 可报销范围</w:t>
      </w:r>
    </w:p>
    <w:p w14:paraId="64223C47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1）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公务外出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情形：</w:t>
      </w:r>
    </w:p>
    <w:p w14:paraId="26AB7185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坐班车员工因公司公务（如拜访客户、对接合作单位、外出办事、参加行业会议等），满足以下条件可报销打车费：</w:t>
      </w:r>
    </w:p>
    <w:p w14:paraId="6DBBF786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无法通过公司通勤车、公共交通（公交、地铁）便捷到达目的地。</w:t>
      </w:r>
    </w:p>
    <w:p w14:paraId="053E9CEA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出行距离较远或任务时间紧急。</w:t>
      </w:r>
    </w:p>
    <w:p w14:paraId="1EE0A03C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2）特殊情况（夜班及停运时段）</w:t>
      </w:r>
    </w:p>
    <w:p w14:paraId="3C3CFBF2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坐班车员工在20:30之后下班的，可报销两段打车费：公司至创新一路地铁口、地铁口至家。</w:t>
      </w:r>
    </w:p>
    <w:p w14:paraId="3B53CBA9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若下班时地铁已全线停运，可直接报销从公司至家的全程打车费。</w:t>
      </w:r>
    </w:p>
    <w:p w14:paraId="04A3F903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5.3.2 报销前置要求</w:t>
      </w:r>
    </w:p>
    <w:p w14:paraId="4194E5EB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打车前需通过钉钉提交《公出（沈阳）》申请，注明出行事由、时间、路线，申请通过后方可打车。</w:t>
      </w:r>
    </w:p>
    <w:p w14:paraId="7A8A85EC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同一路线的员工同时下班的，必须拼车同行，仅可报销一次打车费，费用由同行人员协商分摊或按公司规定处理。</w:t>
      </w:r>
    </w:p>
    <w:p w14:paraId="46948D42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3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3 报销凭证及流程</w:t>
      </w:r>
    </w:p>
    <w:p w14:paraId="33197D71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报销需提供的材料：交通费明细表、行程单、正规发票，发票日期需与下班时间、加班时间完全相符。</w:t>
      </w:r>
    </w:p>
    <w:p w14:paraId="0329E3F7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流程步骤：</w:t>
      </w:r>
    </w:p>
    <w:p w14:paraId="343C26E2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员工将报销材料提交至班组统一汇总。</w:t>
      </w:r>
    </w:p>
    <w:p w14:paraId="071F3862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每月20日班组将材料报至行政人事部复核，复核内容包括：考勤打卡时间、是否为坐班车员工、路线合理性、加班真实性。</w:t>
      </w:r>
    </w:p>
    <w:p w14:paraId="2DF7AEC0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行政人事部需在每月2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5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日前完成复核，将复核通过的报销单提交至财务部。</w:t>
      </w:r>
    </w:p>
    <w:p w14:paraId="272E4468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财务部按付款时间规定，在每周五完成付款。</w:t>
      </w:r>
    </w:p>
    <w:p w14:paraId="306DEBFD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3</w:t>
      </w: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4 禁止报销情形</w:t>
      </w:r>
    </w:p>
    <w:p w14:paraId="7161872D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员工日常通勤（家至公司）产生的打车费。</w:t>
      </w:r>
    </w:p>
    <w:p w14:paraId="140B922F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因个人私事（如买菜、就医、探亲等）产生的打车费。</w:t>
      </w:r>
    </w:p>
    <w:p w14:paraId="4617601C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可乘坐公共交通却刻意打车产生的费用。</w:t>
      </w:r>
    </w:p>
    <w:p w14:paraId="78A69DCC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打车过程中产生的额外费用（小费、绕路超额费用、停车费等）。</w:t>
      </w:r>
    </w:p>
    <w:p w14:paraId="654B4ADF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无合理事由、无审批手续、凭证不全的打车费。</w:t>
      </w:r>
    </w:p>
    <w:p w14:paraId="7B701E55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超出规定时间提交的报销单据（逾期未报视为自动放弃）。</w:t>
      </w:r>
    </w:p>
    <w:p w14:paraId="6E4CE5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6 相关流程</w:t>
      </w:r>
    </w:p>
    <w:p w14:paraId="20E39521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所有付款及报销事项，严格按照以下流程执行，核心要求：财务签字为中间关键环节，未经财务签字，副总、总经理不得审批；未经董事长最终审批，财务不得付款</w:t>
      </w:r>
    </w:p>
    <w:p w14:paraId="44C240C4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申请人提交：整理报销/付款单据，填写完整付款凭证，确保单据真实齐全规范，提交至财务部。</w:t>
      </w:r>
    </w:p>
    <w:p w14:paraId="44760B18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财务审核签字：财务部全面审核单据及凭证，审核通过后签字确认；审核不通过的，退回申请人补充更正。</w:t>
      </w:r>
    </w:p>
    <w:p w14:paraId="2EE04F47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财务部长审批：财务部长审批财务审核后的单据及凭证，审核无误后签字。审核不通过退回申请人补充更正。</w:t>
      </w:r>
    </w:p>
    <w:p w14:paraId="5E2044F3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副总审批：申请人持财务签字单据及表格提交副总审批，审核无误后签字；不通过的退回核实。</w:t>
      </w:r>
    </w:p>
    <w:p w14:paraId="6AB47357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总经理审批：申请人持副总审批材料提交总经理审批，审核无误后签字；不通过的退回核实。</w:t>
      </w:r>
    </w:p>
    <w:p w14:paraId="26C5FDA1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董事长审批：财务部汇总总经理审批材料，统一提交董事长审批；不通过的退回核实。</w:t>
      </w:r>
    </w:p>
    <w:p w14:paraId="3969A725">
      <w:pPr>
        <w:widowControl/>
        <w:kinsoku w:val="0"/>
        <w:autoSpaceDE w:val="0"/>
        <w:autoSpaceDN w:val="0"/>
        <w:adjustRightInd w:val="0"/>
        <w:snapToGrid w:val="0"/>
        <w:spacing w:line="440" w:lineRule="exact"/>
        <w:ind w:firstLine="560" w:firstLineChars="200"/>
        <w:jc w:val="both"/>
        <w:textAlignment w:val="baseline"/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8"/>
          <w:lang w:val="en-US" w:eastAsia="zh-CN"/>
        </w:rPr>
        <w:t>财务付款：财务部收到董事长审批通过指示后，核对信息无误，在固定付款日办理付款。</w:t>
      </w:r>
    </w:p>
    <w:p w14:paraId="45119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440" w:lineRule="exac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7 记录表格</w:t>
      </w:r>
    </w:p>
    <w:p w14:paraId="0040E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440" w:lineRule="exact"/>
        <w:ind w:firstLine="560" w:firstLineChars="200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无</w:t>
      </w:r>
      <w:r>
        <w:rPr>
          <w:rFonts w:hint="eastAsia" w:ascii="宋体" w:hAnsi="宋体" w:eastAsia="宋体" w:cs="宋体"/>
          <w:sz w:val="28"/>
          <w:szCs w:val="28"/>
          <w:highlight w:val="none"/>
        </w:rPr>
        <w:t>。</w:t>
      </w:r>
    </w:p>
    <w:p w14:paraId="4259AA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Cs/>
          <w:kern w:val="44"/>
          <w:sz w:val="28"/>
          <w:szCs w:val="44"/>
          <w:lang w:val="en-US" w:eastAsia="zh-CN" w:bidi="ar-SA"/>
        </w:rPr>
        <w:t>8 记录控制</w:t>
      </w:r>
    </w:p>
    <w:p w14:paraId="078DB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440" w:lineRule="exact"/>
        <w:ind w:left="0" w:leftChars="0"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sz w:val="28"/>
          <w:szCs w:val="28"/>
          <w:highlight w:val="none"/>
        </w:rPr>
        <w:t>相关票据做为会计档案由财务部负责存档，保存年限30年。</w:t>
      </w:r>
    </w:p>
    <w:p w14:paraId="2C727F18">
      <w:pPr>
        <w:keepNext w:val="0"/>
        <w:keepLines w:val="0"/>
        <w:pageBreakBefore w:val="0"/>
        <w:kinsoku/>
        <w:overflowPunct/>
        <w:topLinePunct w:val="0"/>
        <w:bidi w:val="0"/>
        <w:spacing w:line="480" w:lineRule="auto"/>
        <w:ind w:left="0" w:leftChars="0" w:firstLine="0" w:firstLineChars="0"/>
        <w:jc w:val="left"/>
        <w:textAlignment w:val="auto"/>
        <w:rPr>
          <w:rFonts w:hint="default" w:ascii="黑体" w:hAnsi="黑体" w:eastAsia="黑体"/>
          <w:sz w:val="28"/>
          <w:szCs w:val="28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5" w:h="16838"/>
      <w:pgMar w:top="1417" w:right="1701" w:bottom="1417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425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B0A95">
    <w:pPr>
      <w:pStyle w:val="7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06587A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06587A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AC8E9">
    <w:pPr>
      <w:pStyle w:val="8"/>
      <w:pBdr>
        <w:bottom w:val="none" w:color="auto" w:sz="0" w:space="0"/>
      </w:pBdr>
      <w:spacing w:after="120" w:afterLines="50"/>
      <w:jc w:val="both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42F20"/>
    <w:multiLevelType w:val="singleLevel"/>
    <w:tmpl w:val="27642F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3F83BC"/>
    <w:multiLevelType w:val="singleLevel"/>
    <w:tmpl w:val="2B3F83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CF8B990"/>
    <w:multiLevelType w:val="singleLevel"/>
    <w:tmpl w:val="5CF8B9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F0E2692"/>
    <w:multiLevelType w:val="singleLevel"/>
    <w:tmpl w:val="6F0E26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E2D0A65"/>
    <w:multiLevelType w:val="singleLevel"/>
    <w:tmpl w:val="7E2D0A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5D3E6CEF"/>
    <w:rsid w:val="000A65D3"/>
    <w:rsid w:val="00307A95"/>
    <w:rsid w:val="005539A0"/>
    <w:rsid w:val="009A13B3"/>
    <w:rsid w:val="01042CD0"/>
    <w:rsid w:val="02EA4873"/>
    <w:rsid w:val="032A093F"/>
    <w:rsid w:val="050E411D"/>
    <w:rsid w:val="057E12A3"/>
    <w:rsid w:val="067E5607"/>
    <w:rsid w:val="06F96677"/>
    <w:rsid w:val="078A6B1F"/>
    <w:rsid w:val="090917CB"/>
    <w:rsid w:val="094E3682"/>
    <w:rsid w:val="0A291EE4"/>
    <w:rsid w:val="0A585EBF"/>
    <w:rsid w:val="0AAC68B2"/>
    <w:rsid w:val="0AAE262A"/>
    <w:rsid w:val="0D313E3F"/>
    <w:rsid w:val="0FE52E17"/>
    <w:rsid w:val="1065235A"/>
    <w:rsid w:val="11692E07"/>
    <w:rsid w:val="116E041E"/>
    <w:rsid w:val="118272FF"/>
    <w:rsid w:val="12ED1816"/>
    <w:rsid w:val="1345104A"/>
    <w:rsid w:val="157955E3"/>
    <w:rsid w:val="15AF54A9"/>
    <w:rsid w:val="16575801"/>
    <w:rsid w:val="16FE0496"/>
    <w:rsid w:val="1881137E"/>
    <w:rsid w:val="19CC03D7"/>
    <w:rsid w:val="1A4268EB"/>
    <w:rsid w:val="1A8367C7"/>
    <w:rsid w:val="1B356450"/>
    <w:rsid w:val="1BC6259D"/>
    <w:rsid w:val="1BE37677"/>
    <w:rsid w:val="1DB00010"/>
    <w:rsid w:val="1ECE074D"/>
    <w:rsid w:val="1F881244"/>
    <w:rsid w:val="209459C7"/>
    <w:rsid w:val="212136FE"/>
    <w:rsid w:val="22B45EAC"/>
    <w:rsid w:val="237044C9"/>
    <w:rsid w:val="24D9609E"/>
    <w:rsid w:val="24DD793C"/>
    <w:rsid w:val="25F27417"/>
    <w:rsid w:val="263712CE"/>
    <w:rsid w:val="2890116A"/>
    <w:rsid w:val="28904E90"/>
    <w:rsid w:val="29672C9E"/>
    <w:rsid w:val="299A22A0"/>
    <w:rsid w:val="2A2E0C3A"/>
    <w:rsid w:val="2A6B59EA"/>
    <w:rsid w:val="2C341A92"/>
    <w:rsid w:val="2C6941AB"/>
    <w:rsid w:val="2C723060"/>
    <w:rsid w:val="2C734568"/>
    <w:rsid w:val="2ED2428A"/>
    <w:rsid w:val="2F661BB9"/>
    <w:rsid w:val="30904940"/>
    <w:rsid w:val="31257298"/>
    <w:rsid w:val="320A3D3B"/>
    <w:rsid w:val="345474EF"/>
    <w:rsid w:val="348C0A37"/>
    <w:rsid w:val="35F5085E"/>
    <w:rsid w:val="366F23BE"/>
    <w:rsid w:val="370F76FD"/>
    <w:rsid w:val="37BA1D5F"/>
    <w:rsid w:val="3CED6733"/>
    <w:rsid w:val="3D537138"/>
    <w:rsid w:val="3DD727A7"/>
    <w:rsid w:val="3ED328A1"/>
    <w:rsid w:val="3EFB5137"/>
    <w:rsid w:val="3F5902E7"/>
    <w:rsid w:val="3F8E2DFF"/>
    <w:rsid w:val="41B65345"/>
    <w:rsid w:val="41CC2DBB"/>
    <w:rsid w:val="41D23D44"/>
    <w:rsid w:val="42B12528"/>
    <w:rsid w:val="42E57597"/>
    <w:rsid w:val="436A288B"/>
    <w:rsid w:val="44F543D6"/>
    <w:rsid w:val="45E36925"/>
    <w:rsid w:val="467E5DB6"/>
    <w:rsid w:val="470E2412"/>
    <w:rsid w:val="49367CC8"/>
    <w:rsid w:val="4946307F"/>
    <w:rsid w:val="499E6DEB"/>
    <w:rsid w:val="4B7C6914"/>
    <w:rsid w:val="4BE12CBD"/>
    <w:rsid w:val="4C8E32E4"/>
    <w:rsid w:val="4CB84667"/>
    <w:rsid w:val="4D5257D6"/>
    <w:rsid w:val="50067498"/>
    <w:rsid w:val="512F1563"/>
    <w:rsid w:val="51B20F46"/>
    <w:rsid w:val="526279B1"/>
    <w:rsid w:val="52CB39F5"/>
    <w:rsid w:val="536C7F5A"/>
    <w:rsid w:val="54DC5838"/>
    <w:rsid w:val="56024BA5"/>
    <w:rsid w:val="58535244"/>
    <w:rsid w:val="592D3CE7"/>
    <w:rsid w:val="596A6CE9"/>
    <w:rsid w:val="5AF56A87"/>
    <w:rsid w:val="5B4D68C3"/>
    <w:rsid w:val="5C54188A"/>
    <w:rsid w:val="5D3E6CEF"/>
    <w:rsid w:val="5E816002"/>
    <w:rsid w:val="5F926F9A"/>
    <w:rsid w:val="5FA12D39"/>
    <w:rsid w:val="5FF528B7"/>
    <w:rsid w:val="62373E29"/>
    <w:rsid w:val="63E35669"/>
    <w:rsid w:val="65C854C3"/>
    <w:rsid w:val="662F5543"/>
    <w:rsid w:val="673D5A3D"/>
    <w:rsid w:val="67450352"/>
    <w:rsid w:val="68D128E1"/>
    <w:rsid w:val="696F20FA"/>
    <w:rsid w:val="6AEB74BF"/>
    <w:rsid w:val="6D8223FC"/>
    <w:rsid w:val="6DB23DEF"/>
    <w:rsid w:val="6DD62748"/>
    <w:rsid w:val="6E395095"/>
    <w:rsid w:val="6E5D0B20"/>
    <w:rsid w:val="6F907472"/>
    <w:rsid w:val="703A5210"/>
    <w:rsid w:val="708571A2"/>
    <w:rsid w:val="70AB7EBB"/>
    <w:rsid w:val="718261C4"/>
    <w:rsid w:val="72614A63"/>
    <w:rsid w:val="750202C6"/>
    <w:rsid w:val="75662007"/>
    <w:rsid w:val="75907680"/>
    <w:rsid w:val="774606BF"/>
    <w:rsid w:val="79A951B4"/>
    <w:rsid w:val="79DF385C"/>
    <w:rsid w:val="79EA125F"/>
    <w:rsid w:val="79FC67C6"/>
    <w:rsid w:val="7AE75F94"/>
    <w:rsid w:val="7DBB4955"/>
    <w:rsid w:val="7E2748F9"/>
    <w:rsid w:val="7F69341C"/>
    <w:rsid w:val="7F8F6790"/>
    <w:rsid w:val="7FF1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after="100" w:afterLines="100"/>
      <w:ind w:firstLine="0" w:firstLineChars="0"/>
      <w:outlineLvl w:val="0"/>
    </w:pPr>
    <w:rPr>
      <w:rFonts w:eastAsia="黑体"/>
      <w:bCs/>
      <w:kern w:val="44"/>
      <w:szCs w:val="44"/>
      <w:lang w:bidi="ar-SA"/>
    </w:rPr>
  </w:style>
  <w:style w:type="paragraph" w:styleId="3">
    <w:name w:val="heading 2"/>
    <w:basedOn w:val="1"/>
    <w:next w:val="1"/>
    <w:qFormat/>
    <w:uiPriority w:val="0"/>
    <w:pPr>
      <w:keepNext/>
      <w:spacing w:before="120" w:after="120"/>
      <w:ind w:firstLine="0" w:firstLineChars="0"/>
      <w:outlineLvl w:val="1"/>
    </w:pPr>
    <w:rPr>
      <w:rFonts w:eastAsia="黑体"/>
      <w:iCs/>
      <w:kern w:val="2"/>
      <w:szCs w:val="28"/>
      <w:lang w:bidi="ar-SA"/>
    </w:rPr>
  </w:style>
  <w:style w:type="paragraph" w:styleId="4">
    <w:name w:val="heading 3"/>
    <w:basedOn w:val="1"/>
    <w:qFormat/>
    <w:uiPriority w:val="1"/>
    <w:pPr>
      <w:spacing w:before="49"/>
      <w:jc w:val="center"/>
      <w:outlineLvl w:val="3"/>
    </w:pPr>
    <w:rPr>
      <w:rFonts w:ascii="Microsoft JhengHei" w:hAnsi="Microsoft JhengHei" w:eastAsia="Microsoft JhengHei" w:cs="Microsoft JhengHei"/>
      <w:b/>
      <w:bCs/>
      <w:sz w:val="35"/>
      <w:szCs w:val="35"/>
      <w:lang w:val="en-US" w:eastAsia="zh-CN" w:bidi="ar-SA"/>
    </w:rPr>
  </w:style>
  <w:style w:type="paragraph" w:styleId="5">
    <w:name w:val="heading 7"/>
    <w:basedOn w:val="1"/>
    <w:qFormat/>
    <w:uiPriority w:val="1"/>
    <w:pPr>
      <w:jc w:val="center"/>
      <w:outlineLvl w:val="7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Body Text First Indent"/>
    <w:basedOn w:val="6"/>
    <w:unhideWhenUsed/>
    <w:qFormat/>
    <w:uiPriority w:val="99"/>
    <w:pPr>
      <w:ind w:firstLine="420" w:firstLineChars="1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99"/>
    <w:pPr>
      <w:ind w:firstLine="420"/>
    </w:pPr>
    <w:rPr>
      <w:szCs w:val="22"/>
    </w:rPr>
  </w:style>
  <w:style w:type="paragraph" w:customStyle="1" w:styleId="14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5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784</Words>
  <Characters>800</Characters>
  <Lines>0</Lines>
  <Paragraphs>0</Paragraphs>
  <TotalTime>50</TotalTime>
  <ScaleCrop>false</ScaleCrop>
  <LinksUpToDate>false</LinksUpToDate>
  <CharactersWithSpaces>825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2025-06-18T05:20:00Z</dcterms:created>
  <dc:creator>G</dc:creator>
  <cp:lastModifiedBy>李雪</cp:lastModifiedBy>
  <cp:lastPrinted>2026-02-03T07:49:33Z</cp:lastPrinted>
  <dcterms:modified xsi:type="dcterms:W3CDTF">2026-02-03T07:49:45Z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EB13AC9AC2754371934099EEC59D88CF_13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