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72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13"/>
        <w:gridCol w:w="716"/>
        <w:gridCol w:w="369"/>
        <w:gridCol w:w="618"/>
        <w:gridCol w:w="629"/>
        <w:gridCol w:w="1050"/>
        <w:gridCol w:w="505"/>
        <w:gridCol w:w="559"/>
        <w:gridCol w:w="935"/>
        <w:gridCol w:w="115"/>
        <w:gridCol w:w="1036"/>
        <w:gridCol w:w="481"/>
        <w:gridCol w:w="583"/>
        <w:gridCol w:w="1411"/>
      </w:tblGrid>
      <w:tr w14:paraId="4855961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857" w:hRule="atLeast"/>
          <w:jc w:val="center"/>
        </w:trPr>
        <w:tc>
          <w:tcPr>
            <w:tcW w:w="9720" w:type="dxa"/>
            <w:gridSpan w:val="14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71DCC9F8">
            <w:pPr>
              <w:spacing w:line="360" w:lineRule="auto"/>
              <w:jc w:val="center"/>
              <w:rPr>
                <w:rFonts w:ascii="黑体" w:eastAsia="黑体"/>
                <w:spacing w:val="20"/>
                <w:sz w:val="44"/>
                <w:szCs w:val="44"/>
              </w:rPr>
            </w:pPr>
            <w:r>
              <w:rPr>
                <w:rFonts w:hint="eastAsia" w:ascii="黑体" w:eastAsia="黑体"/>
                <w:spacing w:val="20"/>
                <w:sz w:val="44"/>
                <w:szCs w:val="44"/>
              </w:rPr>
              <w:t>沈阳子公司复材航空科技有限责任公司</w:t>
            </w:r>
          </w:p>
          <w:p w14:paraId="3E3D14D9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hint="eastAsia" w:ascii="黑体" w:eastAsia="黑体"/>
                <w:spacing w:val="20"/>
                <w:sz w:val="44"/>
                <w:szCs w:val="44"/>
              </w:rPr>
              <w:t>制 度 文 件</w:t>
            </w:r>
          </w:p>
        </w:tc>
      </w:tr>
      <w:tr w14:paraId="71E5F5F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798" w:type="dxa"/>
            <w:gridSpan w:val="3"/>
            <w:vMerge w:val="restart"/>
            <w:tcBorders>
              <w:left w:val="single" w:color="auto" w:sz="12" w:space="0"/>
            </w:tcBorders>
            <w:vAlign w:val="center"/>
          </w:tcPr>
          <w:p w14:paraId="166B87E3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文件名称</w:t>
            </w:r>
          </w:p>
        </w:tc>
        <w:tc>
          <w:tcPr>
            <w:tcW w:w="4296" w:type="dxa"/>
            <w:gridSpan w:val="6"/>
            <w:vMerge w:val="restart"/>
            <w:vAlign w:val="center"/>
          </w:tcPr>
          <w:p w14:paraId="3648C44A">
            <w:pPr>
              <w:pStyle w:val="2"/>
              <w:keepNext w:val="0"/>
              <w:keepLines w:val="0"/>
              <w:widowControl/>
              <w:jc w:val="center"/>
              <w:rPr>
                <w:rFonts w:hint="eastAsia" w:ascii="黑体" w:eastAsia="黑体"/>
                <w:sz w:val="28"/>
                <w:szCs w:val="36"/>
                <w:lang w:eastAsia="zh-CN"/>
              </w:rPr>
            </w:pPr>
            <w:r>
              <w:rPr>
                <w:rFonts w:hint="eastAsia" w:ascii="黑体" w:eastAsia="黑体"/>
                <w:b w:val="0"/>
                <w:kern w:val="2"/>
                <w:sz w:val="28"/>
                <w:szCs w:val="36"/>
                <w:lang w:val="en-US" w:eastAsia="zh-CN"/>
              </w:rPr>
              <w:t>成本测算管理程序</w:t>
            </w:r>
          </w:p>
        </w:tc>
        <w:tc>
          <w:tcPr>
            <w:tcW w:w="1632" w:type="dxa"/>
            <w:gridSpan w:val="3"/>
            <w:tcBorders>
              <w:bottom w:val="single" w:color="auto" w:sz="4" w:space="0"/>
            </w:tcBorders>
            <w:vAlign w:val="center"/>
          </w:tcPr>
          <w:p w14:paraId="209F26E6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文件编号</w:t>
            </w:r>
          </w:p>
        </w:tc>
        <w:tc>
          <w:tcPr>
            <w:tcW w:w="1994" w:type="dxa"/>
            <w:gridSpan w:val="2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14A3FB22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36"/>
              </w:rPr>
              <w:t>GLTX</w:t>
            </w:r>
            <w:r>
              <w:rPr>
                <w:rFonts w:ascii="黑体" w:eastAsia="黑体"/>
                <w:sz w:val="28"/>
                <w:szCs w:val="36"/>
              </w:rPr>
              <w:t>-</w:t>
            </w:r>
            <w:r>
              <w:rPr>
                <w:rFonts w:hint="default" w:ascii="Times New Roman" w:hAnsi="Times New Roman" w:eastAsia="黑体" w:cs="Times New Roman"/>
                <w:sz w:val="28"/>
                <w:szCs w:val="36"/>
                <w:lang w:val="en-US" w:eastAsia="zh-CN"/>
              </w:rPr>
              <w:t>CW</w:t>
            </w:r>
            <w:r>
              <w:rPr>
                <w:rFonts w:ascii="黑体" w:eastAsia="黑体"/>
                <w:sz w:val="28"/>
                <w:szCs w:val="36"/>
              </w:rPr>
              <w:t>-</w:t>
            </w:r>
            <w:r>
              <w:rPr>
                <w:rFonts w:hint="default" w:ascii="Times New Roman" w:hAnsi="Times New Roman" w:eastAsia="黑体" w:cs="Times New Roman"/>
                <w:sz w:val="28"/>
                <w:szCs w:val="36"/>
              </w:rPr>
              <w:t>0</w:t>
            </w:r>
            <w:r>
              <w:rPr>
                <w:rFonts w:hint="eastAsia" w:ascii="Times New Roman" w:hAnsi="Times New Roman" w:eastAsia="黑体" w:cs="Times New Roman"/>
                <w:sz w:val="28"/>
                <w:szCs w:val="36"/>
                <w:lang w:val="en-US" w:eastAsia="zh-CN"/>
              </w:rPr>
              <w:t>6</w:t>
            </w:r>
          </w:p>
        </w:tc>
      </w:tr>
      <w:tr w14:paraId="24E62E8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798" w:type="dxa"/>
            <w:gridSpan w:val="3"/>
            <w:vMerge w:val="continue"/>
            <w:tcBorders>
              <w:left w:val="single" w:color="auto" w:sz="12" w:space="0"/>
            </w:tcBorders>
            <w:vAlign w:val="center"/>
          </w:tcPr>
          <w:p w14:paraId="1E199119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</w:p>
        </w:tc>
        <w:tc>
          <w:tcPr>
            <w:tcW w:w="4296" w:type="dxa"/>
            <w:gridSpan w:val="6"/>
            <w:vMerge w:val="continue"/>
            <w:vAlign w:val="center"/>
          </w:tcPr>
          <w:p w14:paraId="55E01E82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</w:p>
        </w:tc>
        <w:tc>
          <w:tcPr>
            <w:tcW w:w="1632" w:type="dxa"/>
            <w:gridSpan w:val="3"/>
            <w:tcBorders>
              <w:bottom w:val="single" w:color="auto" w:sz="4" w:space="0"/>
            </w:tcBorders>
            <w:vAlign w:val="center"/>
          </w:tcPr>
          <w:p w14:paraId="11FF446F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版次</w:t>
            </w:r>
          </w:p>
        </w:tc>
        <w:tc>
          <w:tcPr>
            <w:tcW w:w="1994" w:type="dxa"/>
            <w:gridSpan w:val="2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08F11CB0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36"/>
              </w:rPr>
              <w:t>A</w:t>
            </w:r>
          </w:p>
        </w:tc>
      </w:tr>
      <w:tr w14:paraId="7F41B42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798" w:type="dxa"/>
            <w:gridSpan w:val="3"/>
            <w:vMerge w:val="continue"/>
            <w:tcBorders>
              <w:left w:val="single" w:color="auto" w:sz="12" w:space="0"/>
            </w:tcBorders>
            <w:vAlign w:val="center"/>
          </w:tcPr>
          <w:p w14:paraId="2D94D448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</w:p>
        </w:tc>
        <w:tc>
          <w:tcPr>
            <w:tcW w:w="4296" w:type="dxa"/>
            <w:gridSpan w:val="6"/>
            <w:vMerge w:val="continue"/>
            <w:vAlign w:val="center"/>
          </w:tcPr>
          <w:p w14:paraId="41A087B4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</w:p>
        </w:tc>
        <w:tc>
          <w:tcPr>
            <w:tcW w:w="1632" w:type="dxa"/>
            <w:gridSpan w:val="3"/>
            <w:tcBorders>
              <w:top w:val="single" w:color="auto" w:sz="4" w:space="0"/>
            </w:tcBorders>
            <w:vAlign w:val="center"/>
          </w:tcPr>
          <w:p w14:paraId="4682CB0C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文件类别</w:t>
            </w:r>
          </w:p>
        </w:tc>
        <w:tc>
          <w:tcPr>
            <w:tcW w:w="1994" w:type="dxa"/>
            <w:gridSpan w:val="2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22B47037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管理规定</w:t>
            </w:r>
          </w:p>
        </w:tc>
      </w:tr>
      <w:tr w14:paraId="3C7783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1798" w:type="dxa"/>
            <w:gridSpan w:val="3"/>
            <w:tcBorders>
              <w:left w:val="single" w:color="auto" w:sz="12" w:space="0"/>
            </w:tcBorders>
            <w:vAlign w:val="center"/>
          </w:tcPr>
          <w:p w14:paraId="16AA76D9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发文部门</w:t>
            </w:r>
          </w:p>
        </w:tc>
        <w:tc>
          <w:tcPr>
            <w:tcW w:w="2297" w:type="dxa"/>
            <w:gridSpan w:val="3"/>
            <w:vAlign w:val="center"/>
          </w:tcPr>
          <w:p w14:paraId="249E1B68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财务</w:t>
            </w:r>
            <w:r>
              <w:rPr>
                <w:rFonts w:hint="eastAsia" w:ascii="黑体" w:eastAsia="黑体"/>
                <w:sz w:val="28"/>
                <w:szCs w:val="36"/>
              </w:rPr>
              <w:t>部</w:t>
            </w:r>
          </w:p>
        </w:tc>
        <w:tc>
          <w:tcPr>
            <w:tcW w:w="1999" w:type="dxa"/>
            <w:gridSpan w:val="3"/>
            <w:vAlign w:val="center"/>
          </w:tcPr>
          <w:p w14:paraId="608E1D93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共</w:t>
            </w: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4</w:t>
            </w:r>
            <w:bookmarkStart w:id="0" w:name="_GoBack"/>
            <w:bookmarkEnd w:id="0"/>
            <w:r>
              <w:rPr>
                <w:rFonts w:hint="eastAsia" w:ascii="黑体" w:eastAsia="黑体"/>
                <w:sz w:val="28"/>
                <w:szCs w:val="36"/>
              </w:rPr>
              <w:t>页</w:t>
            </w:r>
          </w:p>
        </w:tc>
        <w:tc>
          <w:tcPr>
            <w:tcW w:w="1632" w:type="dxa"/>
            <w:gridSpan w:val="3"/>
            <w:vAlign w:val="center"/>
          </w:tcPr>
          <w:p w14:paraId="47118477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实施日期</w:t>
            </w:r>
          </w:p>
        </w:tc>
        <w:tc>
          <w:tcPr>
            <w:tcW w:w="1994" w:type="dxa"/>
            <w:gridSpan w:val="2"/>
            <w:tcBorders>
              <w:right w:val="single" w:color="auto" w:sz="12" w:space="0"/>
            </w:tcBorders>
            <w:vAlign w:val="center"/>
          </w:tcPr>
          <w:p w14:paraId="0613B0EF">
            <w:pPr>
              <w:spacing w:line="400" w:lineRule="exact"/>
              <w:jc w:val="center"/>
              <w:rPr>
                <w:rFonts w:hint="default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36"/>
              </w:rPr>
              <w:t>2026</w:t>
            </w:r>
            <w:r>
              <w:rPr>
                <w:rFonts w:hint="eastAsia" w:ascii="黑体" w:eastAsia="黑体"/>
                <w:sz w:val="28"/>
                <w:szCs w:val="36"/>
              </w:rPr>
              <w:t>-</w:t>
            </w: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4</w:t>
            </w:r>
            <w:r>
              <w:rPr>
                <w:rFonts w:hint="eastAsia" w:ascii="黑体" w:eastAsia="黑体"/>
                <w:sz w:val="28"/>
                <w:szCs w:val="36"/>
              </w:rPr>
              <w:t>-</w:t>
            </w:r>
            <w:r>
              <w:rPr>
                <w:rFonts w:hint="eastAsia" w:ascii="Times New Roman" w:hAnsi="Times New Roman" w:eastAsia="黑体" w:cs="Times New Roman"/>
                <w:sz w:val="28"/>
                <w:szCs w:val="36"/>
                <w:lang w:val="en-US" w:eastAsia="zh-CN"/>
              </w:rPr>
              <w:t>1</w:t>
            </w:r>
          </w:p>
        </w:tc>
      </w:tr>
      <w:tr w14:paraId="6DF1707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21" w:hRule="atLeast"/>
          <w:jc w:val="center"/>
        </w:trPr>
        <w:tc>
          <w:tcPr>
            <w:tcW w:w="9720" w:type="dxa"/>
            <w:gridSpan w:val="14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4FF465C7">
            <w:pPr>
              <w:jc w:val="center"/>
              <w:rPr>
                <w:rFonts w:ascii="宋体"/>
                <w:kern w:val="0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</w:rPr>
              <w:t>更    改    记    录</w:t>
            </w:r>
          </w:p>
        </w:tc>
      </w:tr>
      <w:tr w14:paraId="4C5F935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25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bottom w:val="single" w:color="auto" w:sz="6" w:space="0"/>
            </w:tcBorders>
            <w:vAlign w:val="center"/>
          </w:tcPr>
          <w:p w14:paraId="627451A8">
            <w:pPr>
              <w:jc w:val="center"/>
              <w:rPr>
                <w:rFonts w:ascii="宋体"/>
                <w:kern w:val="0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</w:rPr>
              <w:t>页码</w:t>
            </w:r>
          </w:p>
        </w:tc>
        <w:tc>
          <w:tcPr>
            <w:tcW w:w="2184" w:type="dxa"/>
            <w:gridSpan w:val="3"/>
            <w:tcBorders>
              <w:bottom w:val="single" w:color="auto" w:sz="6" w:space="0"/>
            </w:tcBorders>
            <w:vAlign w:val="center"/>
          </w:tcPr>
          <w:p w14:paraId="236D7E5D">
            <w:pPr>
              <w:jc w:val="center"/>
              <w:rPr>
                <w:rFonts w:ascii="宋体"/>
                <w:kern w:val="0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</w:rPr>
              <w:t>更改单号</w:t>
            </w:r>
          </w:p>
        </w:tc>
        <w:tc>
          <w:tcPr>
            <w:tcW w:w="2645" w:type="dxa"/>
            <w:gridSpan w:val="4"/>
            <w:tcBorders>
              <w:bottom w:val="single" w:color="auto" w:sz="6" w:space="0"/>
            </w:tcBorders>
            <w:vAlign w:val="center"/>
          </w:tcPr>
          <w:p w14:paraId="3A957194">
            <w:pPr>
              <w:jc w:val="center"/>
              <w:rPr>
                <w:rFonts w:ascii="宋体"/>
                <w:kern w:val="0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</w:rPr>
              <w:t>更改者签字</w:t>
            </w:r>
          </w:p>
        </w:tc>
        <w:tc>
          <w:tcPr>
            <w:tcW w:w="2475" w:type="dxa"/>
            <w:gridSpan w:val="3"/>
            <w:tcBorders>
              <w:bottom w:val="single" w:color="auto" w:sz="6" w:space="0"/>
              <w:right w:val="single" w:color="auto" w:sz="12" w:space="0"/>
            </w:tcBorders>
            <w:vAlign w:val="center"/>
          </w:tcPr>
          <w:p w14:paraId="123312A9">
            <w:pPr>
              <w:jc w:val="center"/>
              <w:rPr>
                <w:rFonts w:ascii="宋体"/>
                <w:kern w:val="0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</w:rPr>
              <w:t>更改日期</w:t>
            </w:r>
          </w:p>
        </w:tc>
      </w:tr>
      <w:tr w14:paraId="2BF98E5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09A4686B">
            <w:pPr>
              <w:jc w:val="center"/>
              <w:rPr>
                <w:rFonts w:ascii="宋体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0346955C">
            <w:pPr>
              <w:jc w:val="center"/>
              <w:rPr>
                <w:rFonts w:ascii="宋体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45DC9EA6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3BBF10F0">
            <w:pPr>
              <w:jc w:val="center"/>
              <w:rPr>
                <w:rFonts w:ascii="宋体"/>
              </w:rPr>
            </w:pPr>
          </w:p>
        </w:tc>
      </w:tr>
      <w:tr w14:paraId="340218C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1FD79B6B">
            <w:pPr>
              <w:jc w:val="center"/>
              <w:rPr>
                <w:rFonts w:ascii="宋体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2D722799">
            <w:pPr>
              <w:jc w:val="center"/>
              <w:rPr>
                <w:rFonts w:ascii="宋体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0F65D640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50D91B88">
            <w:pPr>
              <w:jc w:val="center"/>
              <w:rPr>
                <w:rFonts w:ascii="宋体"/>
              </w:rPr>
            </w:pPr>
          </w:p>
        </w:tc>
      </w:tr>
      <w:tr w14:paraId="5616692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4F7D8B78">
            <w:pPr>
              <w:jc w:val="center"/>
              <w:rPr>
                <w:rFonts w:ascii="宋体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1E5C5A21">
            <w:pPr>
              <w:jc w:val="center"/>
              <w:rPr>
                <w:rFonts w:ascii="宋体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57FA6E2B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3D613AB8">
            <w:pPr>
              <w:jc w:val="center"/>
              <w:rPr>
                <w:rFonts w:ascii="宋体"/>
              </w:rPr>
            </w:pPr>
          </w:p>
        </w:tc>
      </w:tr>
      <w:tr w14:paraId="7484BED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34CDD65D">
            <w:pPr>
              <w:jc w:val="center"/>
              <w:rPr>
                <w:rFonts w:ascii="宋体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57A580A8">
            <w:pPr>
              <w:jc w:val="center"/>
              <w:rPr>
                <w:rFonts w:ascii="宋体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034582D4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1CB8B1AB">
            <w:pPr>
              <w:jc w:val="center"/>
              <w:rPr>
                <w:rFonts w:ascii="宋体"/>
              </w:rPr>
            </w:pPr>
          </w:p>
        </w:tc>
      </w:tr>
      <w:tr w14:paraId="16402E3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34" w:hRule="atLeast"/>
          <w:jc w:val="center"/>
        </w:trPr>
        <w:tc>
          <w:tcPr>
            <w:tcW w:w="9720" w:type="dxa"/>
            <w:gridSpan w:val="14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239B4203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分发路线</w:t>
            </w:r>
          </w:p>
        </w:tc>
      </w:tr>
      <w:tr w14:paraId="33FF1F1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8" w:hRule="atLeast"/>
          <w:jc w:val="center"/>
        </w:trPr>
        <w:tc>
          <w:tcPr>
            <w:tcW w:w="713" w:type="dxa"/>
            <w:tcBorders>
              <w:left w:val="single" w:color="auto" w:sz="12" w:space="0"/>
            </w:tcBorders>
            <w:vAlign w:val="center"/>
          </w:tcPr>
          <w:p w14:paraId="373954D0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85" w:type="dxa"/>
            <w:gridSpan w:val="2"/>
            <w:vAlign w:val="center"/>
          </w:tcPr>
          <w:p w14:paraId="2D7773D3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经营</w:t>
            </w:r>
          </w:p>
          <w:p w14:paraId="5AA32B56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发展部</w:t>
            </w:r>
          </w:p>
        </w:tc>
        <w:tc>
          <w:tcPr>
            <w:tcW w:w="1247" w:type="dxa"/>
            <w:gridSpan w:val="2"/>
            <w:vAlign w:val="center"/>
          </w:tcPr>
          <w:p w14:paraId="40C2593C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行政</w:t>
            </w:r>
          </w:p>
          <w:p w14:paraId="7AE62836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人事部</w:t>
            </w:r>
          </w:p>
        </w:tc>
        <w:tc>
          <w:tcPr>
            <w:tcW w:w="1050" w:type="dxa"/>
            <w:vAlign w:val="center"/>
          </w:tcPr>
          <w:p w14:paraId="6AA1A284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工程</w:t>
            </w:r>
          </w:p>
          <w:p w14:paraId="55E48861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技术部</w:t>
            </w:r>
          </w:p>
        </w:tc>
        <w:tc>
          <w:tcPr>
            <w:tcW w:w="1064" w:type="dxa"/>
            <w:gridSpan w:val="2"/>
            <w:vAlign w:val="center"/>
          </w:tcPr>
          <w:p w14:paraId="3B50D6B1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财务部</w:t>
            </w:r>
          </w:p>
        </w:tc>
        <w:tc>
          <w:tcPr>
            <w:tcW w:w="1050" w:type="dxa"/>
            <w:gridSpan w:val="2"/>
            <w:vAlign w:val="center"/>
          </w:tcPr>
          <w:p w14:paraId="27491BE5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质量</w:t>
            </w:r>
          </w:p>
          <w:p w14:paraId="3ABFE0A1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管理</w:t>
            </w:r>
            <w:r>
              <w:rPr>
                <w:rFonts w:hint="eastAsia" w:ascii="宋体"/>
                <w:spacing w:val="50"/>
                <w:sz w:val="22"/>
                <w:szCs w:val="22"/>
              </w:rPr>
              <w:t>部</w:t>
            </w:r>
          </w:p>
        </w:tc>
        <w:tc>
          <w:tcPr>
            <w:tcW w:w="1036" w:type="dxa"/>
            <w:vAlign w:val="center"/>
          </w:tcPr>
          <w:p w14:paraId="6E19626B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项目</w:t>
            </w:r>
          </w:p>
          <w:p w14:paraId="5EE18C38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管理部</w:t>
            </w:r>
          </w:p>
        </w:tc>
        <w:tc>
          <w:tcPr>
            <w:tcW w:w="1064" w:type="dxa"/>
            <w:gridSpan w:val="2"/>
            <w:vAlign w:val="center"/>
          </w:tcPr>
          <w:p w14:paraId="0DCD292C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物资</w:t>
            </w:r>
          </w:p>
          <w:p w14:paraId="12B134E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保障部</w:t>
            </w:r>
          </w:p>
        </w:tc>
        <w:tc>
          <w:tcPr>
            <w:tcW w:w="1411" w:type="dxa"/>
            <w:tcBorders>
              <w:right w:val="single" w:color="auto" w:sz="12" w:space="0"/>
            </w:tcBorders>
            <w:vAlign w:val="center"/>
          </w:tcPr>
          <w:p w14:paraId="334688E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复材车间</w:t>
            </w:r>
          </w:p>
        </w:tc>
      </w:tr>
      <w:tr w14:paraId="0120EBC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8" w:hRule="atLeast"/>
          <w:jc w:val="center"/>
        </w:trPr>
        <w:tc>
          <w:tcPr>
            <w:tcW w:w="713" w:type="dxa"/>
            <w:tcBorders>
              <w:left w:val="single" w:color="auto" w:sz="12" w:space="0"/>
            </w:tcBorders>
            <w:vAlign w:val="center"/>
          </w:tcPr>
          <w:p w14:paraId="5D57D9DE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85" w:type="dxa"/>
            <w:gridSpan w:val="2"/>
            <w:vAlign w:val="center"/>
          </w:tcPr>
          <w:p w14:paraId="0E4DFBC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  <w:tc>
          <w:tcPr>
            <w:tcW w:w="1247" w:type="dxa"/>
            <w:gridSpan w:val="2"/>
            <w:vAlign w:val="center"/>
          </w:tcPr>
          <w:p w14:paraId="60C1E5BA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  <w:tc>
          <w:tcPr>
            <w:tcW w:w="1050" w:type="dxa"/>
            <w:vAlign w:val="center"/>
          </w:tcPr>
          <w:p w14:paraId="0996ECE3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  <w:tc>
          <w:tcPr>
            <w:tcW w:w="1064" w:type="dxa"/>
            <w:gridSpan w:val="2"/>
            <w:vAlign w:val="center"/>
          </w:tcPr>
          <w:p w14:paraId="7E0A6B8C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  <w:tc>
          <w:tcPr>
            <w:tcW w:w="1050" w:type="dxa"/>
            <w:gridSpan w:val="2"/>
            <w:vAlign w:val="center"/>
          </w:tcPr>
          <w:p w14:paraId="70CCC4B4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  <w:tc>
          <w:tcPr>
            <w:tcW w:w="1036" w:type="dxa"/>
            <w:vAlign w:val="center"/>
          </w:tcPr>
          <w:p w14:paraId="7AA32E7D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  <w:tc>
          <w:tcPr>
            <w:tcW w:w="1064" w:type="dxa"/>
            <w:gridSpan w:val="2"/>
            <w:vAlign w:val="center"/>
          </w:tcPr>
          <w:p w14:paraId="613B706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  <w:tc>
          <w:tcPr>
            <w:tcW w:w="1411" w:type="dxa"/>
            <w:tcBorders>
              <w:right w:val="single" w:color="auto" w:sz="12" w:space="0"/>
            </w:tcBorders>
            <w:vAlign w:val="center"/>
          </w:tcPr>
          <w:p w14:paraId="405467DA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pacing w:val="50"/>
                <w:sz w:val="22"/>
                <w:szCs w:val="22"/>
              </w:rPr>
              <w:t>1</w:t>
            </w:r>
          </w:p>
        </w:tc>
      </w:tr>
      <w:tr w14:paraId="2D45D16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8" w:hRule="atLeast"/>
          <w:jc w:val="center"/>
        </w:trPr>
        <w:tc>
          <w:tcPr>
            <w:tcW w:w="713" w:type="dxa"/>
            <w:tcBorders>
              <w:left w:val="single" w:color="auto" w:sz="12" w:space="0"/>
            </w:tcBorders>
            <w:vAlign w:val="center"/>
          </w:tcPr>
          <w:p w14:paraId="67018250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85" w:type="dxa"/>
            <w:gridSpan w:val="2"/>
            <w:vAlign w:val="center"/>
          </w:tcPr>
          <w:p w14:paraId="3FF1152D">
            <w:pPr>
              <w:jc w:val="center"/>
              <w:rPr>
                <w:rFonts w:hint="eastAsia" w:ascii="宋体" w:eastAsiaTheme="minorEastAsia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运维安环部</w:t>
            </w:r>
          </w:p>
        </w:tc>
        <w:tc>
          <w:tcPr>
            <w:tcW w:w="1247" w:type="dxa"/>
            <w:gridSpan w:val="2"/>
            <w:vAlign w:val="center"/>
          </w:tcPr>
          <w:p w14:paraId="1EC623A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50" w:type="dxa"/>
            <w:vAlign w:val="center"/>
          </w:tcPr>
          <w:p w14:paraId="3253BD3A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518F2CF1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7CBBEF57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36" w:type="dxa"/>
            <w:vAlign w:val="center"/>
          </w:tcPr>
          <w:p w14:paraId="50D9DBFC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50D9244B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411" w:type="dxa"/>
            <w:tcBorders>
              <w:right w:val="single" w:color="auto" w:sz="12" w:space="0"/>
            </w:tcBorders>
            <w:vAlign w:val="center"/>
          </w:tcPr>
          <w:p w14:paraId="3552319B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</w:tr>
      <w:tr w14:paraId="3BDAF50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9" w:hRule="atLeast"/>
          <w:jc w:val="center"/>
        </w:trPr>
        <w:tc>
          <w:tcPr>
            <w:tcW w:w="713" w:type="dxa"/>
            <w:tcBorders>
              <w:left w:val="single" w:color="auto" w:sz="12" w:space="0"/>
            </w:tcBorders>
            <w:vAlign w:val="center"/>
          </w:tcPr>
          <w:p w14:paraId="6A7F9BA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85" w:type="dxa"/>
            <w:gridSpan w:val="2"/>
            <w:vAlign w:val="center"/>
          </w:tcPr>
          <w:p w14:paraId="3C8284AC">
            <w:pPr>
              <w:jc w:val="center"/>
              <w:rPr>
                <w:rFonts w:hint="default" w:ascii="宋体" w:eastAsiaTheme="minorEastAsia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pacing w:val="5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247" w:type="dxa"/>
            <w:gridSpan w:val="2"/>
            <w:vAlign w:val="center"/>
          </w:tcPr>
          <w:p w14:paraId="762886C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50" w:type="dxa"/>
            <w:vAlign w:val="center"/>
          </w:tcPr>
          <w:p w14:paraId="0BC6BD3C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62566AE8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28502465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36" w:type="dxa"/>
            <w:vAlign w:val="center"/>
          </w:tcPr>
          <w:p w14:paraId="2590EF90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44433BFB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411" w:type="dxa"/>
            <w:tcBorders>
              <w:right w:val="single" w:color="auto" w:sz="12" w:space="0"/>
            </w:tcBorders>
            <w:vAlign w:val="center"/>
          </w:tcPr>
          <w:p w14:paraId="6260EFC3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</w:tr>
      <w:tr w14:paraId="3F8D1E1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8" w:hRule="atLeast"/>
          <w:jc w:val="center"/>
        </w:trPr>
        <w:tc>
          <w:tcPr>
            <w:tcW w:w="1429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59F75B5F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编制</w:t>
            </w:r>
          </w:p>
        </w:tc>
        <w:tc>
          <w:tcPr>
            <w:tcW w:w="1616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1792415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5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F69E191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校对</w:t>
            </w:r>
          </w:p>
        </w:tc>
        <w:tc>
          <w:tcPr>
            <w:tcW w:w="160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BFF4A66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4BD5FE69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审核</w:t>
            </w:r>
          </w:p>
        </w:tc>
        <w:tc>
          <w:tcPr>
            <w:tcW w:w="247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6B8DF216">
            <w:pPr>
              <w:jc w:val="center"/>
              <w:rPr>
                <w:rFonts w:ascii="宋体"/>
                <w:sz w:val="24"/>
              </w:rPr>
            </w:pPr>
          </w:p>
        </w:tc>
      </w:tr>
      <w:tr w14:paraId="509C4C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429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23C7578E">
            <w:pPr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标准化</w:t>
            </w:r>
          </w:p>
        </w:tc>
        <w:tc>
          <w:tcPr>
            <w:tcW w:w="1616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176B336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5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1C5E32E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批准</w:t>
            </w:r>
          </w:p>
        </w:tc>
        <w:tc>
          <w:tcPr>
            <w:tcW w:w="160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FA916E8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64E088C9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归档</w:t>
            </w:r>
          </w:p>
        </w:tc>
        <w:tc>
          <w:tcPr>
            <w:tcW w:w="247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14EC844D">
            <w:pPr>
              <w:jc w:val="center"/>
              <w:rPr>
                <w:rFonts w:ascii="宋体"/>
                <w:sz w:val="24"/>
              </w:rPr>
            </w:pPr>
          </w:p>
        </w:tc>
      </w:tr>
      <w:tr w14:paraId="38F5D3D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429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72CABE5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会签</w:t>
            </w:r>
          </w:p>
        </w:tc>
        <w:tc>
          <w:tcPr>
            <w:tcW w:w="8291" w:type="dxa"/>
            <w:gridSpan w:val="12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27CB2FCF">
            <w:pPr>
              <w:jc w:val="center"/>
              <w:rPr>
                <w:rFonts w:ascii="宋体"/>
                <w:sz w:val="24"/>
              </w:rPr>
            </w:pPr>
          </w:p>
        </w:tc>
      </w:tr>
    </w:tbl>
    <w:p w14:paraId="1EED8ADA">
      <w:pPr>
        <w:spacing w:before="312" w:beforeLines="100" w:after="312" w:afterLines="100" w:line="440" w:lineRule="exact"/>
        <w:jc w:val="left"/>
        <w:rPr>
          <w:rFonts w:hint="eastAsia" w:ascii="黑体" w:hAnsi="黑体" w:eastAsia="黑体" w:cs="黑体"/>
          <w:sz w:val="28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numberInDash" w:start="1"/>
          <w:cols w:space="425" w:num="1"/>
          <w:docGrid w:type="lines" w:linePitch="312" w:charSpace="0"/>
        </w:sectPr>
      </w:pPr>
    </w:p>
    <w:p w14:paraId="6FC4D0AC">
      <w:pPr>
        <w:spacing w:before="312" w:beforeLines="100" w:after="312" w:afterLines="100" w:line="440" w:lineRule="exact"/>
        <w:jc w:val="left"/>
        <w:rPr>
          <w:rFonts w:hint="eastAsia" w:ascii="黑体" w:hAnsi="黑体" w:eastAsia="黑体" w:cs="黑体"/>
          <w:sz w:val="28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lang w:val="en-US" w:eastAsia="zh-CN"/>
        </w:rPr>
        <w:t>1</w:t>
      </w:r>
      <w:r>
        <w:rPr>
          <w:rFonts w:hint="eastAsia" w:ascii="Times New Roman" w:hAnsi="Times New Roman" w:eastAsia="黑体" w:cs="Times New Roman"/>
          <w:sz w:val="28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8"/>
          <w:lang w:val="en-US" w:eastAsia="zh-CN"/>
        </w:rPr>
        <w:t>目的</w:t>
      </w:r>
    </w:p>
    <w:p w14:paraId="3C229832">
      <w:pPr>
        <w:spacing w:line="440" w:lineRule="exact"/>
        <w:ind w:firstLine="560" w:firstLineChars="200"/>
        <w:jc w:val="left"/>
        <w:rPr>
          <w:rFonts w:hint="eastAsia" w:asciiTheme="majorEastAsia" w:hAnsiTheme="majorEastAsia" w:eastAsiaTheme="majorEastAsia" w:cstheme="majorEastAsia"/>
          <w:sz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>为规范公司成本测算工作，统一小时费率编制口径和计算方法，确保设备费率、人工费率及产品全成本测算科学、准确、可追溯，为产品定价、经营决策、绩效考核及对外报价提供可靠依据，特制定本程序。</w:t>
      </w:r>
    </w:p>
    <w:p w14:paraId="490B073A">
      <w:pPr>
        <w:spacing w:before="312" w:beforeLines="100" w:after="312" w:afterLines="100" w:line="440" w:lineRule="exact"/>
        <w:jc w:val="left"/>
        <w:rPr>
          <w:rFonts w:hint="eastAsia" w:ascii="黑体" w:hAnsi="黑体" w:eastAsia="黑体" w:cs="黑体"/>
          <w:sz w:val="28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lang w:val="en-US" w:eastAsia="zh-CN"/>
        </w:rPr>
        <w:t>2</w:t>
      </w:r>
      <w:r>
        <w:rPr>
          <w:rFonts w:hint="eastAsia" w:ascii="Times New Roman" w:hAnsi="Times New Roman" w:eastAsia="黑体" w:cs="Times New Roman"/>
          <w:sz w:val="28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8"/>
          <w:lang w:val="en-US" w:eastAsia="zh-CN"/>
        </w:rPr>
        <w:t>适用范围</w:t>
      </w:r>
    </w:p>
    <w:p w14:paraId="3802A14E">
      <w:pPr>
        <w:spacing w:line="440" w:lineRule="exact"/>
        <w:ind w:firstLine="560" w:firstLineChars="200"/>
        <w:jc w:val="left"/>
        <w:rPr>
          <w:rFonts w:hint="eastAsia" w:asciiTheme="majorEastAsia" w:hAnsiTheme="majorEastAsia" w:eastAsiaTheme="majorEastAsia" w:cstheme="majorEastAsia"/>
          <w:sz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lang w:val="en-US" w:eastAsia="zh-CN"/>
        </w:rPr>
        <w:t>本程序适用于公司内部所有与成本测算相关的业务。</w:t>
      </w:r>
    </w:p>
    <w:p w14:paraId="2237A1A8">
      <w:pPr>
        <w:spacing w:before="312" w:beforeLines="100" w:after="312" w:afterLines="100" w:line="440" w:lineRule="exact"/>
        <w:jc w:val="left"/>
        <w:rPr>
          <w:rFonts w:hint="eastAsia" w:asciiTheme="majorEastAsia" w:hAnsiTheme="majorEastAsia" w:eastAsiaTheme="majorEastAsia" w:cstheme="majorEastAsia"/>
          <w:sz w:val="28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</w:rPr>
        <w:t>3</w:t>
      </w:r>
      <w:r>
        <w:rPr>
          <w:rFonts w:hint="eastAsia" w:ascii="Times New Roman" w:hAnsi="Times New Roman" w:eastAsia="黑体" w:cs="Times New Roman"/>
          <w:sz w:val="28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8"/>
        </w:rPr>
        <w:t>术语</w:t>
      </w:r>
    </w:p>
    <w:tbl>
      <w:tblPr>
        <w:tblStyle w:val="5"/>
        <w:tblW w:w="8426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8"/>
        <w:gridCol w:w="6918"/>
      </w:tblGrid>
      <w:tr w14:paraId="770AB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AA0AD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cs="Times New Roman" w:asciiTheme="minorEastAsia" w:hAnsi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>术语</w:t>
            </w:r>
          </w:p>
        </w:tc>
        <w:tc>
          <w:tcPr>
            <w:tcW w:w="6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FE122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>定义</w:t>
            </w:r>
          </w:p>
        </w:tc>
      </w:tr>
      <w:tr w14:paraId="7F9EF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88B9C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单位台时成本率</w:t>
            </w:r>
          </w:p>
        </w:tc>
        <w:tc>
          <w:tcPr>
            <w:tcW w:w="6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0A61A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单台设备在一定期间内，单位有效作业台时所承担的全部成本（含固定成本与变动成本）</w:t>
            </w:r>
          </w:p>
        </w:tc>
      </w:tr>
      <w:tr w14:paraId="1B2F0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9E7D5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单位工时成本率</w:t>
            </w:r>
          </w:p>
        </w:tc>
        <w:tc>
          <w:tcPr>
            <w:tcW w:w="6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93496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某一工种在一定期间内，单位有效生产工时所承担的全部人工成本（全口径核算）</w:t>
            </w:r>
          </w:p>
        </w:tc>
      </w:tr>
      <w:tr w14:paraId="5CBD6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AA7673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有效生产工时</w:t>
            </w:r>
          </w:p>
        </w:tc>
        <w:tc>
          <w:tcPr>
            <w:tcW w:w="6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FADDC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实际参与生产作业的工时，需扣除请假、培训、待工、停工、设备调试及维保等无效工时</w:t>
            </w:r>
          </w:p>
        </w:tc>
      </w:tr>
      <w:tr w14:paraId="3916B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F5368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制造费用</w:t>
            </w:r>
          </w:p>
        </w:tc>
        <w:tc>
          <w:tcPr>
            <w:tcW w:w="6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743A7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生产过程中发生的间接成本，包括间接人工、厂房折旧、无形资产摊销、动力费（不含大型设备直接能耗）、办公费、劳保费、机物料消耗等</w:t>
            </w:r>
          </w:p>
        </w:tc>
      </w:tr>
      <w:tr w14:paraId="170F15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61948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零件全成本</w:t>
            </w:r>
          </w:p>
        </w:tc>
        <w:tc>
          <w:tcPr>
            <w:tcW w:w="6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51377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零件总制造成本加上期间费用分摊后的完全成本，是产品定价的核心依据</w:t>
            </w:r>
          </w:p>
        </w:tc>
      </w:tr>
      <w:tr w14:paraId="3CB49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A18A6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固定成本</w:t>
            </w:r>
          </w:p>
        </w:tc>
        <w:tc>
          <w:tcPr>
            <w:tcW w:w="6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9ABFB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不随设备产量变化的成本，包括折旧费、租赁费、固定维保费用、厂房占用分摊费用（按面积比例核算）</w:t>
            </w:r>
          </w:p>
        </w:tc>
      </w:tr>
      <w:tr w14:paraId="3ABE8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02A97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变动成本</w:t>
            </w:r>
          </w:p>
        </w:tc>
        <w:tc>
          <w:tcPr>
            <w:tcW w:w="6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F603FF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随设备产量变化的成本，包括单台设备能耗、备件耗材、日常维保变动费用</w:t>
            </w:r>
          </w:p>
        </w:tc>
      </w:tr>
      <w:tr w14:paraId="115D5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1D7F02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期间费用</w:t>
            </w:r>
          </w:p>
        </w:tc>
        <w:tc>
          <w:tcPr>
            <w:tcW w:w="6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A9BC4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企业经营过程中发生的非生产性费用，包括销售费用、管理费用、研发费用及财务费用（测算时财务费用比例暂按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%执行）</w:t>
            </w:r>
          </w:p>
        </w:tc>
      </w:tr>
    </w:tbl>
    <w:p w14:paraId="2D7D1921">
      <w:pPr>
        <w:spacing w:before="312" w:beforeLines="100" w:after="312" w:afterLines="100" w:line="440" w:lineRule="exact"/>
        <w:jc w:val="left"/>
        <w:rPr>
          <w:rFonts w:hint="eastAsia"/>
        </w:rPr>
      </w:pPr>
      <w:r>
        <w:rPr>
          <w:rFonts w:hint="default" w:ascii="Times New Roman" w:hAnsi="Times New Roman" w:eastAsia="黑体" w:cs="Times New Roman"/>
          <w:sz w:val="28"/>
        </w:rPr>
        <w:t>4</w:t>
      </w:r>
      <w:r>
        <w:rPr>
          <w:rFonts w:hint="eastAsia" w:ascii="Times New Roman" w:hAnsi="Times New Roman" w:eastAsia="黑体" w:cs="Times New Roman"/>
          <w:sz w:val="28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8"/>
        </w:rPr>
        <w:t>职责</w:t>
      </w:r>
    </w:p>
    <w:tbl>
      <w:tblPr>
        <w:tblStyle w:val="5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0"/>
        <w:gridCol w:w="7002"/>
      </w:tblGrid>
      <w:tr w14:paraId="5B8B7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0BEB4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  <w:t>部门</w:t>
            </w:r>
          </w:p>
        </w:tc>
        <w:tc>
          <w:tcPr>
            <w:tcW w:w="7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B1BB6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  <w:t>主要职责描述</w:t>
            </w:r>
          </w:p>
        </w:tc>
      </w:tr>
      <w:tr w14:paraId="43C77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CD2B2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</w:pPr>
            <w:r>
              <w:rPr>
                <w:rFonts w:hint="eastAsia"/>
              </w:rPr>
              <w:t>财务部</w:t>
            </w:r>
          </w:p>
        </w:tc>
        <w:tc>
          <w:tcPr>
            <w:tcW w:w="7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FE73D">
            <w:pP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  <w:t>负责成本测算体系的建立、维护与修订，制定统一的测算标准和流程；确定折旧计提方法、期间费用分摊比例、税费核算口径，确保符合会计准则；组织年度费率复核与调整，当成本要素发生重大变化时启动临时重算；收集、审核各部门提交的基础数据，完成最终成本测算与数据发布；提供设备基础信息，包括原值、折旧年限、残值率，核算当期设备折旧费；编制成本测算报告，分析实际成本与测算成本的差异，提出改进建议。</w:t>
            </w:r>
          </w:p>
        </w:tc>
      </w:tr>
      <w:tr w14:paraId="30317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303762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经营发展部</w:t>
            </w:r>
          </w:p>
        </w:tc>
        <w:tc>
          <w:tcPr>
            <w:tcW w:w="7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A5437E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提交各工种实际生产工时数据，区分有效生产工时与无效工时；依据成本测算结果，结合市场竞争情况制定目标利润率（原则上按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15</w:t>
            </w:r>
            <w:r>
              <w:rPr>
                <w:rFonts w:hint="eastAsia"/>
                <w:sz w:val="24"/>
                <w:szCs w:val="24"/>
              </w:rPr>
              <w:t>%执行）；制定产品对外报价策略，确保报价既覆盖成本又具备市场竞争力；反馈市场价格变化对成本测算的要求，协助调整测算参数；</w:t>
            </w:r>
            <w:r>
              <w:rPr>
                <w:rFonts w:hint="eastAsia"/>
                <w:sz w:val="24"/>
                <w:szCs w:val="24"/>
                <w:highlight w:val="none"/>
              </w:rPr>
              <w:t>参与成本测算，</w:t>
            </w:r>
            <w:r>
              <w:rPr>
                <w:rFonts w:hint="eastAsia"/>
                <w:sz w:val="24"/>
                <w:szCs w:val="24"/>
                <w:highlight w:val="none"/>
                <w:lang w:val="en-US" w:eastAsia="zh-CN"/>
              </w:rPr>
              <w:t>交付产值按项目统计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，</w:t>
            </w:r>
            <w:r>
              <w:rPr>
                <w:rFonts w:hint="eastAsia"/>
                <w:sz w:val="24"/>
                <w:szCs w:val="24"/>
              </w:rPr>
              <w:t>确保测算结果满足经营决策需求。</w:t>
            </w:r>
          </w:p>
        </w:tc>
      </w:tr>
      <w:tr w14:paraId="68624C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  <w:jc w:val="center"/>
        </w:trPr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E7331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运维安环部</w:t>
            </w:r>
          </w:p>
        </w:tc>
        <w:tc>
          <w:tcPr>
            <w:tcW w:w="7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2B528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提供设备运行台账，记录设备开机、待机、维保、停工时间，统计当期实际有效作业台时</w:t>
            </w:r>
          </w:p>
        </w:tc>
      </w:tr>
      <w:tr w14:paraId="4CA8A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1EAE4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质量管理部</w:t>
            </w:r>
          </w:p>
        </w:tc>
        <w:tc>
          <w:tcPr>
            <w:tcW w:w="7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D9AEF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统计产品生产过程中的废品数量，提供当期废品率及生产异常说明；</w:t>
            </w:r>
          </w:p>
        </w:tc>
      </w:tr>
      <w:tr w14:paraId="5880F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5940D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复材车间</w:t>
            </w:r>
          </w:p>
        </w:tc>
        <w:tc>
          <w:tcPr>
            <w:tcW w:w="7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23CC0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反馈成本测算结果在生产环节的适用性，协助优化测算标准。</w:t>
            </w:r>
          </w:p>
        </w:tc>
      </w:tr>
      <w:tr w14:paraId="58D2D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34F5B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工程技术部</w:t>
            </w:r>
          </w:p>
        </w:tc>
        <w:tc>
          <w:tcPr>
            <w:tcW w:w="7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5289F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提交产品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BOM</w:t>
            </w:r>
            <w:r>
              <w:rPr>
                <w:rFonts w:hint="eastAsia"/>
                <w:sz w:val="24"/>
                <w:szCs w:val="24"/>
              </w:rPr>
              <w:t>清单，标注原材料型号、定额用量及报废件材料补充定额；</w:t>
            </w:r>
          </w:p>
        </w:tc>
      </w:tr>
      <w:tr w14:paraId="03AD12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D51915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行政人事部</w:t>
            </w:r>
          </w:p>
        </w:tc>
        <w:tc>
          <w:tcPr>
            <w:tcW w:w="7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07636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提供各工种全口径人工成本数据，包括基本工资、绩效工资、社保、公积金、福利费、工会经费、职工教育经费、岗位培训及资质认证费用；按工种、技能等级分类统计人工成本，确保不同层级人工费率单独核算；核实提交的工时数据，确保人工工时与成本数据匹配；当人工成本政策调整时，及时通知财务部启动费率重算。</w:t>
            </w:r>
          </w:p>
        </w:tc>
      </w:tr>
    </w:tbl>
    <w:p w14:paraId="72340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2" w:beforeLines="100" w:after="312" w:afterLines="100" w:line="440" w:lineRule="exact"/>
        <w:jc w:val="left"/>
        <w:textAlignment w:val="auto"/>
        <w:rPr>
          <w:rFonts w:hint="eastAsia" w:ascii="黑体" w:hAnsi="黑体" w:eastAsia="黑体" w:cs="黑体"/>
          <w:sz w:val="28"/>
        </w:rPr>
      </w:pPr>
      <w:r>
        <w:rPr>
          <w:rFonts w:hint="default" w:ascii="Times New Roman" w:hAnsi="Times New Roman" w:eastAsia="黑体" w:cs="Times New Roman"/>
          <w:sz w:val="28"/>
        </w:rPr>
        <w:t>5</w:t>
      </w:r>
      <w:r>
        <w:rPr>
          <w:rFonts w:hint="eastAsia" w:ascii="黑体" w:hAnsi="黑体" w:eastAsia="黑体" w:cs="黑体"/>
          <w:sz w:val="28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8"/>
        </w:rPr>
        <w:t>管理规定与工作流程</w:t>
      </w:r>
    </w:p>
    <w:p w14:paraId="79C72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440" w:lineRule="exact"/>
        <w:jc w:val="left"/>
        <w:textAlignment w:val="auto"/>
        <w:rPr>
          <w:rFonts w:hint="eastAsia" w:ascii="黑体" w:hAnsi="黑体" w:eastAsia="黑体" w:cs="黑体"/>
          <w:sz w:val="28"/>
        </w:rPr>
      </w:pPr>
      <w:r>
        <w:rPr>
          <w:rFonts w:hint="default" w:ascii="Times New Roman" w:hAnsi="Times New Roman" w:eastAsia="黑体" w:cs="Times New Roman"/>
          <w:sz w:val="28"/>
          <w:lang w:val="en-US" w:eastAsia="zh-CN"/>
        </w:rPr>
        <w:t>5</w:t>
      </w:r>
      <w:r>
        <w:rPr>
          <w:rFonts w:hint="eastAsia" w:ascii="黑体" w:hAnsi="黑体" w:eastAsia="黑体" w:cs="黑体"/>
          <w:sz w:val="28"/>
          <w:lang w:val="en-US" w:eastAsia="zh-CN"/>
        </w:rPr>
        <w:t>.</w:t>
      </w:r>
      <w:r>
        <w:rPr>
          <w:rFonts w:hint="default" w:ascii="Times New Roman" w:hAnsi="Times New Roman" w:eastAsia="黑体" w:cs="Times New Roman"/>
          <w:sz w:val="28"/>
          <w:lang w:val="en-US" w:eastAsia="zh-CN"/>
        </w:rPr>
        <w:t>1</w:t>
      </w:r>
      <w:r>
        <w:rPr>
          <w:rFonts w:hint="eastAsia" w:ascii="黑体" w:hAnsi="黑体" w:eastAsia="黑体" w:cs="黑体"/>
          <w:sz w:val="28"/>
        </w:rPr>
        <w:t>小时费率构成</w:t>
      </w:r>
    </w:p>
    <w:p w14:paraId="41962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小时费率由以下七部分构成：设备成本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</w:rPr>
        <w:t>人工成本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</w:rPr>
        <w:t>制造费用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</w:rPr>
        <w:t>废品损失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</w:rPr>
        <w:t>期间费用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</w:rPr>
        <w:t>税金及附加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</w:rPr>
        <w:t>合理利润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  <w:r>
        <w:rPr>
          <w:rFonts w:hint="eastAsia" w:ascii="宋体" w:hAnsi="宋体" w:eastAsia="宋体" w:cs="宋体"/>
          <w:sz w:val="28"/>
          <w:szCs w:val="28"/>
        </w:rPr>
        <w:t>各项构成必须纳入统一测算模型，不得遗漏或重复计算。</w:t>
      </w:r>
    </w:p>
    <w:p w14:paraId="34C45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440" w:lineRule="exact"/>
        <w:jc w:val="left"/>
        <w:textAlignment w:val="auto"/>
        <w:rPr>
          <w:rFonts w:hint="eastAsia" w:ascii="黑体" w:hAnsi="黑体" w:eastAsia="黑体" w:cs="黑体"/>
          <w:sz w:val="28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lang w:val="en-US" w:eastAsia="zh-CN"/>
        </w:rPr>
        <w:t>5</w:t>
      </w:r>
      <w:r>
        <w:rPr>
          <w:rFonts w:hint="eastAsia" w:ascii="黑体" w:hAnsi="黑体" w:eastAsia="黑体" w:cs="黑体"/>
          <w:sz w:val="28"/>
          <w:lang w:val="en-US" w:eastAsia="zh-CN"/>
        </w:rPr>
        <w:t>.</w:t>
      </w:r>
      <w:r>
        <w:rPr>
          <w:rFonts w:hint="default" w:ascii="Times New Roman" w:hAnsi="Times New Roman" w:eastAsia="黑体" w:cs="Times New Roman"/>
          <w:sz w:val="28"/>
          <w:lang w:val="en-US" w:eastAsia="zh-CN"/>
        </w:rPr>
        <w:t>2</w:t>
      </w:r>
      <w:r>
        <w:rPr>
          <w:rFonts w:hint="eastAsia" w:ascii="黑体" w:hAnsi="黑体" w:eastAsia="黑体" w:cs="黑体"/>
          <w:sz w:val="28"/>
          <w:lang w:val="en-US" w:eastAsia="zh-CN"/>
        </w:rPr>
        <w:t>设备单位台时成本测算规定</w:t>
      </w:r>
    </w:p>
    <w:p w14:paraId="178C6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sz w:val="28"/>
          <w:szCs w:val="28"/>
        </w:rPr>
        <w:t>单台设备单位台时成本率计算公式：</w:t>
      </w:r>
    </w:p>
    <w:p w14:paraId="51EE0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单台设备单位台时成本率=（该设备当期固定成本总额+当期变动成本总额）÷该设备当期有效作业台时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p w14:paraId="7EE4C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sz w:val="28"/>
          <w:szCs w:val="28"/>
        </w:rPr>
        <w:t>固定成本包括但不限于：设备折旧费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</w:rPr>
        <w:t>设备租赁费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</w:rPr>
        <w:t>固定维保费用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</w:rPr>
        <w:t>厂房占用分摊费用（按设备占地面积分摊）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p w14:paraId="74082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sz w:val="28"/>
          <w:szCs w:val="28"/>
        </w:rPr>
        <w:t>变动成本包括但不限于：与设备运行直接相关的能源消耗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</w:rPr>
        <w:t>与设备运行直接相关的消耗性材料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p w14:paraId="23BD3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sz w:val="28"/>
          <w:szCs w:val="28"/>
        </w:rPr>
        <w:t>有效作业台时按设备实际可用于生产的时间测算，须扣除检修、故障、停产等非生产时间。</w:t>
      </w:r>
    </w:p>
    <w:p w14:paraId="59B28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440" w:lineRule="exact"/>
        <w:jc w:val="left"/>
        <w:textAlignment w:val="auto"/>
        <w:rPr>
          <w:rFonts w:hint="eastAsia" w:ascii="黑体" w:hAnsi="黑体" w:eastAsia="黑体" w:cs="黑体"/>
          <w:sz w:val="28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lang w:val="en-US" w:eastAsia="zh-CN"/>
        </w:rPr>
        <w:t>5</w:t>
      </w:r>
      <w:r>
        <w:rPr>
          <w:rFonts w:hint="eastAsia" w:ascii="黑体" w:hAnsi="黑体" w:eastAsia="黑体" w:cs="黑体"/>
          <w:sz w:val="28"/>
          <w:lang w:val="en-US" w:eastAsia="zh-CN"/>
        </w:rPr>
        <w:t>.</w:t>
      </w:r>
      <w:r>
        <w:rPr>
          <w:rFonts w:hint="default" w:ascii="Times New Roman" w:hAnsi="Times New Roman" w:eastAsia="黑体" w:cs="Times New Roman"/>
          <w:sz w:val="28"/>
          <w:lang w:val="en-US" w:eastAsia="zh-CN"/>
        </w:rPr>
        <w:t>3</w:t>
      </w:r>
      <w:r>
        <w:rPr>
          <w:rFonts w:hint="eastAsia" w:ascii="黑体" w:hAnsi="黑体" w:eastAsia="黑体" w:cs="黑体"/>
          <w:sz w:val="28"/>
          <w:lang w:val="en-US" w:eastAsia="zh-CN"/>
        </w:rPr>
        <w:t>人工单位工时成本测算规定</w:t>
      </w:r>
    </w:p>
    <w:p w14:paraId="4FD60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sz w:val="28"/>
          <w:szCs w:val="28"/>
        </w:rPr>
        <w:t>某工种单位工时成本率计算公式：</w:t>
      </w:r>
    </w:p>
    <w:p w14:paraId="41E1B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某工种单位工时成本率=该工种当期全口径人工总成本÷该工种当期有效生产工时总额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p w14:paraId="789E1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sz w:val="28"/>
          <w:szCs w:val="28"/>
        </w:rPr>
        <w:t>全口径人工成本包括：基本工资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</w:rPr>
        <w:t>绩效工资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</w:rPr>
        <w:t>加班工资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</w:rPr>
        <w:t>社保及公积金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</w:rPr>
        <w:t>福利费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</w:rPr>
        <w:t>工会经费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</w:rPr>
        <w:t>职工教育经费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</w:rPr>
        <w:t>培训费用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</w:rPr>
        <w:t>其他与人工相关支出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p w14:paraId="764FF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sz w:val="28"/>
          <w:szCs w:val="28"/>
        </w:rPr>
        <w:t>有效生产工时应扣除请假、培训、待岗等非直接生产时间。</w:t>
      </w:r>
    </w:p>
    <w:p w14:paraId="10BE6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440" w:lineRule="exact"/>
        <w:jc w:val="left"/>
        <w:textAlignment w:val="auto"/>
        <w:rPr>
          <w:rFonts w:hint="eastAsia" w:ascii="黑体" w:hAnsi="黑体" w:eastAsia="黑体" w:cs="黑体"/>
          <w:sz w:val="28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lang w:val="en-US" w:eastAsia="zh-CN"/>
        </w:rPr>
        <w:t>5</w:t>
      </w:r>
      <w:r>
        <w:rPr>
          <w:rFonts w:hint="eastAsia" w:ascii="黑体" w:hAnsi="黑体" w:eastAsia="黑体" w:cs="黑体"/>
          <w:sz w:val="28"/>
          <w:lang w:val="en-US" w:eastAsia="zh-CN"/>
        </w:rPr>
        <w:t>.</w:t>
      </w:r>
      <w:r>
        <w:rPr>
          <w:rFonts w:hint="default" w:ascii="Times New Roman" w:hAnsi="Times New Roman" w:eastAsia="黑体" w:cs="Times New Roman"/>
          <w:sz w:val="28"/>
          <w:lang w:val="en-US" w:eastAsia="zh-CN"/>
        </w:rPr>
        <w:t>4</w:t>
      </w:r>
      <w:r>
        <w:rPr>
          <w:rFonts w:hint="eastAsia" w:ascii="黑体" w:hAnsi="黑体" w:eastAsia="黑体" w:cs="黑体"/>
          <w:sz w:val="28"/>
          <w:lang w:val="en-US" w:eastAsia="zh-CN"/>
        </w:rPr>
        <w:t>制造费用分摊规定</w:t>
      </w:r>
    </w:p>
    <w:p w14:paraId="62714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sz w:val="28"/>
          <w:szCs w:val="28"/>
        </w:rPr>
        <w:t>制造费用分摊率计算公式：</w:t>
      </w:r>
    </w:p>
    <w:p w14:paraId="27556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制造费用分摊率=当期制造费用总额÷当期有效生产工时总额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p w14:paraId="6D96B4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sz w:val="28"/>
          <w:szCs w:val="28"/>
        </w:rPr>
        <w:t>制造费用包括但不限于：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</w:rPr>
        <w:t>间接人工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</w:rPr>
        <w:t>厂房折旧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</w:rPr>
        <w:t>无形资产摊销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</w:rPr>
        <w:t>公用能源费用（不含已计入设备变动成本的部分）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</w:rPr>
        <w:t>办公费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</w:rPr>
        <w:t>劳保费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</w:rPr>
        <w:t>工具费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</w:rPr>
        <w:t>其他制造相关间接费用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p w14:paraId="46905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sz w:val="28"/>
          <w:szCs w:val="28"/>
        </w:rPr>
        <w:t>制造费用分摊口径在一个核算周期内不得随意变更。</w:t>
      </w:r>
    </w:p>
    <w:p w14:paraId="7A485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440" w:lineRule="exact"/>
        <w:jc w:val="left"/>
        <w:textAlignment w:val="auto"/>
        <w:rPr>
          <w:rFonts w:hint="eastAsia" w:ascii="黑体" w:hAnsi="黑体" w:eastAsia="黑体" w:cs="黑体"/>
          <w:sz w:val="28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lang w:val="en-US" w:eastAsia="zh-CN"/>
        </w:rPr>
        <w:t>5</w:t>
      </w:r>
      <w:r>
        <w:rPr>
          <w:rFonts w:hint="eastAsia" w:ascii="黑体" w:hAnsi="黑体" w:eastAsia="黑体" w:cs="黑体"/>
          <w:sz w:val="28"/>
          <w:lang w:val="en-US" w:eastAsia="zh-CN"/>
        </w:rPr>
        <w:t>.</w:t>
      </w:r>
      <w:r>
        <w:rPr>
          <w:rFonts w:hint="default" w:ascii="Times New Roman" w:hAnsi="Times New Roman" w:eastAsia="黑体" w:cs="Times New Roman"/>
          <w:sz w:val="28"/>
          <w:lang w:val="en-US" w:eastAsia="zh-CN"/>
        </w:rPr>
        <w:t>5</w:t>
      </w:r>
      <w:r>
        <w:rPr>
          <w:rFonts w:hint="eastAsia" w:ascii="黑体" w:hAnsi="黑体" w:eastAsia="黑体" w:cs="黑体"/>
          <w:sz w:val="28"/>
          <w:lang w:val="en-US" w:eastAsia="zh-CN"/>
        </w:rPr>
        <w:t>单道工序成本计算规定</w:t>
      </w:r>
    </w:p>
    <w:p w14:paraId="23DEC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sz w:val="28"/>
          <w:szCs w:val="28"/>
        </w:rPr>
        <w:t>单道工序成本按以下公式计算：</w:t>
      </w:r>
    </w:p>
    <w:p w14:paraId="33A6F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单道工序成本=（工序设备台时×对应设备单位台时成本率）+（工序人工工时×对应工种单位工时成本率）+（工序人工工时×制造费用分摊率）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p w14:paraId="67018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工序工时数据须来源于经确认的标准工时或经审核的实际工时数据。</w:t>
      </w:r>
    </w:p>
    <w:p w14:paraId="7CA50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440" w:lineRule="exact"/>
        <w:jc w:val="left"/>
        <w:textAlignment w:val="auto"/>
        <w:rPr>
          <w:rFonts w:hint="eastAsia" w:ascii="黑体" w:hAnsi="黑体" w:eastAsia="黑体" w:cs="黑体"/>
          <w:sz w:val="28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lang w:val="en-US" w:eastAsia="zh-CN"/>
        </w:rPr>
        <w:t>5</w:t>
      </w:r>
      <w:r>
        <w:rPr>
          <w:rFonts w:hint="eastAsia" w:ascii="黑体" w:hAnsi="黑体" w:eastAsia="黑体" w:cs="黑体"/>
          <w:sz w:val="28"/>
          <w:lang w:val="en-US" w:eastAsia="zh-CN"/>
        </w:rPr>
        <w:t>.</w:t>
      </w:r>
      <w:r>
        <w:rPr>
          <w:rFonts w:hint="default" w:ascii="Times New Roman" w:hAnsi="Times New Roman" w:eastAsia="黑体" w:cs="Times New Roman"/>
          <w:sz w:val="28"/>
          <w:lang w:val="en-US" w:eastAsia="zh-CN"/>
        </w:rPr>
        <w:t>6</w:t>
      </w:r>
      <w:r>
        <w:rPr>
          <w:rFonts w:hint="eastAsia" w:ascii="黑体" w:hAnsi="黑体" w:eastAsia="黑体" w:cs="黑体"/>
          <w:sz w:val="28"/>
          <w:lang w:val="en-US" w:eastAsia="zh-CN"/>
        </w:rPr>
        <w:t>废品损失计算规定</w:t>
      </w:r>
    </w:p>
    <w:p w14:paraId="66C1C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零件废品损失按以下公式计算：</w:t>
      </w:r>
    </w:p>
    <w:p w14:paraId="5A814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零件废品损失=该零件所有工序成本之和×废品率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p w14:paraId="7C985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废品率应依据历史统计数据或工艺定额确定，不得随意估算。</w:t>
      </w:r>
    </w:p>
    <w:p w14:paraId="26455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440" w:lineRule="exact"/>
        <w:jc w:val="left"/>
        <w:textAlignment w:val="auto"/>
        <w:rPr>
          <w:rFonts w:hint="eastAsia" w:ascii="黑体" w:hAnsi="黑体" w:eastAsia="黑体" w:cs="黑体"/>
          <w:sz w:val="28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lang w:val="en-US" w:eastAsia="zh-CN"/>
        </w:rPr>
        <w:t>5</w:t>
      </w:r>
      <w:r>
        <w:rPr>
          <w:rFonts w:hint="eastAsia" w:ascii="黑体" w:hAnsi="黑体" w:eastAsia="黑体" w:cs="黑体"/>
          <w:sz w:val="28"/>
          <w:lang w:val="en-US" w:eastAsia="zh-CN"/>
        </w:rPr>
        <w:t>.</w:t>
      </w:r>
      <w:r>
        <w:rPr>
          <w:rFonts w:hint="default" w:ascii="Times New Roman" w:hAnsi="Times New Roman" w:eastAsia="黑体" w:cs="Times New Roman"/>
          <w:sz w:val="28"/>
          <w:lang w:val="en-US" w:eastAsia="zh-CN"/>
        </w:rPr>
        <w:t>7</w:t>
      </w:r>
      <w:r>
        <w:rPr>
          <w:rFonts w:hint="eastAsia" w:ascii="黑体" w:hAnsi="黑体" w:eastAsia="黑体" w:cs="黑体"/>
          <w:sz w:val="28"/>
          <w:lang w:val="en-US" w:eastAsia="zh-CN"/>
        </w:rPr>
        <w:t>零件制造成本计算规定</w:t>
      </w:r>
    </w:p>
    <w:p w14:paraId="6B69C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零件制造成本=所有工序成本之和+零件废品损失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p w14:paraId="4C074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440" w:lineRule="exact"/>
        <w:jc w:val="left"/>
        <w:textAlignment w:val="auto"/>
        <w:rPr>
          <w:rFonts w:hint="eastAsia" w:ascii="黑体" w:hAnsi="黑体" w:eastAsia="黑体" w:cs="黑体"/>
          <w:sz w:val="28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lang w:val="en-US" w:eastAsia="zh-CN"/>
        </w:rPr>
        <w:t>5</w:t>
      </w:r>
      <w:r>
        <w:rPr>
          <w:rFonts w:hint="eastAsia" w:ascii="黑体" w:hAnsi="黑体" w:eastAsia="黑体" w:cs="黑体"/>
          <w:sz w:val="28"/>
          <w:lang w:val="en-US" w:eastAsia="zh-CN"/>
        </w:rPr>
        <w:t>.</w:t>
      </w:r>
      <w:r>
        <w:rPr>
          <w:rFonts w:hint="default" w:ascii="Times New Roman" w:hAnsi="Times New Roman" w:eastAsia="黑体" w:cs="Times New Roman"/>
          <w:sz w:val="28"/>
          <w:lang w:val="en-US" w:eastAsia="zh-CN"/>
        </w:rPr>
        <w:t>8</w:t>
      </w:r>
      <w:r>
        <w:rPr>
          <w:rFonts w:hint="eastAsia" w:ascii="黑体" w:hAnsi="黑体" w:eastAsia="黑体" w:cs="黑体"/>
          <w:sz w:val="28"/>
          <w:lang w:val="en-US" w:eastAsia="zh-CN"/>
        </w:rPr>
        <w:t>期间费用分摊规定</w:t>
      </w:r>
    </w:p>
    <w:p w14:paraId="5CD23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零件全成本=零件制造成本+期间费用分摊额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p w14:paraId="133B87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期间费用包括：销售费用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</w:rPr>
        <w:t>管理费用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</w:rPr>
        <w:t>研发费用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</w:rPr>
        <w:t>财务费用（按</w:t>
      </w:r>
      <w:r>
        <w:rPr>
          <w:rFonts w:hint="default" w:ascii="Times New Roman" w:hAnsi="Times New Roman" w:eastAsia="宋体" w:cs="Times New Roman"/>
          <w:sz w:val="28"/>
          <w:szCs w:val="28"/>
        </w:rPr>
        <w:t>3</w:t>
      </w:r>
      <w:r>
        <w:rPr>
          <w:rFonts w:hint="eastAsia" w:ascii="宋体" w:hAnsi="宋体" w:eastAsia="宋体" w:cs="宋体"/>
          <w:sz w:val="28"/>
          <w:szCs w:val="28"/>
        </w:rPr>
        <w:t>%比例测算或按当期实际比例执行）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</w:rPr>
        <w:t>期间费用分摊方法应在年度内保持一致。</w:t>
      </w:r>
    </w:p>
    <w:p w14:paraId="3CAF2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440" w:lineRule="exact"/>
        <w:jc w:val="left"/>
        <w:textAlignment w:val="auto"/>
        <w:rPr>
          <w:rFonts w:hint="eastAsia" w:ascii="黑体" w:hAnsi="黑体" w:eastAsia="黑体" w:cs="黑体"/>
          <w:sz w:val="28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lang w:val="en-US" w:eastAsia="zh-CN"/>
        </w:rPr>
        <w:t>5</w:t>
      </w:r>
      <w:r>
        <w:rPr>
          <w:rFonts w:hint="eastAsia" w:ascii="黑体" w:hAnsi="黑体" w:eastAsia="黑体" w:cs="黑体"/>
          <w:sz w:val="28"/>
          <w:lang w:val="en-US" w:eastAsia="zh-CN"/>
        </w:rPr>
        <w:t>.</w:t>
      </w:r>
      <w:r>
        <w:rPr>
          <w:rFonts w:hint="default" w:ascii="Times New Roman" w:hAnsi="Times New Roman" w:eastAsia="黑体" w:cs="Times New Roman"/>
          <w:sz w:val="28"/>
          <w:lang w:val="en-US" w:eastAsia="zh-CN"/>
        </w:rPr>
        <w:t>9</w:t>
      </w:r>
      <w:r>
        <w:rPr>
          <w:rFonts w:hint="eastAsia" w:ascii="黑体" w:hAnsi="黑体" w:eastAsia="黑体" w:cs="黑体"/>
          <w:sz w:val="28"/>
          <w:lang w:val="en-US" w:eastAsia="zh-CN"/>
        </w:rPr>
        <w:t>小时费率使用规定</w:t>
      </w:r>
    </w:p>
    <w:p w14:paraId="46780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小时费率用于产品报价、内部结算、盈利测算及经营分析。小时费率须经财务审核确认后方可执行。每年至少复核一次，如人工成本、产能利用率或费用结构发生重大变化，应及时调整。未经批准不得擅自调整小时费率或改变测算口径。</w:t>
      </w:r>
    </w:p>
    <w:p w14:paraId="07B3A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2" w:beforeLines="100" w:after="312" w:afterLines="100" w:line="440" w:lineRule="exact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default" w:ascii="Times New Roman" w:hAnsi="Times New Roman" w:eastAsia="黑体" w:cs="Times New Roman"/>
          <w:sz w:val="28"/>
        </w:rPr>
        <w:t>6</w:t>
      </w:r>
      <w:r>
        <w:rPr>
          <w:rFonts w:hint="eastAsia" w:ascii="Times New Roman" w:hAnsi="Times New Roman" w:eastAsia="黑体" w:cs="Times New Roman"/>
          <w:sz w:val="28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8"/>
        </w:rPr>
        <w:t>流程</w:t>
      </w:r>
    </w:p>
    <w:p w14:paraId="5D50EFD6">
      <w:pPr>
        <w:bidi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</w:rPr>
        <w:object>
          <v:shape id="_x0000_i1025" o:spt="75" type="#_x0000_t75" style="height:160.4pt;width:415.25pt;" o:ole="t" filled="f" o:preferrelative="t" stroked="f" coordsize="21600,21600">
            <v:path/>
            <v:fill on="f" focussize="0,0"/>
            <v:stroke on="f"/>
            <v:imagedata r:id="rId6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5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sz w:val="28"/>
        </w:rPr>
        <w:t>7</w:t>
      </w:r>
      <w:r>
        <w:rPr>
          <w:rFonts w:hint="eastAsia" w:ascii="Times New Roman" w:hAnsi="Times New Roman" w:eastAsia="黑体" w:cs="Times New Roman"/>
          <w:sz w:val="28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8"/>
        </w:rPr>
        <w:t>规定表格</w:t>
      </w:r>
    </w:p>
    <w:p w14:paraId="24D96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无</w:t>
      </w:r>
    </w:p>
    <w:p w14:paraId="3C4C2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2" w:beforeLines="100" w:after="312" w:afterLines="100" w:line="440" w:lineRule="exact"/>
        <w:jc w:val="left"/>
        <w:textAlignment w:val="auto"/>
        <w:rPr>
          <w:rFonts w:ascii="黑体" w:hAnsi="黑体" w:eastAsia="黑体" w:cs="黑体"/>
          <w:sz w:val="28"/>
        </w:rPr>
      </w:pPr>
      <w:r>
        <w:rPr>
          <w:rFonts w:hint="default" w:ascii="Times New Roman" w:hAnsi="Times New Roman" w:eastAsia="黑体" w:cs="Times New Roman"/>
          <w:sz w:val="28"/>
        </w:rPr>
        <w:t>8</w:t>
      </w:r>
      <w:r>
        <w:rPr>
          <w:rFonts w:hint="eastAsia" w:ascii="Times New Roman" w:hAnsi="Times New Roman" w:eastAsia="黑体" w:cs="Times New Roman"/>
          <w:sz w:val="28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8"/>
        </w:rPr>
        <w:t>记录控制</w:t>
      </w:r>
    </w:p>
    <w:p w14:paraId="321D0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</w:rPr>
        <w:t>上述文件由相关责任部门负责存档，保存期限两年。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E2BC1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2BD598">
                          <w:pPr>
                            <w:pStyle w:val="3"/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t>- 2 -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72BD598">
                    <w:pPr>
                      <w:pStyle w:val="3"/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t>- 2 -</w:t>
                    </w: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394EB3"/>
    <w:rsid w:val="06287461"/>
    <w:rsid w:val="14B00D4D"/>
    <w:rsid w:val="24062738"/>
    <w:rsid w:val="2B595843"/>
    <w:rsid w:val="33E67E90"/>
    <w:rsid w:val="4090365D"/>
    <w:rsid w:val="40D32F43"/>
    <w:rsid w:val="442214A7"/>
    <w:rsid w:val="446948F1"/>
    <w:rsid w:val="69722E94"/>
    <w:rsid w:val="75DE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2408</Words>
  <Characters>2492</Characters>
  <Lines>0</Lines>
  <Paragraphs>0</Paragraphs>
  <TotalTime>231</TotalTime>
  <ScaleCrop>false</ScaleCrop>
  <LinksUpToDate>false</LinksUpToDate>
  <CharactersWithSpaces>2515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2026-02-26T07:34:00Z</dcterms:created>
  <dc:creator>料峭</dc:creator>
  <cp:lastModifiedBy>李雪</cp:lastModifiedBy>
  <dcterms:modified xsi:type="dcterms:W3CDTF">2026-03-24T05:29:55Z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eyJoZGlkIjoiYjJlN2RkMTRiMjRhN2Q2NmRlYjhiNzRhZWQ2MjZmNDkiLCJ1c2VySWQiOiI2OTA4MTUwMDUifQ==</vt:lpwstr>
  </property>
  <property fmtid="{D5CDD505-2E9C-101B-9397-08002B2CF9AE}" pid="4" name="ICV">
    <vt:lpwstr>21593A3E70484B1FA9FC281BF495B048_12</vt:lpwstr>
  </property>
</Properties>
</file>