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13"/>
        <w:gridCol w:w="672"/>
        <w:gridCol w:w="365"/>
        <w:gridCol w:w="666"/>
        <w:gridCol w:w="629"/>
        <w:gridCol w:w="1050"/>
        <w:gridCol w:w="505"/>
        <w:gridCol w:w="559"/>
        <w:gridCol w:w="574"/>
        <w:gridCol w:w="476"/>
        <w:gridCol w:w="1036"/>
        <w:gridCol w:w="481"/>
        <w:gridCol w:w="583"/>
        <w:gridCol w:w="1411"/>
      </w:tblGrid>
      <w:tr w14:paraId="4CA65F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57" w:hRule="atLeast"/>
          <w:jc w:val="center"/>
        </w:trPr>
        <w:tc>
          <w:tcPr>
            <w:tcW w:w="972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97EA93C">
            <w:pPr>
              <w:spacing w:line="360" w:lineRule="auto"/>
              <w:jc w:val="center"/>
              <w:rPr>
                <w:rFonts w:ascii="黑体" w:eastAsia="黑体"/>
                <w:spacing w:val="20"/>
                <w:sz w:val="36"/>
                <w:szCs w:val="36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 w14:paraId="3927F14A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制 度 文 件</w:t>
            </w:r>
          </w:p>
        </w:tc>
      </w:tr>
      <w:tr w14:paraId="4CBDAF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restart"/>
            <w:tcBorders>
              <w:left w:val="single" w:color="auto" w:sz="12" w:space="0"/>
            </w:tcBorders>
            <w:vAlign w:val="center"/>
          </w:tcPr>
          <w:p w14:paraId="75E4643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文件名称</w:t>
            </w:r>
          </w:p>
        </w:tc>
        <w:tc>
          <w:tcPr>
            <w:tcW w:w="3983" w:type="dxa"/>
            <w:gridSpan w:val="6"/>
            <w:vMerge w:val="restart"/>
            <w:vAlign w:val="center"/>
          </w:tcPr>
          <w:p w14:paraId="27310145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冷库材料出入库管理规定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05863CB5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087069A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/>
                <w:sz w:val="28"/>
                <w:szCs w:val="36"/>
              </w:rPr>
              <w:t>GLTX-</w:t>
            </w:r>
            <w:r>
              <w:rPr>
                <w:rFonts w:hint="eastAsia" w:ascii="黑体" w:eastAsia="黑体"/>
                <w:sz w:val="28"/>
                <w:szCs w:val="36"/>
              </w:rPr>
              <w:t>WZ</w:t>
            </w:r>
            <w:r>
              <w:rPr>
                <w:rFonts w:ascii="黑体" w:eastAsia="黑体"/>
                <w:sz w:val="28"/>
                <w:szCs w:val="36"/>
              </w:rPr>
              <w:t>-0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1</w:t>
            </w:r>
          </w:p>
        </w:tc>
      </w:tr>
      <w:tr w14:paraId="46FF5D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058A0FA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3983" w:type="dxa"/>
            <w:gridSpan w:val="6"/>
            <w:vMerge w:val="continue"/>
            <w:vAlign w:val="center"/>
          </w:tcPr>
          <w:p w14:paraId="2072ED24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7C470E26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版次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34C94B5C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A</w:t>
            </w:r>
          </w:p>
        </w:tc>
      </w:tr>
      <w:tr w14:paraId="056A0B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7E6BE11B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bookmarkStart w:id="1" w:name="_GoBack" w:colFirst="5" w:colLast="8"/>
          </w:p>
        </w:tc>
        <w:tc>
          <w:tcPr>
            <w:tcW w:w="3983" w:type="dxa"/>
            <w:gridSpan w:val="6"/>
            <w:vMerge w:val="continue"/>
            <w:vAlign w:val="center"/>
          </w:tcPr>
          <w:p w14:paraId="78E2230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6D0E5ACB">
            <w:pPr>
              <w:widowControl w:val="0"/>
              <w:kinsoku/>
              <w:autoSpaceDE/>
              <w:autoSpaceDN/>
              <w:adjustRightInd/>
              <w:snapToGrid/>
              <w:spacing w:line="400" w:lineRule="exact"/>
              <w:jc w:val="center"/>
              <w:textAlignment w:val="auto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 w:hAnsiTheme="minorHAnsi" w:cstheme="minorBidi"/>
                <w:snapToGrid/>
                <w:kern w:val="2"/>
                <w:sz w:val="28"/>
                <w:szCs w:val="36"/>
                <w:lang w:eastAsia="zh-CN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61FAA697">
            <w:pPr>
              <w:widowControl w:val="0"/>
              <w:kinsoku/>
              <w:autoSpaceDE/>
              <w:autoSpaceDN/>
              <w:adjustRightInd/>
              <w:snapToGrid/>
              <w:spacing w:line="400" w:lineRule="exact"/>
              <w:jc w:val="center"/>
              <w:textAlignment w:val="auto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 w:hAnsiTheme="minorHAnsi" w:cstheme="minorBidi"/>
                <w:snapToGrid/>
                <w:kern w:val="2"/>
                <w:sz w:val="28"/>
                <w:szCs w:val="36"/>
                <w:lang w:eastAsia="zh-CN"/>
              </w:rPr>
              <w:t>管理规定</w:t>
            </w:r>
          </w:p>
        </w:tc>
      </w:tr>
      <w:bookmarkEnd w:id="1"/>
      <w:tr w14:paraId="5856F6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750" w:type="dxa"/>
            <w:gridSpan w:val="3"/>
            <w:tcBorders>
              <w:left w:val="single" w:color="auto" w:sz="12" w:space="0"/>
            </w:tcBorders>
            <w:vAlign w:val="center"/>
          </w:tcPr>
          <w:p w14:paraId="65D69C3D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发文部门</w:t>
            </w:r>
          </w:p>
        </w:tc>
        <w:tc>
          <w:tcPr>
            <w:tcW w:w="2345" w:type="dxa"/>
            <w:gridSpan w:val="3"/>
            <w:vAlign w:val="center"/>
          </w:tcPr>
          <w:p w14:paraId="44BF65BC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物资保障部</w:t>
            </w:r>
          </w:p>
        </w:tc>
        <w:tc>
          <w:tcPr>
            <w:tcW w:w="1638" w:type="dxa"/>
            <w:gridSpan w:val="3"/>
            <w:vAlign w:val="center"/>
          </w:tcPr>
          <w:p w14:paraId="30D94AC0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共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5</w:t>
            </w:r>
            <w:r>
              <w:rPr>
                <w:rFonts w:hint="eastAsia" w:ascii="黑体" w:eastAsia="黑体"/>
                <w:sz w:val="28"/>
                <w:szCs w:val="36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27516C5F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color="auto" w:sz="12" w:space="0"/>
            </w:tcBorders>
            <w:vAlign w:val="center"/>
          </w:tcPr>
          <w:p w14:paraId="24C6F6C4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2025-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10</w:t>
            </w:r>
            <w:r>
              <w:rPr>
                <w:rFonts w:hint="eastAsia" w:ascii="黑体" w:eastAsia="黑体"/>
                <w:sz w:val="28"/>
                <w:szCs w:val="36"/>
              </w:rPr>
              <w:t>-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11</w:t>
            </w:r>
          </w:p>
        </w:tc>
      </w:tr>
      <w:tr w14:paraId="4B01DD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9404443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    改    记    录</w:t>
            </w:r>
          </w:p>
        </w:tc>
      </w:tr>
      <w:tr w14:paraId="23AD26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569F184C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序号</w:t>
            </w:r>
          </w:p>
        </w:tc>
        <w:tc>
          <w:tcPr>
            <w:tcW w:w="2184" w:type="dxa"/>
            <w:gridSpan w:val="3"/>
            <w:tcBorders>
              <w:bottom w:val="single" w:color="auto" w:sz="6" w:space="0"/>
            </w:tcBorders>
            <w:vAlign w:val="center"/>
          </w:tcPr>
          <w:p w14:paraId="1AD8796F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更改单编号</w:t>
            </w:r>
          </w:p>
        </w:tc>
        <w:tc>
          <w:tcPr>
            <w:tcW w:w="2645" w:type="dxa"/>
            <w:gridSpan w:val="4"/>
            <w:tcBorders>
              <w:bottom w:val="single" w:color="auto" w:sz="6" w:space="0"/>
            </w:tcBorders>
            <w:vAlign w:val="center"/>
          </w:tcPr>
          <w:p w14:paraId="34F9E86B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更改者签字</w:t>
            </w:r>
          </w:p>
        </w:tc>
        <w:tc>
          <w:tcPr>
            <w:tcW w:w="2475" w:type="dxa"/>
            <w:gridSpan w:val="3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55D53EA0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更改日期</w:t>
            </w:r>
          </w:p>
        </w:tc>
      </w:tr>
      <w:tr w14:paraId="7ECDEC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7B7CD67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DD6EE1E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C11A0C5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B1A83D4">
            <w:pPr>
              <w:jc w:val="center"/>
              <w:rPr>
                <w:rFonts w:ascii="宋体"/>
              </w:rPr>
            </w:pPr>
          </w:p>
        </w:tc>
      </w:tr>
      <w:tr w14:paraId="66FD0C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6EF3D45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36C50F9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076685C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656DD1D">
            <w:pPr>
              <w:jc w:val="center"/>
              <w:rPr>
                <w:rFonts w:ascii="宋体"/>
              </w:rPr>
            </w:pPr>
          </w:p>
        </w:tc>
      </w:tr>
      <w:tr w14:paraId="00F91F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D893D94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FD6BEBC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416FE3D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00A8053">
            <w:pPr>
              <w:jc w:val="center"/>
              <w:rPr>
                <w:rFonts w:ascii="宋体"/>
              </w:rPr>
            </w:pPr>
          </w:p>
        </w:tc>
      </w:tr>
      <w:tr w14:paraId="3BCB1C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2BA3CB9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BF8C7E5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43270B1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328220F">
            <w:pPr>
              <w:jc w:val="center"/>
              <w:rPr>
                <w:rFonts w:ascii="宋体"/>
              </w:rPr>
            </w:pPr>
          </w:p>
        </w:tc>
      </w:tr>
      <w:tr w14:paraId="2628B8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DBC016B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分发路线</w:t>
            </w:r>
          </w:p>
        </w:tc>
      </w:tr>
      <w:tr w14:paraId="5E77A6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18BA7BA9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6FC21342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经营</w:t>
            </w:r>
          </w:p>
          <w:p w14:paraId="3E8FDFCF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发展部</w:t>
            </w:r>
          </w:p>
        </w:tc>
        <w:tc>
          <w:tcPr>
            <w:tcW w:w="1295" w:type="dxa"/>
            <w:gridSpan w:val="2"/>
            <w:vAlign w:val="center"/>
          </w:tcPr>
          <w:p w14:paraId="5690003D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行政</w:t>
            </w:r>
          </w:p>
          <w:p w14:paraId="576F4E92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人事部</w:t>
            </w:r>
          </w:p>
        </w:tc>
        <w:tc>
          <w:tcPr>
            <w:tcW w:w="1050" w:type="dxa"/>
            <w:vAlign w:val="center"/>
          </w:tcPr>
          <w:p w14:paraId="1D63D1CC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工程</w:t>
            </w:r>
          </w:p>
          <w:p w14:paraId="28B2FDA3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技术部</w:t>
            </w:r>
          </w:p>
        </w:tc>
        <w:tc>
          <w:tcPr>
            <w:tcW w:w="1064" w:type="dxa"/>
            <w:gridSpan w:val="2"/>
            <w:vAlign w:val="center"/>
          </w:tcPr>
          <w:p w14:paraId="1584D49E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511841CC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质量</w:t>
            </w:r>
          </w:p>
          <w:p w14:paraId="02BDEC7B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安环部</w:t>
            </w:r>
          </w:p>
        </w:tc>
        <w:tc>
          <w:tcPr>
            <w:tcW w:w="1036" w:type="dxa"/>
            <w:vAlign w:val="center"/>
          </w:tcPr>
          <w:p w14:paraId="66A0BBE1">
            <w:pPr>
              <w:jc w:val="center"/>
              <w:rPr>
                <w:rFonts w:hint="eastAsia" w:ascii="宋体"/>
                <w:spacing w:val="50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Cs w:val="21"/>
                <w:lang w:val="en-US" w:eastAsia="zh-CN"/>
              </w:rPr>
              <w:t>项目</w:t>
            </w:r>
          </w:p>
          <w:p w14:paraId="41F1E7FB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  <w:lang w:val="en-US" w:eastAsia="zh-CN"/>
              </w:rPr>
              <w:t>管理部</w:t>
            </w:r>
          </w:p>
        </w:tc>
        <w:tc>
          <w:tcPr>
            <w:tcW w:w="1064" w:type="dxa"/>
            <w:gridSpan w:val="2"/>
            <w:vAlign w:val="center"/>
          </w:tcPr>
          <w:p w14:paraId="2C57F46B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物资</w:t>
            </w:r>
          </w:p>
          <w:p w14:paraId="1B0E0F51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保障部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1E931151">
            <w:pPr>
              <w:jc w:val="center"/>
              <w:rPr>
                <w:rFonts w:hint="eastAsia"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复材车间</w:t>
            </w:r>
          </w:p>
        </w:tc>
      </w:tr>
      <w:tr w14:paraId="44000B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22E028A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696F962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295" w:type="dxa"/>
            <w:gridSpan w:val="2"/>
            <w:vAlign w:val="center"/>
          </w:tcPr>
          <w:p w14:paraId="292719A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vAlign w:val="center"/>
          </w:tcPr>
          <w:p w14:paraId="5492566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4888134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73F09A1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36" w:type="dxa"/>
            <w:vAlign w:val="center"/>
          </w:tcPr>
          <w:p w14:paraId="0C86D62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13B0A08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1919DE5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</w:tr>
      <w:tr w14:paraId="61047B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03827D8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535BA1F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5765724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4C2749B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38F7519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3C0F209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1D26D5D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7A041E9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52F0505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14:paraId="5B30FA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36D4C73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3445BDD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657BAB0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5F578DC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37E99F0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01D0968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3839F9D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6F4C7BD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6CF9B2E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14:paraId="1B1C06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3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FAE7979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60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2DF2E3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E51A3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60292A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4F57147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6E6D659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</w:tr>
      <w:tr w14:paraId="3AACF5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3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9ACA35D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60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60B53F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7A534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ACA7D1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0C17A7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EC3A2BC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</w:tr>
      <w:tr w14:paraId="561657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38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13524D2">
            <w:pPr>
              <w:jc w:val="center"/>
              <w:rPr>
                <w:rFonts w:hint="eastAsia"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会签</w:t>
            </w:r>
          </w:p>
        </w:tc>
        <w:tc>
          <w:tcPr>
            <w:tcW w:w="8335" w:type="dxa"/>
            <w:gridSpan w:val="12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21914BA">
            <w:pPr>
              <w:jc w:val="center"/>
              <w:rPr>
                <w:rFonts w:ascii="宋体"/>
                <w:spacing w:val="100"/>
                <w:sz w:val="24"/>
              </w:rPr>
            </w:pPr>
          </w:p>
        </w:tc>
      </w:tr>
    </w:tbl>
    <w:p w14:paraId="461BB738">
      <w:pPr>
        <w:pStyle w:val="2"/>
        <w:spacing w:before="312" w:after="312"/>
        <w:rPr>
          <w:rFonts w:hint="eastAsia" w:ascii="黑体" w:hAnsi="黑体" w:eastAsia="黑体" w:cstheme="minorBidi"/>
          <w:bCs w:val="0"/>
          <w:kern w:val="2"/>
          <w:sz w:val="28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A5262DF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1 目的</w:t>
      </w:r>
    </w:p>
    <w:p w14:paraId="69696AE8">
      <w:pPr>
        <w:spacing w:line="440" w:lineRule="exact"/>
        <w:ind w:firstLine="560" w:firstLineChars="20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</w:rPr>
        <w:t>为规范冷库存储材料的出入库全流程管理，保障低温存储材料（如低温复合材料、特殊化工原料等）在入库、存储、出库环节中的质量稳定性，严格控制冷库温湿度环境，防范物料变质、损耗及安全风险，满足生产对低温物料的质量要求，依据国家相关低温存储标准及公司《物料接收运转储存管理程序》，特制定本规定。</w:t>
      </w:r>
    </w:p>
    <w:p w14:paraId="250BB823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2 适用范围</w:t>
      </w:r>
    </w:p>
    <w:p w14:paraId="3EC31EA8">
      <w:pPr>
        <w:spacing w:line="440" w:lineRule="exact"/>
        <w:ind w:firstLine="560" w:firstLineChars="20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</w:rPr>
        <w:t>本规定适用于公司所有需在 -20℃以下低温环境存储的物料（以下简称 “冷库材料”），涵盖冷库材料从供应商到货入库、库内存储养护至生产领用出库的全流程管理，包括自购冷库材料及客供冷库材料。</w:t>
      </w:r>
    </w:p>
    <w:p w14:paraId="6F7C3963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3 术语和定义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7124"/>
      </w:tblGrid>
      <w:tr w14:paraId="74D8D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  <w:vAlign w:val="center"/>
          </w:tcPr>
          <w:p w14:paraId="58F57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术语</w:t>
            </w:r>
          </w:p>
        </w:tc>
        <w:tc>
          <w:tcPr>
            <w:tcW w:w="7124" w:type="dxa"/>
            <w:vAlign w:val="center"/>
          </w:tcPr>
          <w:p w14:paraId="74895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定义</w:t>
            </w:r>
          </w:p>
        </w:tc>
      </w:tr>
      <w:tr w14:paraId="0D866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</w:tcPr>
          <w:p w14:paraId="4C519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  <w:t>冷库材料</w:t>
            </w:r>
          </w:p>
        </w:tc>
        <w:tc>
          <w:tcPr>
            <w:tcW w:w="7124" w:type="dxa"/>
          </w:tcPr>
          <w:p w14:paraId="385BA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  <w:t>指因材质特性或技术要求，必须在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eastAsia="zh-CN" w:bidi="en-US"/>
              </w:rPr>
              <w:t>-20℃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  <w:t>以下低温环境中存储以保证质量的物料，如低温复合材料、特殊试剂、易变质化工辅料等</w:t>
            </w:r>
          </w:p>
        </w:tc>
      </w:tr>
      <w:tr w14:paraId="54A2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</w:tcPr>
          <w:p w14:paraId="77531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  <w:t>冷库入库</w:t>
            </w:r>
          </w:p>
        </w:tc>
        <w:tc>
          <w:tcPr>
            <w:tcW w:w="7124" w:type="dxa"/>
          </w:tcPr>
          <w:p w14:paraId="47115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  <w:t>指冷库材料抵达公司后，经验收、温度确认、信息登记后转入冷库存储的过程</w:t>
            </w:r>
          </w:p>
        </w:tc>
      </w:tr>
      <w:tr w14:paraId="2264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</w:tcPr>
          <w:p w14:paraId="41DDF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  <w:t>冷库出库</w:t>
            </w:r>
          </w:p>
        </w:tc>
        <w:tc>
          <w:tcPr>
            <w:tcW w:w="7124" w:type="dxa"/>
          </w:tcPr>
          <w:p w14:paraId="0992F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  <w:t>指根据生产需求，从冷库中提取物料并完成交接、信息记录的过程</w:t>
            </w:r>
          </w:p>
        </w:tc>
      </w:tr>
      <w:tr w14:paraId="7F87F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</w:tcPr>
          <w:p w14:paraId="4D465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  <w:t>冷链衔接</w:t>
            </w:r>
          </w:p>
        </w:tc>
        <w:tc>
          <w:tcPr>
            <w:tcW w:w="7124" w:type="dxa"/>
          </w:tcPr>
          <w:p w14:paraId="5C3BF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  <w:t>指冷库材料在运输（供应商至公司、冷库至使用部门）与存储环节中，低温环境的连续保持，避免温度波动超出规定范围</w:t>
            </w:r>
          </w:p>
        </w:tc>
      </w:tr>
    </w:tbl>
    <w:p w14:paraId="11D530C9">
      <w:pPr>
        <w:spacing w:before="312" w:beforeLines="100" w:after="312" w:afterLines="100" w:line="440" w:lineRule="exact"/>
        <w:jc w:val="left"/>
        <w:rPr>
          <w:rFonts w:hint="default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4 职责和权限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7084"/>
      </w:tblGrid>
      <w:tr w14:paraId="3DDCB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2DC6D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部 门</w:t>
            </w:r>
          </w:p>
        </w:tc>
        <w:tc>
          <w:tcPr>
            <w:tcW w:w="7084" w:type="dxa"/>
            <w:vAlign w:val="center"/>
          </w:tcPr>
          <w:p w14:paraId="4B7E3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主 要 职 责 描 述</w:t>
            </w:r>
          </w:p>
        </w:tc>
      </w:tr>
      <w:tr w14:paraId="10A02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20D7CFCD">
            <w:pPr>
              <w:spacing w:line="440" w:lineRule="exact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物资保障部</w:t>
            </w:r>
          </w:p>
        </w:tc>
        <w:tc>
          <w:tcPr>
            <w:tcW w:w="7084" w:type="dxa"/>
          </w:tcPr>
          <w:p w14:paraId="776A4B1F">
            <w:pPr>
              <w:spacing w:line="440" w:lineRule="exact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冷库管理员负责冷库日常运营管理，包括温湿度实时监控、设备维护、库内清洁消杀；执行冷库材料的入库验收、上架存储、出库拣货，确保冷链衔接无缝；建立冷库材料专项台账，记录物料名称、规格、批次、入库温度、存储期限、出库时间等信息，保证账实相符；定期检查冷库设备（如制冷系统、备用电源、温湿度报警装置），及时处理设备故障。</w:t>
            </w:r>
          </w:p>
        </w:tc>
      </w:tr>
      <w:tr w14:paraId="7C9C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51764D5B">
            <w:pPr>
              <w:spacing w:line="440" w:lineRule="exact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经营发展部</w:t>
            </w:r>
          </w:p>
        </w:tc>
        <w:tc>
          <w:tcPr>
            <w:tcW w:w="7084" w:type="dxa"/>
          </w:tcPr>
          <w:p w14:paraId="793A86AA">
            <w:pPr>
              <w:spacing w:line="440" w:lineRule="exact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采购员对接供应商，明确冷库材料的运输冷链要求（如专用冷藏车、温度记录仪），提前 24 小时将《冷库材料到货通知单》（含物料信息、运输冷链要求）送达物资保障部、质量安环部；协调处理冷库材料到货时的冷链异常（如运输途中温度超标）、数量规格不符等问题；</w:t>
            </w:r>
          </w:p>
          <w:p w14:paraId="2BC10C0C">
            <w:pPr>
              <w:spacing w:line="440" w:lineRule="exact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配合质量安环部、物资保障部完成不合格冷库材料的退换货流程</w:t>
            </w:r>
          </w:p>
        </w:tc>
      </w:tr>
      <w:tr w14:paraId="2E53F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276FC48B">
            <w:pPr>
              <w:spacing w:line="440" w:lineRule="exact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质量安环部</w:t>
            </w:r>
          </w:p>
        </w:tc>
        <w:tc>
          <w:tcPr>
            <w:tcW w:w="7084" w:type="dxa"/>
          </w:tcPr>
          <w:p w14:paraId="78845167">
            <w:pPr>
              <w:spacing w:line="440" w:lineRule="exact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检验员负责冷库材料的质量检验，包括外观检查、技术指标检测，同时核查运输途中的温度记录（要求全程-20℃以下），2 个工作日内出具《冷库材料质检报告》；对不合格冷库材料（如质量不达标、运输温度超标）提出处理意见，监督不合格物料存放于冷库专用不合格区；定期检查冷库安全管理（如消防设施、防爆措施、人员操作规范）及温湿度记录，确保符合安全及质量要求。</w:t>
            </w:r>
          </w:p>
        </w:tc>
      </w:tr>
      <w:tr w14:paraId="22F2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6591672C">
            <w:pPr>
              <w:spacing w:line="440" w:lineRule="exact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财务部</w:t>
            </w:r>
          </w:p>
        </w:tc>
        <w:tc>
          <w:tcPr>
            <w:tcW w:w="7084" w:type="dxa"/>
          </w:tcPr>
          <w:p w14:paraId="03609617">
            <w:pPr>
              <w:spacing w:line="440" w:lineRule="exact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会计负责冷库材料出入库的财务核算，核对出入库记录与财务凭证的一致性；参与冷库材料盘点及报废审核，监督报废物料的账务处理。</w:t>
            </w:r>
          </w:p>
        </w:tc>
      </w:tr>
      <w:tr w14:paraId="6DB9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331C7ED8">
            <w:pPr>
              <w:spacing w:line="440" w:lineRule="exact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复材车间</w:t>
            </w:r>
          </w:p>
        </w:tc>
        <w:tc>
          <w:tcPr>
            <w:tcW w:w="7084" w:type="dxa"/>
          </w:tcPr>
          <w:p w14:paraId="6232AAFD">
            <w:pPr>
              <w:spacing w:line="440" w:lineRule="exact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领料员根据生产计划的生产文件进行领用冷库材料，领用过程中配合保管员完成物料交接，确认物料温度状态及数量规格，签字确认。</w:t>
            </w:r>
          </w:p>
        </w:tc>
      </w:tr>
    </w:tbl>
    <w:p w14:paraId="20789F61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5 规定</w:t>
      </w:r>
    </w:p>
    <w:p w14:paraId="0AE07F77">
      <w:pPr>
        <w:spacing w:beforeLines="50" w:afterLines="50" w:line="440" w:lineRule="exact"/>
        <w:ind w:firstLine="0" w:firstLineChars="0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5.1冷库材料入库管理</w:t>
      </w:r>
    </w:p>
    <w:p w14:paraId="71229B52">
      <w:pPr>
        <w:spacing w:line="440" w:lineRule="exact"/>
        <w:ind w:left="0" w:leftChars="0" w:firstLine="638" w:firstLineChars="228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4"/>
          <w:lang w:val="en-US" w:eastAsia="zh-CN" w:bidi="ar-SA"/>
        </w:rPr>
        <w:t>5.1.1</w:t>
      </w:r>
      <w:r>
        <w:rPr>
          <w:rFonts w:hint="eastAsia" w:ascii="宋体" w:hAnsi="宋体" w:eastAsia="宋体" w:cs="宋体"/>
          <w:sz w:val="28"/>
          <w:szCs w:val="28"/>
        </w:rPr>
        <w:t>到货通知与冷链准备</w:t>
      </w:r>
    </w:p>
    <w:p w14:paraId="4B1A034F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4"/>
          <w:lang w:val="en-US" w:eastAsia="zh-CN" w:bidi="ar-SA"/>
        </w:rPr>
        <w:t>自购冷库材料：经营发展部在供应商发货后，立即确认运输车辆是否为专用冷藏车（配备温度记录仪），并提前 24 小时将准备好《冷库材料到货通知单》（含物料名称、规格、数量、批次、供应商信息、冷链要求）发送至物资保障部、质量安环部。物资保障部提前启动冷库预冷（确保库内温度稳定在-20℃以下），准备专用冷藏转运箱（预冷至-20℃）用于卸货衔接。</w:t>
      </w:r>
    </w:p>
    <w:p w14:paraId="150E669C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4"/>
          <w:lang w:val="en-US" w:eastAsia="zh-CN" w:bidi="ar-SA"/>
        </w:rPr>
        <w:t>客供冷库材料（如沈飞民机供料）：物资保障部冷库管理员提前对接客供部门，确认到货时间、运输冷链方式，同步做好冷库预冷及转运准备。</w:t>
      </w:r>
    </w:p>
    <w:p w14:paraId="5BFD6B3C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5.1.</w:t>
      </w:r>
      <w:r>
        <w:rPr>
          <w:rFonts w:hint="eastAsia" w:ascii="宋体" w:hAnsi="宋体" w:eastAsia="宋体" w:cs="宋体"/>
          <w:sz w:val="28"/>
          <w:szCs w:val="28"/>
        </w:rPr>
        <w:t>2到货验收与温度核查</w:t>
      </w:r>
    </w:p>
    <w:p w14:paraId="787F689F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卸货前，物资保障部保管员、质量安环部检验员共同核查运输车辆的温度记录仪：要求运输全程温度不高于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-20℃</w:t>
      </w:r>
      <w:r>
        <w:rPr>
          <w:rFonts w:hint="eastAsia" w:ascii="宋体" w:hAnsi="宋体" w:eastAsia="宋体" w:cs="宋体"/>
          <w:sz w:val="28"/>
          <w:szCs w:val="28"/>
        </w:rPr>
        <w:t>，若出现温度超标，立即留存温度记录，计算材料寿命，对寿命满足材料接收处理，对不满足生产需求的物料，暂停卸货并由经营发展部进行退货处理。</w:t>
      </w:r>
    </w:p>
    <w:p w14:paraId="7951E968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卸货时使用预冷后的专用冷藏转运箱，避免冷库材料暴露在常温环境超过 5 分钟；冷库管理员核对运输单据与《冷库材料到货通知单》，检查物料包装是否完好（无破损、受潮、解冻痕迹），质量安环部检验员同步进行外观初检。</w:t>
      </w:r>
    </w:p>
    <w:p w14:paraId="086FD025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5.1.</w:t>
      </w:r>
      <w:r>
        <w:rPr>
          <w:rFonts w:hint="eastAsia" w:ascii="宋体" w:hAnsi="宋体" w:eastAsia="宋体" w:cs="宋体"/>
          <w:sz w:val="28"/>
          <w:szCs w:val="28"/>
        </w:rPr>
        <w:t>3质量检验与入库登记</w:t>
      </w:r>
    </w:p>
    <w:p w14:paraId="059A0DC6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质量安环部检验员依据材料规范对冷库材料进行抽样检验，重点核查技术指标及解冻风险，2 个工作日内出具《冷库材料质检报告》；</w:t>
      </w:r>
    </w:p>
    <w:p w14:paraId="53C5FE18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检验合格后，冷库管理员在 ERP 系统中录入冷库材料专项信息（含入库温度、存储期限），生成《冷库材料入库单》，按 “批次分区、先进先出” 原则上架存储，在物料包装外张贴冷库专用标识（含物料信息、存储期限）；</w:t>
      </w:r>
    </w:p>
    <w:p w14:paraId="73246D6B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不合格冷库材料（如质量不达标、运输温度超标）由质量安环部标识 “冷库待处理”，存放于冷库专用不合格区，经营发展部需在 3 个工作日内与供应商协商退换货，期间需持续保持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-20℃</w:t>
      </w:r>
      <w:r>
        <w:rPr>
          <w:rFonts w:hint="eastAsia" w:ascii="宋体" w:hAnsi="宋体" w:eastAsia="宋体" w:cs="宋体"/>
          <w:sz w:val="28"/>
          <w:szCs w:val="28"/>
        </w:rPr>
        <w:t>以下存储。</w:t>
      </w:r>
    </w:p>
    <w:p w14:paraId="0061A35D">
      <w:pPr>
        <w:spacing w:beforeLines="50" w:afterLines="50" w:line="440" w:lineRule="exact"/>
        <w:ind w:firstLine="0" w:firstLineChars="0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5.2冷库材料出库管理</w:t>
      </w:r>
    </w:p>
    <w:p w14:paraId="5FCCD7B3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5.2.</w:t>
      </w:r>
      <w:r>
        <w:rPr>
          <w:rFonts w:hint="eastAsia" w:ascii="宋体" w:hAnsi="宋体" w:eastAsia="宋体" w:cs="宋体"/>
          <w:sz w:val="28"/>
          <w:szCs w:val="28"/>
        </w:rPr>
        <w:t>1出库申请与准备</w:t>
      </w:r>
    </w:p>
    <w:p w14:paraId="51FC2580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科研生产部根据生产计划，提前 4 小时向物资保障部提交《冷库材料领用申请单》（含物料名称、规格、数量、领用部门、领用时间）；</w:t>
      </w:r>
    </w:p>
    <w:p w14:paraId="6DDF1B79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物资保障部冷库管理员根据申请单核对冷库材料库存，确认物料在存储期限内且状态完好后，准备专用冷藏转运箱（预冷至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-20℃</w:t>
      </w:r>
      <w:r>
        <w:rPr>
          <w:rFonts w:hint="eastAsia" w:ascii="宋体" w:hAnsi="宋体" w:eastAsia="宋体" w:cs="宋体"/>
          <w:sz w:val="28"/>
          <w:szCs w:val="28"/>
        </w:rPr>
        <w:t>），规划出库路线，减少常温暴露时间。</w:t>
      </w:r>
    </w:p>
    <w:p w14:paraId="0AC705E0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5.2.</w:t>
      </w:r>
      <w:r>
        <w:rPr>
          <w:rFonts w:hint="eastAsia" w:ascii="宋体" w:hAnsi="宋体" w:eastAsia="宋体" w:cs="宋体"/>
          <w:sz w:val="28"/>
          <w:szCs w:val="28"/>
        </w:rPr>
        <w:t>2拣货与交接</w:t>
      </w:r>
    </w:p>
    <w:p w14:paraId="575CEB03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冷库管理员按“先进先出、近效期先出”原则拣货，核对物料标识与申请单信息（名称、规格、批次、数量），确认物料无解冻、包装完好后，放入预冷的冷藏转运箱；</w:t>
      </w:r>
    </w:p>
    <w:p w14:paraId="60DD2821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车间领料员到场后，共同核对物料信息及温度状态（转运箱内温度需保持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-20℃</w:t>
      </w:r>
      <w:r>
        <w:rPr>
          <w:rFonts w:hint="eastAsia" w:ascii="宋体" w:hAnsi="宋体" w:eastAsia="宋体" w:cs="宋体"/>
          <w:sz w:val="28"/>
          <w:szCs w:val="28"/>
        </w:rPr>
        <w:t>以下），双方在FM1207-62B上签字确认；</w:t>
      </w:r>
    </w:p>
    <w:p w14:paraId="0F674F35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出库后，冷库管理员在 ERP 系统中更新库存信息，同步记录出库时间、领用部门、领用人信息。</w:t>
      </w:r>
    </w:p>
    <w:p w14:paraId="08A76541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5.2.</w:t>
      </w:r>
      <w:r>
        <w:rPr>
          <w:rFonts w:hint="eastAsia" w:ascii="宋体" w:hAnsi="宋体" w:eastAsia="宋体" w:cs="宋体"/>
          <w:sz w:val="28"/>
          <w:szCs w:val="28"/>
        </w:rPr>
        <w:t>3冷链配送要求</w:t>
      </w:r>
    </w:p>
    <w:p w14:paraId="10E415C8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若领用部门距离冷库超过 10 分钟路程，需使用公司专用冷藏车配送，全程监控温度（要求不高于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-20℃</w:t>
      </w:r>
      <w:r>
        <w:rPr>
          <w:rFonts w:hint="eastAsia" w:ascii="宋体" w:hAnsi="宋体" w:eastAsia="宋体" w:cs="宋体"/>
          <w:sz w:val="28"/>
          <w:szCs w:val="28"/>
        </w:rPr>
        <w:t>）；</w:t>
      </w:r>
    </w:p>
    <w:p w14:paraId="1146FE6F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配送至生产车间后，领料员需立即将物料转入车间临时低温存储设备（如车间小型冷库、低温冰柜），并反馈冷库管理员 “物料已到位”，确保冷链无中断。</w:t>
      </w:r>
    </w:p>
    <w:p w14:paraId="0D6F58AA">
      <w:pPr>
        <w:spacing w:beforeLines="50" w:afterLines="50" w:line="440" w:lineRule="exact"/>
        <w:ind w:firstLine="0" w:firstLineChars="0"/>
        <w:rPr>
          <w:rFonts w:hint="eastAsia" w:ascii="宋体" w:hAnsi="宋体" w:eastAsia="宋体" w:cs="宋体"/>
          <w:sz w:val="28"/>
          <w:lang w:val="en-US" w:eastAsia="zh-CN"/>
        </w:rPr>
      </w:pPr>
      <w:r>
        <w:rPr>
          <w:rFonts w:hint="eastAsia" w:ascii="宋体" w:hAnsi="宋体" w:eastAsia="宋体" w:cs="宋体"/>
          <w:sz w:val="28"/>
          <w:lang w:val="en-US" w:eastAsia="zh-CN"/>
        </w:rPr>
        <w:t>5.3冷库材料存储管理</w:t>
      </w:r>
    </w:p>
    <w:p w14:paraId="18A3F7BD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5.3.</w:t>
      </w:r>
      <w:r>
        <w:rPr>
          <w:rFonts w:hint="eastAsia" w:ascii="宋体" w:hAnsi="宋体" w:eastAsia="宋体" w:cs="宋体"/>
          <w:sz w:val="28"/>
          <w:szCs w:val="28"/>
        </w:rPr>
        <w:t>1温湿度监控与设备维护</w:t>
      </w:r>
    </w:p>
    <w:p w14:paraId="12E451A2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冷库管理员每日每 2 小时记录一次冷库温湿度（要求温度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-20℃</w:t>
      </w:r>
      <w:r>
        <w:rPr>
          <w:rFonts w:hint="eastAsia" w:ascii="宋体" w:hAnsi="宋体" w:eastAsia="宋体" w:cs="宋体"/>
          <w:sz w:val="28"/>
          <w:szCs w:val="28"/>
        </w:rPr>
        <w:t>以下，湿度无强制要求但需避免结霜），使用自动温湿度记录仪实时监控，数据自动存储备份；</w:t>
      </w:r>
    </w:p>
    <w:p w14:paraId="210B059C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若温湿度超标（温度高于-20℃），立即启动报警装置，同时切换备用制冷系统，30 分钟内将温度降至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-20℃</w:t>
      </w:r>
      <w:r>
        <w:rPr>
          <w:rFonts w:hint="eastAsia" w:ascii="宋体" w:hAnsi="宋体" w:eastAsia="宋体" w:cs="宋体"/>
          <w:sz w:val="28"/>
          <w:szCs w:val="28"/>
        </w:rPr>
        <w:t>以下，并记录异常原因及处理过程；</w:t>
      </w:r>
    </w:p>
    <w:p w14:paraId="42419523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每周检查冷库设备（制冷系统、备用电源、门封条），每月进行一次设备全面维护，确保设备正常运行，维护记录存档备查。</w:t>
      </w:r>
    </w:p>
    <w:p w14:paraId="5698DFC0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5.3.</w:t>
      </w:r>
      <w:r>
        <w:rPr>
          <w:rFonts w:hint="eastAsia" w:ascii="宋体" w:hAnsi="宋体" w:eastAsia="宋体" w:cs="宋体"/>
          <w:sz w:val="28"/>
          <w:szCs w:val="28"/>
        </w:rPr>
        <w:t>2库内管理与清洁</w:t>
      </w:r>
    </w:p>
    <w:p w14:paraId="41768B25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按 “批次分区、品类隔离” 原则划分存储区域，绘制《冷库存储平面图》，明确每个区域的物料类型及批次，避免不同品类物料交叉污染；</w:t>
      </w:r>
    </w:p>
    <w:p w14:paraId="095E35F9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每月进行一次库内清洁，使用专用低温清洁剂擦拭货架及地面，清除冰霜（避免使用尖锐工具损伤设备）；每季度进行一次消杀，防止霉菌滋生，消杀后需通风 2 小时（保持低温状态）方可恢复存储。</w:t>
      </w:r>
    </w:p>
    <w:p w14:paraId="0B8E692C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5.3.</w:t>
      </w:r>
      <w:r>
        <w:rPr>
          <w:rFonts w:hint="eastAsia" w:ascii="宋体" w:hAnsi="宋体" w:eastAsia="宋体" w:cs="宋体"/>
          <w:sz w:val="28"/>
          <w:szCs w:val="28"/>
        </w:rPr>
        <w:t>3安全与损耗管理</w:t>
      </w:r>
    </w:p>
    <w:p w14:paraId="2068048F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冷库入口设置“低温作业安全提示”，进入冷库需穿戴专用防寒服、防寒手套、防滑鞋，单次作业时间不超过 30 分钟（避免冻伤）；</w:t>
      </w:r>
    </w:p>
    <w:p w14:paraId="1E9945CD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冷库内禁止存放非低温物料及易燃易爆物品，配备专用低温消防器材（如二氧化碳灭火器）；</w:t>
      </w:r>
    </w:p>
    <w:p w14:paraId="32BA072E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对过期、解冻变质或损坏的冷库材料，由质量安环部检验员发起报废流程，经财务部审核、分管领导批准后，使用专用密封容器转运至指定报废地点（避免常温下污染），由财务在 ERP 系统中做报废核销。</w:t>
      </w:r>
    </w:p>
    <w:p w14:paraId="79737634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6 流程</w:t>
      </w:r>
    </w:p>
    <w:p w14:paraId="1719B311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2432685"/>
            <wp:effectExtent l="0" t="0" r="3810" b="5715"/>
            <wp:docPr id="2" name="图片 2" descr="031875624abad8176a7082f47d1061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31875624abad8176a7082f47d10617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DB83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bookmarkStart w:id="0" w:name="_Hlk203133622"/>
      <w:r>
        <w:rPr>
          <w:rFonts w:hint="eastAsia" w:ascii="黑体" w:hAnsi="黑体" w:eastAsia="黑体" w:cs="黑体"/>
          <w:sz w:val="28"/>
          <w:lang w:val="en-US" w:eastAsia="zh-CN"/>
        </w:rPr>
        <w:t>7 规定表格</w:t>
      </w:r>
    </w:p>
    <w:bookmarkEnd w:id="0"/>
    <w:p w14:paraId="240026F9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FM1207-62B</w:t>
      </w:r>
    </w:p>
    <w:p w14:paraId="53988DE8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8 记录控制</w:t>
      </w:r>
    </w:p>
    <w:p w14:paraId="6D2B49C6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4"/>
        </w:rPr>
      </w:pPr>
      <w:r>
        <w:rPr>
          <w:rFonts w:hint="eastAsia" w:ascii="宋体" w:hAnsi="宋体" w:eastAsia="宋体" w:cs="宋体"/>
          <w:sz w:val="28"/>
          <w:szCs w:val="24"/>
        </w:rPr>
        <w:t>本制度由</w:t>
      </w:r>
      <w:r>
        <w:rPr>
          <w:rFonts w:hint="eastAsia" w:ascii="宋体" w:hAnsi="宋体" w:eastAsia="宋体" w:cs="宋体"/>
          <w:sz w:val="28"/>
          <w:szCs w:val="24"/>
          <w:lang w:val="en-US" w:eastAsia="zh-CN"/>
        </w:rPr>
        <w:t>物资保障</w:t>
      </w:r>
      <w:r>
        <w:rPr>
          <w:rFonts w:hint="eastAsia" w:ascii="宋体" w:hAnsi="宋体" w:eastAsia="宋体" w:cs="宋体"/>
          <w:sz w:val="28"/>
          <w:szCs w:val="24"/>
        </w:rPr>
        <w:t>部和经营发展部各保存一份，保存期限为长期。</w:t>
      </w:r>
    </w:p>
    <w:p w14:paraId="5F02819F">
      <w:pPr>
        <w:spacing w:line="44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4B8BD2F5">
      <w:pPr>
        <w:spacing w:line="440" w:lineRule="exact"/>
        <w:ind w:firstLine="562" w:firstLineChars="20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3D55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1BB98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1BB98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yMDJmYTRhNDk0OGFiMTQ1ODRhM2U0Mzk4NzA2NWIifQ=="/>
  </w:docVars>
  <w:rsids>
    <w:rsidRoot w:val="00AE600A"/>
    <w:rsid w:val="004E5BCA"/>
    <w:rsid w:val="008F076F"/>
    <w:rsid w:val="00AE600A"/>
    <w:rsid w:val="00BD0E77"/>
    <w:rsid w:val="00C479F3"/>
    <w:rsid w:val="00E404D8"/>
    <w:rsid w:val="00ED7458"/>
    <w:rsid w:val="00FC0B94"/>
    <w:rsid w:val="04056B24"/>
    <w:rsid w:val="0E5D7F10"/>
    <w:rsid w:val="2145331E"/>
    <w:rsid w:val="21461CA4"/>
    <w:rsid w:val="231437B8"/>
    <w:rsid w:val="2B396370"/>
    <w:rsid w:val="38302908"/>
    <w:rsid w:val="661256A7"/>
    <w:rsid w:val="6EAA3143"/>
    <w:rsid w:val="7F5D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spacing w:before="120" w:after="120"/>
      <w:outlineLvl w:val="1"/>
    </w:pPr>
    <w:rPr>
      <w:rFonts w:eastAsia="黑体"/>
      <w:iCs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8"/>
    <w:link w:val="4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3003</Words>
  <Characters>3107</Characters>
  <Lines>24</Lines>
  <Paragraphs>6</Paragraphs>
  <TotalTime>0</TotalTime>
  <ScaleCrop>false</ScaleCrop>
  <LinksUpToDate>false</LinksUpToDate>
  <CharactersWithSpaces>3194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2025-09-07T15:54:00Z</dcterms:created>
  <dc:creator>34178</dc:creator>
  <cp:lastModifiedBy>G</cp:lastModifiedBy>
  <dcterms:modified xsi:type="dcterms:W3CDTF">2025-10-11T08:10:38Z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KSOTemplateDocerSaveRecord">
    <vt:lpwstr>eyJoZGlkIjoiODY5OTQwMTA3MTFmMTcwZGM0ZTkyY2M2Y2I0MmU1M2QiLCJ1c2VySWQiOiIyNTcxMTU0MDAifQ==</vt:lpwstr>
  </property>
  <property fmtid="{D5CDD505-2E9C-101B-9397-08002B2CF9AE}" pid="4" name="ICV">
    <vt:lpwstr>7B49E8FCA19B49D18FA3483EDF4C7516_13</vt:lpwstr>
  </property>
</Properties>
</file>