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13"/>
        <w:gridCol w:w="765"/>
        <w:gridCol w:w="272"/>
        <w:gridCol w:w="666"/>
        <w:gridCol w:w="629"/>
        <w:gridCol w:w="1050"/>
        <w:gridCol w:w="505"/>
        <w:gridCol w:w="559"/>
        <w:gridCol w:w="574"/>
        <w:gridCol w:w="476"/>
        <w:gridCol w:w="1036"/>
        <w:gridCol w:w="481"/>
        <w:gridCol w:w="583"/>
        <w:gridCol w:w="1411"/>
      </w:tblGrid>
      <w:tr w14:paraId="4A03EC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857" w:hRule="atLeast"/>
          <w:jc w:val="center"/>
        </w:trPr>
        <w:tc>
          <w:tcPr>
            <w:tcW w:w="9720" w:type="dxa"/>
            <w:gridSpan w:val="14"/>
            <w:tcBorders>
              <w:top w:val="single" w:color="auto" w:sz="12" w:space="0"/>
              <w:left w:val="single" w:color="auto" w:sz="12" w:space="0"/>
              <w:right w:val="single" w:color="auto" w:sz="12" w:space="0"/>
            </w:tcBorders>
            <w:vAlign w:val="center"/>
          </w:tcPr>
          <w:p w14:paraId="4986B737">
            <w:pPr>
              <w:spacing w:line="360" w:lineRule="auto"/>
              <w:jc w:val="center"/>
              <w:rPr>
                <w:rFonts w:ascii="黑体" w:eastAsia="黑体"/>
                <w:spacing w:val="20"/>
                <w:sz w:val="36"/>
                <w:szCs w:val="36"/>
              </w:rPr>
            </w:pPr>
            <w:r>
              <w:rPr>
                <w:rFonts w:hint="eastAsia" w:ascii="黑体" w:eastAsia="黑体"/>
                <w:spacing w:val="20"/>
                <w:sz w:val="36"/>
                <w:szCs w:val="36"/>
              </w:rPr>
              <w:t>沈阳昌兴复材航空科技有限责任公司</w:t>
            </w:r>
          </w:p>
          <w:p w14:paraId="502F84BB">
            <w:pPr>
              <w:spacing w:line="360" w:lineRule="auto"/>
              <w:jc w:val="center"/>
              <w:rPr>
                <w:rFonts w:ascii="宋体"/>
                <w:spacing w:val="160"/>
                <w:sz w:val="36"/>
                <w:szCs w:val="36"/>
              </w:rPr>
            </w:pPr>
            <w:r>
              <w:rPr>
                <w:rFonts w:hint="eastAsia" w:ascii="黑体" w:eastAsia="黑体"/>
                <w:spacing w:val="20"/>
                <w:sz w:val="36"/>
                <w:szCs w:val="36"/>
              </w:rPr>
              <w:t>制 度 文 件</w:t>
            </w:r>
          </w:p>
        </w:tc>
      </w:tr>
      <w:tr w14:paraId="639FED2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restart"/>
            <w:tcBorders>
              <w:left w:val="single" w:color="auto" w:sz="12" w:space="0"/>
            </w:tcBorders>
            <w:vAlign w:val="center"/>
          </w:tcPr>
          <w:p w14:paraId="138C1A51">
            <w:pPr>
              <w:spacing w:line="400" w:lineRule="exact"/>
              <w:jc w:val="center"/>
              <w:rPr>
                <w:rFonts w:ascii="黑体" w:eastAsia="黑体"/>
                <w:sz w:val="28"/>
                <w:szCs w:val="36"/>
              </w:rPr>
            </w:pPr>
            <w:r>
              <w:rPr>
                <w:rFonts w:hint="eastAsia" w:ascii="黑体" w:eastAsia="黑体"/>
                <w:sz w:val="28"/>
                <w:szCs w:val="36"/>
              </w:rPr>
              <w:t>文件名称</w:t>
            </w:r>
          </w:p>
        </w:tc>
        <w:tc>
          <w:tcPr>
            <w:tcW w:w="3983" w:type="dxa"/>
            <w:gridSpan w:val="6"/>
            <w:vMerge w:val="restart"/>
            <w:vAlign w:val="center"/>
          </w:tcPr>
          <w:p w14:paraId="00DA4396">
            <w:pPr>
              <w:spacing w:line="400" w:lineRule="exact"/>
              <w:jc w:val="center"/>
              <w:rPr>
                <w:rFonts w:ascii="黑体" w:eastAsia="黑体"/>
                <w:sz w:val="28"/>
                <w:szCs w:val="36"/>
              </w:rPr>
            </w:pPr>
            <w:r>
              <w:rPr>
                <w:rFonts w:hint="eastAsia" w:ascii="黑体" w:eastAsia="黑体"/>
                <w:sz w:val="28"/>
                <w:szCs w:val="36"/>
              </w:rPr>
              <w:t>工具量具管理规定</w:t>
            </w:r>
          </w:p>
        </w:tc>
        <w:tc>
          <w:tcPr>
            <w:tcW w:w="1993" w:type="dxa"/>
            <w:gridSpan w:val="3"/>
            <w:tcBorders>
              <w:bottom w:val="single" w:color="auto" w:sz="4" w:space="0"/>
            </w:tcBorders>
            <w:vAlign w:val="center"/>
          </w:tcPr>
          <w:p w14:paraId="505F80C5">
            <w:pPr>
              <w:spacing w:line="400" w:lineRule="exact"/>
              <w:jc w:val="center"/>
              <w:rPr>
                <w:rFonts w:ascii="黑体" w:eastAsia="黑体"/>
                <w:sz w:val="28"/>
                <w:szCs w:val="36"/>
              </w:rPr>
            </w:pPr>
            <w:r>
              <w:rPr>
                <w:rFonts w:hint="eastAsia" w:ascii="黑体" w:eastAsia="黑体"/>
                <w:sz w:val="28"/>
                <w:szCs w:val="36"/>
              </w:rPr>
              <w:t>文件编号</w:t>
            </w:r>
          </w:p>
        </w:tc>
        <w:tc>
          <w:tcPr>
            <w:tcW w:w="1994" w:type="dxa"/>
            <w:gridSpan w:val="2"/>
            <w:tcBorders>
              <w:bottom w:val="single" w:color="auto" w:sz="4" w:space="0"/>
              <w:right w:val="single" w:color="auto" w:sz="12" w:space="0"/>
            </w:tcBorders>
            <w:vAlign w:val="center"/>
          </w:tcPr>
          <w:p w14:paraId="7ADBF701">
            <w:pPr>
              <w:spacing w:line="400" w:lineRule="exact"/>
              <w:jc w:val="center"/>
              <w:rPr>
                <w:rFonts w:hint="eastAsia" w:ascii="黑体" w:eastAsia="黑体"/>
                <w:sz w:val="28"/>
                <w:szCs w:val="36"/>
                <w:lang w:val="en-US" w:eastAsia="zh-CN"/>
              </w:rPr>
            </w:pPr>
            <w:r>
              <w:rPr>
                <w:rFonts w:ascii="黑体" w:eastAsia="黑体"/>
                <w:sz w:val="28"/>
                <w:szCs w:val="36"/>
              </w:rPr>
              <w:t>GLTX-</w:t>
            </w:r>
            <w:r>
              <w:rPr>
                <w:rFonts w:hint="eastAsia" w:ascii="黑体" w:eastAsia="黑体"/>
                <w:sz w:val="28"/>
                <w:szCs w:val="36"/>
              </w:rPr>
              <w:t>WZ</w:t>
            </w:r>
            <w:r>
              <w:rPr>
                <w:rFonts w:ascii="黑体" w:eastAsia="黑体"/>
                <w:sz w:val="28"/>
                <w:szCs w:val="36"/>
              </w:rPr>
              <w:t>-0</w:t>
            </w:r>
            <w:r>
              <w:rPr>
                <w:rFonts w:hint="eastAsia" w:ascii="黑体" w:eastAsia="黑体"/>
                <w:sz w:val="28"/>
                <w:szCs w:val="36"/>
                <w:lang w:val="en-US" w:eastAsia="zh-CN"/>
              </w:rPr>
              <w:t>2</w:t>
            </w:r>
          </w:p>
        </w:tc>
      </w:tr>
      <w:tr w14:paraId="0A50475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continue"/>
            <w:tcBorders>
              <w:left w:val="single" w:color="auto" w:sz="12" w:space="0"/>
            </w:tcBorders>
            <w:vAlign w:val="center"/>
          </w:tcPr>
          <w:p w14:paraId="095AD575">
            <w:pPr>
              <w:spacing w:line="400" w:lineRule="exact"/>
              <w:jc w:val="center"/>
              <w:rPr>
                <w:rFonts w:ascii="黑体" w:eastAsia="黑体"/>
                <w:sz w:val="28"/>
                <w:szCs w:val="36"/>
              </w:rPr>
            </w:pPr>
          </w:p>
        </w:tc>
        <w:tc>
          <w:tcPr>
            <w:tcW w:w="3983" w:type="dxa"/>
            <w:gridSpan w:val="6"/>
            <w:vMerge w:val="continue"/>
            <w:vAlign w:val="center"/>
          </w:tcPr>
          <w:p w14:paraId="084FDBB5">
            <w:pPr>
              <w:spacing w:line="400" w:lineRule="exact"/>
              <w:jc w:val="center"/>
              <w:rPr>
                <w:rFonts w:ascii="黑体" w:eastAsia="黑体"/>
                <w:sz w:val="28"/>
                <w:szCs w:val="36"/>
              </w:rPr>
            </w:pPr>
          </w:p>
        </w:tc>
        <w:tc>
          <w:tcPr>
            <w:tcW w:w="1993" w:type="dxa"/>
            <w:gridSpan w:val="3"/>
            <w:tcBorders>
              <w:top w:val="single" w:color="auto" w:sz="4" w:space="0"/>
            </w:tcBorders>
            <w:vAlign w:val="center"/>
          </w:tcPr>
          <w:p w14:paraId="71B5179D">
            <w:pPr>
              <w:spacing w:line="400" w:lineRule="exact"/>
              <w:jc w:val="center"/>
              <w:rPr>
                <w:rFonts w:hint="eastAsia" w:ascii="黑体" w:eastAsia="黑体"/>
                <w:sz w:val="28"/>
                <w:szCs w:val="36"/>
              </w:rPr>
            </w:pPr>
            <w:r>
              <w:rPr>
                <w:rFonts w:hint="eastAsia" w:ascii="黑体" w:eastAsia="黑体"/>
                <w:sz w:val="28"/>
                <w:szCs w:val="36"/>
              </w:rPr>
              <w:t>版次</w:t>
            </w:r>
          </w:p>
        </w:tc>
        <w:tc>
          <w:tcPr>
            <w:tcW w:w="1994" w:type="dxa"/>
            <w:gridSpan w:val="2"/>
            <w:tcBorders>
              <w:top w:val="single" w:color="auto" w:sz="4" w:space="0"/>
              <w:right w:val="single" w:color="auto" w:sz="12" w:space="0"/>
            </w:tcBorders>
            <w:vAlign w:val="center"/>
          </w:tcPr>
          <w:p w14:paraId="24C6921C">
            <w:pPr>
              <w:spacing w:line="400" w:lineRule="exact"/>
              <w:jc w:val="center"/>
              <w:rPr>
                <w:rFonts w:hint="eastAsia" w:ascii="黑体" w:eastAsia="黑体"/>
                <w:sz w:val="28"/>
                <w:szCs w:val="36"/>
              </w:rPr>
            </w:pPr>
            <w:r>
              <w:rPr>
                <w:rFonts w:hint="eastAsia" w:ascii="黑体" w:eastAsia="黑体"/>
                <w:sz w:val="28"/>
                <w:szCs w:val="36"/>
              </w:rPr>
              <w:t>A</w:t>
            </w:r>
          </w:p>
        </w:tc>
      </w:tr>
      <w:tr w14:paraId="06C3555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continue"/>
            <w:tcBorders>
              <w:left w:val="single" w:color="auto" w:sz="12" w:space="0"/>
            </w:tcBorders>
            <w:vAlign w:val="center"/>
          </w:tcPr>
          <w:p w14:paraId="39D6E8A1">
            <w:pPr>
              <w:spacing w:line="400" w:lineRule="exact"/>
              <w:jc w:val="center"/>
              <w:rPr>
                <w:rFonts w:ascii="黑体" w:eastAsia="黑体"/>
                <w:sz w:val="28"/>
                <w:szCs w:val="36"/>
              </w:rPr>
            </w:pPr>
            <w:bookmarkStart w:id="0" w:name="_GoBack" w:colFirst="5" w:colLast="8"/>
          </w:p>
        </w:tc>
        <w:tc>
          <w:tcPr>
            <w:tcW w:w="3983" w:type="dxa"/>
            <w:gridSpan w:val="6"/>
            <w:vMerge w:val="continue"/>
            <w:vAlign w:val="center"/>
          </w:tcPr>
          <w:p w14:paraId="7CBB9183">
            <w:pPr>
              <w:spacing w:line="400" w:lineRule="exact"/>
              <w:jc w:val="center"/>
              <w:rPr>
                <w:rFonts w:ascii="黑体" w:eastAsia="黑体"/>
                <w:sz w:val="28"/>
                <w:szCs w:val="36"/>
              </w:rPr>
            </w:pPr>
          </w:p>
        </w:tc>
        <w:tc>
          <w:tcPr>
            <w:tcW w:w="1993" w:type="dxa"/>
            <w:gridSpan w:val="3"/>
            <w:tcBorders>
              <w:top w:val="single" w:color="auto" w:sz="4" w:space="0"/>
            </w:tcBorders>
            <w:vAlign w:val="center"/>
          </w:tcPr>
          <w:p w14:paraId="42CA4EA4">
            <w:pPr>
              <w:widowControl w:val="0"/>
              <w:kinsoku/>
              <w:autoSpaceDE/>
              <w:autoSpaceDN/>
              <w:adjustRightInd/>
              <w:snapToGrid/>
              <w:spacing w:line="400" w:lineRule="exact"/>
              <w:jc w:val="center"/>
              <w:textAlignment w:val="auto"/>
              <w:rPr>
                <w:rFonts w:ascii="黑体" w:eastAsia="黑体"/>
                <w:sz w:val="28"/>
                <w:szCs w:val="36"/>
              </w:rPr>
            </w:pPr>
            <w:r>
              <w:rPr>
                <w:rFonts w:hint="eastAsia" w:ascii="黑体" w:eastAsia="黑体" w:hAnsiTheme="minorHAnsi" w:cstheme="minorBidi"/>
                <w:snapToGrid/>
                <w:kern w:val="2"/>
                <w:sz w:val="28"/>
                <w:szCs w:val="36"/>
                <w:lang w:eastAsia="zh-CN"/>
              </w:rPr>
              <w:t>文件类别</w:t>
            </w:r>
          </w:p>
        </w:tc>
        <w:tc>
          <w:tcPr>
            <w:tcW w:w="1994" w:type="dxa"/>
            <w:gridSpan w:val="2"/>
            <w:tcBorders>
              <w:top w:val="single" w:color="auto" w:sz="4" w:space="0"/>
              <w:right w:val="single" w:color="auto" w:sz="12" w:space="0"/>
            </w:tcBorders>
            <w:vAlign w:val="center"/>
          </w:tcPr>
          <w:p w14:paraId="6637D3C0">
            <w:pPr>
              <w:widowControl w:val="0"/>
              <w:kinsoku/>
              <w:autoSpaceDE/>
              <w:autoSpaceDN/>
              <w:adjustRightInd/>
              <w:snapToGrid/>
              <w:spacing w:line="400" w:lineRule="exact"/>
              <w:jc w:val="center"/>
              <w:textAlignment w:val="auto"/>
              <w:rPr>
                <w:rFonts w:ascii="黑体" w:eastAsia="黑体"/>
                <w:sz w:val="28"/>
                <w:szCs w:val="36"/>
              </w:rPr>
            </w:pPr>
            <w:r>
              <w:rPr>
                <w:rFonts w:hint="eastAsia" w:ascii="黑体" w:eastAsia="黑体" w:hAnsiTheme="minorHAnsi" w:cstheme="minorBidi"/>
                <w:snapToGrid/>
                <w:kern w:val="2"/>
                <w:sz w:val="28"/>
                <w:szCs w:val="36"/>
                <w:lang w:eastAsia="zh-CN"/>
              </w:rPr>
              <w:t>管理规定</w:t>
            </w:r>
          </w:p>
        </w:tc>
      </w:tr>
      <w:bookmarkEnd w:id="0"/>
      <w:tr w14:paraId="35AA7B6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750" w:type="dxa"/>
            <w:gridSpan w:val="3"/>
            <w:tcBorders>
              <w:left w:val="single" w:color="auto" w:sz="12" w:space="0"/>
            </w:tcBorders>
            <w:vAlign w:val="center"/>
          </w:tcPr>
          <w:p w14:paraId="0EAE270E">
            <w:pPr>
              <w:spacing w:line="400" w:lineRule="exact"/>
              <w:jc w:val="center"/>
              <w:rPr>
                <w:rFonts w:ascii="黑体" w:eastAsia="黑体"/>
                <w:sz w:val="28"/>
                <w:szCs w:val="36"/>
              </w:rPr>
            </w:pPr>
            <w:r>
              <w:rPr>
                <w:rFonts w:hint="eastAsia" w:ascii="黑体" w:eastAsia="黑体"/>
                <w:sz w:val="28"/>
                <w:szCs w:val="36"/>
              </w:rPr>
              <w:t>发文部门</w:t>
            </w:r>
          </w:p>
        </w:tc>
        <w:tc>
          <w:tcPr>
            <w:tcW w:w="2345" w:type="dxa"/>
            <w:gridSpan w:val="3"/>
            <w:vAlign w:val="center"/>
          </w:tcPr>
          <w:p w14:paraId="4A1CF0E5">
            <w:pPr>
              <w:spacing w:line="400" w:lineRule="exact"/>
              <w:jc w:val="center"/>
              <w:rPr>
                <w:rFonts w:ascii="黑体" w:eastAsia="黑体"/>
                <w:sz w:val="28"/>
                <w:szCs w:val="36"/>
              </w:rPr>
            </w:pPr>
            <w:r>
              <w:rPr>
                <w:rFonts w:hint="eastAsia" w:ascii="黑体" w:eastAsia="黑体"/>
                <w:sz w:val="28"/>
                <w:szCs w:val="36"/>
              </w:rPr>
              <w:t>物资保障部</w:t>
            </w:r>
          </w:p>
        </w:tc>
        <w:tc>
          <w:tcPr>
            <w:tcW w:w="1638" w:type="dxa"/>
            <w:gridSpan w:val="3"/>
            <w:vAlign w:val="center"/>
          </w:tcPr>
          <w:p w14:paraId="53524C7E">
            <w:pPr>
              <w:spacing w:line="400" w:lineRule="exact"/>
              <w:jc w:val="center"/>
              <w:rPr>
                <w:rFonts w:ascii="黑体" w:eastAsia="黑体"/>
                <w:sz w:val="28"/>
                <w:szCs w:val="36"/>
              </w:rPr>
            </w:pPr>
            <w:r>
              <w:rPr>
                <w:rFonts w:hint="eastAsia" w:ascii="黑体" w:eastAsia="黑体"/>
                <w:sz w:val="28"/>
                <w:szCs w:val="36"/>
              </w:rPr>
              <w:t>共</w:t>
            </w:r>
            <w:r>
              <w:rPr>
                <w:rFonts w:hint="eastAsia" w:ascii="黑体" w:eastAsia="黑体"/>
                <w:sz w:val="28"/>
                <w:szCs w:val="36"/>
                <w:lang w:val="en-US" w:eastAsia="zh-CN"/>
              </w:rPr>
              <w:t>9</w:t>
            </w:r>
            <w:r>
              <w:rPr>
                <w:rFonts w:hint="eastAsia" w:ascii="黑体" w:eastAsia="黑体"/>
                <w:sz w:val="28"/>
                <w:szCs w:val="36"/>
              </w:rPr>
              <w:t>页</w:t>
            </w:r>
          </w:p>
        </w:tc>
        <w:tc>
          <w:tcPr>
            <w:tcW w:w="1993" w:type="dxa"/>
            <w:gridSpan w:val="3"/>
            <w:vAlign w:val="center"/>
          </w:tcPr>
          <w:p w14:paraId="174D6CAC">
            <w:pPr>
              <w:spacing w:line="400" w:lineRule="exact"/>
              <w:jc w:val="center"/>
              <w:rPr>
                <w:rFonts w:ascii="黑体" w:eastAsia="黑体"/>
                <w:sz w:val="28"/>
                <w:szCs w:val="36"/>
              </w:rPr>
            </w:pPr>
            <w:r>
              <w:rPr>
                <w:rFonts w:hint="eastAsia" w:ascii="黑体" w:eastAsia="黑体"/>
                <w:sz w:val="28"/>
                <w:szCs w:val="36"/>
              </w:rPr>
              <w:t>实施日期</w:t>
            </w:r>
          </w:p>
        </w:tc>
        <w:tc>
          <w:tcPr>
            <w:tcW w:w="1994" w:type="dxa"/>
            <w:gridSpan w:val="2"/>
            <w:tcBorders>
              <w:right w:val="single" w:color="auto" w:sz="12" w:space="0"/>
            </w:tcBorders>
            <w:vAlign w:val="center"/>
          </w:tcPr>
          <w:p w14:paraId="104EAF5F">
            <w:pPr>
              <w:spacing w:line="400" w:lineRule="exact"/>
              <w:jc w:val="center"/>
              <w:rPr>
                <w:rFonts w:hint="default" w:ascii="黑体" w:eastAsia="黑体"/>
                <w:sz w:val="28"/>
                <w:szCs w:val="36"/>
                <w:lang w:val="en-US" w:eastAsia="zh-CN"/>
              </w:rPr>
            </w:pPr>
            <w:r>
              <w:rPr>
                <w:rFonts w:hint="eastAsia" w:ascii="黑体" w:eastAsia="黑体"/>
                <w:sz w:val="28"/>
                <w:szCs w:val="36"/>
              </w:rPr>
              <w:t>2025-</w:t>
            </w:r>
            <w:r>
              <w:rPr>
                <w:rFonts w:hint="eastAsia" w:ascii="黑体" w:eastAsia="黑体"/>
                <w:sz w:val="28"/>
                <w:szCs w:val="36"/>
                <w:lang w:val="en-US" w:eastAsia="zh-CN"/>
              </w:rPr>
              <w:t>10-11</w:t>
            </w:r>
          </w:p>
        </w:tc>
      </w:tr>
      <w:tr w14:paraId="0565679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9720" w:type="dxa"/>
            <w:gridSpan w:val="14"/>
            <w:tcBorders>
              <w:left w:val="single" w:color="auto" w:sz="12" w:space="0"/>
              <w:right w:val="single" w:color="auto" w:sz="12" w:space="0"/>
            </w:tcBorders>
            <w:vAlign w:val="center"/>
          </w:tcPr>
          <w:p w14:paraId="684DA2A4">
            <w:pPr>
              <w:jc w:val="center"/>
              <w:rPr>
                <w:rFonts w:ascii="宋体"/>
                <w:kern w:val="0"/>
                <w:sz w:val="32"/>
                <w:szCs w:val="32"/>
              </w:rPr>
            </w:pPr>
            <w:r>
              <w:rPr>
                <w:rFonts w:hint="eastAsia" w:ascii="宋体" w:hAnsi="Times" w:eastAsia="宋体" w:cs="Times New Roman"/>
                <w:bCs/>
                <w:sz w:val="24"/>
                <w:szCs w:val="28"/>
              </w:rPr>
              <w:t>更    改    记    录</w:t>
            </w:r>
          </w:p>
        </w:tc>
      </w:tr>
      <w:tr w14:paraId="45A9C5E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2416" w:type="dxa"/>
            <w:gridSpan w:val="4"/>
            <w:tcBorders>
              <w:left w:val="single" w:color="auto" w:sz="12" w:space="0"/>
              <w:bottom w:val="single" w:color="auto" w:sz="6" w:space="0"/>
            </w:tcBorders>
            <w:vAlign w:val="center"/>
          </w:tcPr>
          <w:p w14:paraId="1E42CE11">
            <w:pPr>
              <w:jc w:val="center"/>
              <w:rPr>
                <w:rFonts w:ascii="宋体"/>
                <w:kern w:val="0"/>
                <w:sz w:val="32"/>
                <w:szCs w:val="32"/>
              </w:rPr>
            </w:pPr>
            <w:r>
              <w:rPr>
                <w:rFonts w:hint="eastAsia" w:ascii="宋体" w:hAnsi="Times" w:eastAsia="宋体" w:cs="Times New Roman"/>
                <w:bCs/>
                <w:sz w:val="24"/>
                <w:szCs w:val="28"/>
              </w:rPr>
              <w:t>序号</w:t>
            </w:r>
          </w:p>
        </w:tc>
        <w:tc>
          <w:tcPr>
            <w:tcW w:w="2184" w:type="dxa"/>
            <w:gridSpan w:val="3"/>
            <w:tcBorders>
              <w:bottom w:val="single" w:color="auto" w:sz="6" w:space="0"/>
            </w:tcBorders>
            <w:vAlign w:val="center"/>
          </w:tcPr>
          <w:p w14:paraId="03E811FC">
            <w:pPr>
              <w:jc w:val="center"/>
              <w:rPr>
                <w:rFonts w:ascii="宋体"/>
                <w:kern w:val="0"/>
                <w:sz w:val="32"/>
                <w:szCs w:val="32"/>
              </w:rPr>
            </w:pPr>
            <w:r>
              <w:rPr>
                <w:rFonts w:hint="eastAsia" w:ascii="宋体" w:hAnsi="Times" w:eastAsia="宋体" w:cs="Times New Roman"/>
                <w:bCs/>
                <w:sz w:val="24"/>
                <w:szCs w:val="28"/>
              </w:rPr>
              <w:t>更改单编号</w:t>
            </w:r>
          </w:p>
        </w:tc>
        <w:tc>
          <w:tcPr>
            <w:tcW w:w="2645" w:type="dxa"/>
            <w:gridSpan w:val="4"/>
            <w:tcBorders>
              <w:bottom w:val="single" w:color="auto" w:sz="6" w:space="0"/>
            </w:tcBorders>
            <w:vAlign w:val="center"/>
          </w:tcPr>
          <w:p w14:paraId="79069FAC">
            <w:pPr>
              <w:jc w:val="center"/>
              <w:rPr>
                <w:rFonts w:ascii="宋体"/>
                <w:kern w:val="0"/>
                <w:sz w:val="32"/>
                <w:szCs w:val="32"/>
              </w:rPr>
            </w:pPr>
            <w:r>
              <w:rPr>
                <w:rFonts w:hint="eastAsia" w:ascii="宋体" w:hAnsi="Times" w:eastAsia="宋体" w:cs="Times New Roman"/>
                <w:bCs/>
                <w:sz w:val="24"/>
                <w:szCs w:val="28"/>
              </w:rPr>
              <w:t>更改者签字</w:t>
            </w:r>
          </w:p>
        </w:tc>
        <w:tc>
          <w:tcPr>
            <w:tcW w:w="2475" w:type="dxa"/>
            <w:gridSpan w:val="3"/>
            <w:tcBorders>
              <w:bottom w:val="single" w:color="auto" w:sz="6" w:space="0"/>
              <w:right w:val="single" w:color="auto" w:sz="12" w:space="0"/>
            </w:tcBorders>
            <w:vAlign w:val="center"/>
          </w:tcPr>
          <w:p w14:paraId="0E28935B">
            <w:pPr>
              <w:jc w:val="center"/>
              <w:rPr>
                <w:rFonts w:ascii="宋体"/>
                <w:kern w:val="0"/>
                <w:sz w:val="32"/>
                <w:szCs w:val="32"/>
              </w:rPr>
            </w:pPr>
            <w:r>
              <w:rPr>
                <w:rFonts w:hint="eastAsia" w:ascii="宋体" w:hAnsi="Times" w:eastAsia="宋体" w:cs="Times New Roman"/>
                <w:bCs/>
                <w:sz w:val="24"/>
                <w:szCs w:val="28"/>
              </w:rPr>
              <w:t>更改日期</w:t>
            </w:r>
          </w:p>
        </w:tc>
      </w:tr>
      <w:tr w14:paraId="4B8C4E5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1D1AF3F6">
            <w:pPr>
              <w:jc w:val="center"/>
              <w:rPr>
                <w:rFonts w:ascii="宋体"/>
              </w:rPr>
            </w:pPr>
          </w:p>
        </w:tc>
        <w:tc>
          <w:tcPr>
            <w:tcW w:w="2184" w:type="dxa"/>
            <w:gridSpan w:val="3"/>
            <w:tcBorders>
              <w:left w:val="single" w:color="auto" w:sz="6" w:space="0"/>
              <w:right w:val="single" w:color="auto" w:sz="6" w:space="0"/>
            </w:tcBorders>
            <w:vAlign w:val="center"/>
          </w:tcPr>
          <w:p w14:paraId="2E0DD632">
            <w:pPr>
              <w:jc w:val="center"/>
              <w:rPr>
                <w:rFonts w:ascii="宋体"/>
              </w:rPr>
            </w:pPr>
          </w:p>
        </w:tc>
        <w:tc>
          <w:tcPr>
            <w:tcW w:w="2645" w:type="dxa"/>
            <w:gridSpan w:val="4"/>
            <w:tcBorders>
              <w:left w:val="single" w:color="auto" w:sz="6" w:space="0"/>
              <w:right w:val="single" w:color="auto" w:sz="6" w:space="0"/>
            </w:tcBorders>
            <w:vAlign w:val="center"/>
          </w:tcPr>
          <w:p w14:paraId="63DF0DFC">
            <w:pPr>
              <w:jc w:val="center"/>
              <w:rPr>
                <w:rFonts w:ascii="宋体"/>
              </w:rPr>
            </w:pPr>
          </w:p>
        </w:tc>
        <w:tc>
          <w:tcPr>
            <w:tcW w:w="2475" w:type="dxa"/>
            <w:gridSpan w:val="3"/>
            <w:tcBorders>
              <w:left w:val="single" w:color="auto" w:sz="6" w:space="0"/>
              <w:right w:val="single" w:color="auto" w:sz="12" w:space="0"/>
            </w:tcBorders>
            <w:vAlign w:val="center"/>
          </w:tcPr>
          <w:p w14:paraId="7F2863DF">
            <w:pPr>
              <w:jc w:val="center"/>
              <w:rPr>
                <w:rFonts w:ascii="宋体"/>
              </w:rPr>
            </w:pPr>
          </w:p>
        </w:tc>
      </w:tr>
      <w:tr w14:paraId="3A3E92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60A6EC12">
            <w:pPr>
              <w:jc w:val="center"/>
              <w:rPr>
                <w:rFonts w:ascii="宋体"/>
              </w:rPr>
            </w:pPr>
          </w:p>
        </w:tc>
        <w:tc>
          <w:tcPr>
            <w:tcW w:w="2184" w:type="dxa"/>
            <w:gridSpan w:val="3"/>
            <w:tcBorders>
              <w:left w:val="single" w:color="auto" w:sz="6" w:space="0"/>
              <w:right w:val="single" w:color="auto" w:sz="6" w:space="0"/>
            </w:tcBorders>
            <w:vAlign w:val="center"/>
          </w:tcPr>
          <w:p w14:paraId="7EBB67C5">
            <w:pPr>
              <w:jc w:val="center"/>
              <w:rPr>
                <w:rFonts w:ascii="宋体"/>
              </w:rPr>
            </w:pPr>
          </w:p>
        </w:tc>
        <w:tc>
          <w:tcPr>
            <w:tcW w:w="2645" w:type="dxa"/>
            <w:gridSpan w:val="4"/>
            <w:tcBorders>
              <w:left w:val="single" w:color="auto" w:sz="6" w:space="0"/>
              <w:right w:val="single" w:color="auto" w:sz="6" w:space="0"/>
            </w:tcBorders>
            <w:vAlign w:val="center"/>
          </w:tcPr>
          <w:p w14:paraId="7688ECB8">
            <w:pPr>
              <w:jc w:val="center"/>
              <w:rPr>
                <w:rFonts w:ascii="宋体"/>
              </w:rPr>
            </w:pPr>
          </w:p>
        </w:tc>
        <w:tc>
          <w:tcPr>
            <w:tcW w:w="2475" w:type="dxa"/>
            <w:gridSpan w:val="3"/>
            <w:tcBorders>
              <w:left w:val="single" w:color="auto" w:sz="6" w:space="0"/>
              <w:right w:val="single" w:color="auto" w:sz="12" w:space="0"/>
            </w:tcBorders>
            <w:vAlign w:val="center"/>
          </w:tcPr>
          <w:p w14:paraId="7DEE4E4B">
            <w:pPr>
              <w:jc w:val="center"/>
              <w:rPr>
                <w:rFonts w:ascii="宋体"/>
              </w:rPr>
            </w:pPr>
          </w:p>
        </w:tc>
      </w:tr>
      <w:tr w14:paraId="39C8F90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0D833657">
            <w:pPr>
              <w:jc w:val="center"/>
              <w:rPr>
                <w:rFonts w:ascii="宋体"/>
              </w:rPr>
            </w:pPr>
          </w:p>
        </w:tc>
        <w:tc>
          <w:tcPr>
            <w:tcW w:w="2184" w:type="dxa"/>
            <w:gridSpan w:val="3"/>
            <w:tcBorders>
              <w:left w:val="single" w:color="auto" w:sz="6" w:space="0"/>
              <w:right w:val="single" w:color="auto" w:sz="6" w:space="0"/>
            </w:tcBorders>
            <w:vAlign w:val="center"/>
          </w:tcPr>
          <w:p w14:paraId="7DC84E91">
            <w:pPr>
              <w:jc w:val="center"/>
              <w:rPr>
                <w:rFonts w:ascii="宋体"/>
              </w:rPr>
            </w:pPr>
          </w:p>
        </w:tc>
        <w:tc>
          <w:tcPr>
            <w:tcW w:w="2645" w:type="dxa"/>
            <w:gridSpan w:val="4"/>
            <w:tcBorders>
              <w:left w:val="single" w:color="auto" w:sz="6" w:space="0"/>
              <w:right w:val="single" w:color="auto" w:sz="6" w:space="0"/>
            </w:tcBorders>
            <w:vAlign w:val="center"/>
          </w:tcPr>
          <w:p w14:paraId="087AFBE7">
            <w:pPr>
              <w:jc w:val="center"/>
              <w:rPr>
                <w:rFonts w:ascii="宋体"/>
              </w:rPr>
            </w:pPr>
          </w:p>
        </w:tc>
        <w:tc>
          <w:tcPr>
            <w:tcW w:w="2475" w:type="dxa"/>
            <w:gridSpan w:val="3"/>
            <w:tcBorders>
              <w:left w:val="single" w:color="auto" w:sz="6" w:space="0"/>
              <w:right w:val="single" w:color="auto" w:sz="12" w:space="0"/>
            </w:tcBorders>
            <w:vAlign w:val="center"/>
          </w:tcPr>
          <w:p w14:paraId="711E7DB2">
            <w:pPr>
              <w:jc w:val="center"/>
              <w:rPr>
                <w:rFonts w:ascii="宋体"/>
              </w:rPr>
            </w:pPr>
          </w:p>
        </w:tc>
      </w:tr>
      <w:tr w14:paraId="4B7EFEF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6E060942">
            <w:pPr>
              <w:jc w:val="center"/>
              <w:rPr>
                <w:rFonts w:ascii="宋体"/>
              </w:rPr>
            </w:pPr>
          </w:p>
        </w:tc>
        <w:tc>
          <w:tcPr>
            <w:tcW w:w="2184" w:type="dxa"/>
            <w:gridSpan w:val="3"/>
            <w:tcBorders>
              <w:left w:val="single" w:color="auto" w:sz="6" w:space="0"/>
              <w:right w:val="single" w:color="auto" w:sz="6" w:space="0"/>
            </w:tcBorders>
            <w:vAlign w:val="center"/>
          </w:tcPr>
          <w:p w14:paraId="789E1E03">
            <w:pPr>
              <w:jc w:val="center"/>
              <w:rPr>
                <w:rFonts w:ascii="宋体"/>
              </w:rPr>
            </w:pPr>
          </w:p>
        </w:tc>
        <w:tc>
          <w:tcPr>
            <w:tcW w:w="2645" w:type="dxa"/>
            <w:gridSpan w:val="4"/>
            <w:tcBorders>
              <w:left w:val="single" w:color="auto" w:sz="6" w:space="0"/>
              <w:right w:val="single" w:color="auto" w:sz="6" w:space="0"/>
            </w:tcBorders>
            <w:vAlign w:val="center"/>
          </w:tcPr>
          <w:p w14:paraId="64F24ECD">
            <w:pPr>
              <w:jc w:val="center"/>
              <w:rPr>
                <w:rFonts w:ascii="宋体"/>
              </w:rPr>
            </w:pPr>
          </w:p>
        </w:tc>
        <w:tc>
          <w:tcPr>
            <w:tcW w:w="2475" w:type="dxa"/>
            <w:gridSpan w:val="3"/>
            <w:tcBorders>
              <w:left w:val="single" w:color="auto" w:sz="6" w:space="0"/>
              <w:right w:val="single" w:color="auto" w:sz="12" w:space="0"/>
            </w:tcBorders>
            <w:vAlign w:val="center"/>
          </w:tcPr>
          <w:p w14:paraId="3EC5F619">
            <w:pPr>
              <w:jc w:val="center"/>
              <w:rPr>
                <w:rFonts w:ascii="宋体"/>
              </w:rPr>
            </w:pPr>
          </w:p>
        </w:tc>
      </w:tr>
      <w:tr w14:paraId="705092A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4"/>
            <w:tcBorders>
              <w:left w:val="single" w:color="auto" w:sz="12" w:space="0"/>
              <w:right w:val="single" w:color="auto" w:sz="12" w:space="0"/>
            </w:tcBorders>
            <w:vAlign w:val="center"/>
          </w:tcPr>
          <w:p w14:paraId="591AB2F7">
            <w:pPr>
              <w:jc w:val="center"/>
              <w:rPr>
                <w:rFonts w:ascii="宋体"/>
                <w:spacing w:val="100"/>
                <w:sz w:val="24"/>
              </w:rPr>
            </w:pPr>
            <w:r>
              <w:rPr>
                <w:rFonts w:hint="eastAsia" w:ascii="宋体"/>
                <w:spacing w:val="100"/>
                <w:sz w:val="24"/>
              </w:rPr>
              <w:t>分发路线</w:t>
            </w:r>
          </w:p>
        </w:tc>
      </w:tr>
      <w:tr w14:paraId="13C83CA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713" w:type="dxa"/>
            <w:tcBorders>
              <w:left w:val="single" w:color="auto" w:sz="12" w:space="0"/>
            </w:tcBorders>
            <w:vAlign w:val="center"/>
          </w:tcPr>
          <w:p w14:paraId="5E172A92">
            <w:pPr>
              <w:jc w:val="center"/>
              <w:rPr>
                <w:rFonts w:ascii="宋体"/>
                <w:spacing w:val="50"/>
                <w:sz w:val="22"/>
                <w:szCs w:val="22"/>
              </w:rPr>
            </w:pPr>
            <w:r>
              <w:rPr>
                <w:rFonts w:hint="eastAsia" w:ascii="宋体"/>
                <w:spacing w:val="50"/>
                <w:sz w:val="22"/>
                <w:szCs w:val="22"/>
              </w:rPr>
              <w:t>部门</w:t>
            </w:r>
          </w:p>
        </w:tc>
        <w:tc>
          <w:tcPr>
            <w:tcW w:w="1037" w:type="dxa"/>
            <w:gridSpan w:val="2"/>
            <w:vAlign w:val="center"/>
          </w:tcPr>
          <w:p w14:paraId="39C9007A">
            <w:pPr>
              <w:jc w:val="center"/>
              <w:rPr>
                <w:rFonts w:ascii="宋体"/>
                <w:spacing w:val="50"/>
                <w:sz w:val="22"/>
                <w:szCs w:val="22"/>
              </w:rPr>
            </w:pPr>
            <w:r>
              <w:rPr>
                <w:rFonts w:hint="eastAsia" w:ascii="宋体"/>
                <w:spacing w:val="50"/>
                <w:sz w:val="22"/>
                <w:szCs w:val="22"/>
              </w:rPr>
              <w:t>经营</w:t>
            </w:r>
          </w:p>
          <w:p w14:paraId="6F240F33">
            <w:pPr>
              <w:jc w:val="center"/>
              <w:rPr>
                <w:rFonts w:ascii="宋体"/>
                <w:spacing w:val="50"/>
                <w:sz w:val="22"/>
                <w:szCs w:val="22"/>
              </w:rPr>
            </w:pPr>
            <w:r>
              <w:rPr>
                <w:rFonts w:hint="eastAsia" w:ascii="宋体"/>
                <w:spacing w:val="50"/>
                <w:sz w:val="22"/>
                <w:szCs w:val="22"/>
              </w:rPr>
              <w:t>发展部</w:t>
            </w:r>
          </w:p>
        </w:tc>
        <w:tc>
          <w:tcPr>
            <w:tcW w:w="1295" w:type="dxa"/>
            <w:gridSpan w:val="2"/>
            <w:vAlign w:val="center"/>
          </w:tcPr>
          <w:p w14:paraId="55681149">
            <w:pPr>
              <w:jc w:val="center"/>
              <w:rPr>
                <w:rFonts w:ascii="宋体"/>
                <w:spacing w:val="50"/>
                <w:sz w:val="22"/>
                <w:szCs w:val="22"/>
              </w:rPr>
            </w:pPr>
            <w:r>
              <w:rPr>
                <w:rFonts w:hint="eastAsia" w:ascii="宋体"/>
                <w:spacing w:val="50"/>
                <w:sz w:val="22"/>
                <w:szCs w:val="22"/>
              </w:rPr>
              <w:t>行政</w:t>
            </w:r>
          </w:p>
          <w:p w14:paraId="146BFDCE">
            <w:pPr>
              <w:jc w:val="center"/>
              <w:rPr>
                <w:rFonts w:ascii="宋体"/>
                <w:spacing w:val="50"/>
                <w:sz w:val="22"/>
                <w:szCs w:val="22"/>
              </w:rPr>
            </w:pPr>
            <w:r>
              <w:rPr>
                <w:rFonts w:hint="eastAsia" w:ascii="宋体"/>
                <w:spacing w:val="50"/>
                <w:sz w:val="22"/>
                <w:szCs w:val="22"/>
              </w:rPr>
              <w:t>人事部</w:t>
            </w:r>
          </w:p>
        </w:tc>
        <w:tc>
          <w:tcPr>
            <w:tcW w:w="1050" w:type="dxa"/>
            <w:vAlign w:val="center"/>
          </w:tcPr>
          <w:p w14:paraId="0DF48AFA">
            <w:pPr>
              <w:jc w:val="center"/>
              <w:rPr>
                <w:rFonts w:ascii="宋体"/>
                <w:spacing w:val="50"/>
                <w:sz w:val="22"/>
                <w:szCs w:val="22"/>
              </w:rPr>
            </w:pPr>
            <w:r>
              <w:rPr>
                <w:rFonts w:hint="eastAsia" w:ascii="宋体"/>
                <w:spacing w:val="50"/>
                <w:sz w:val="22"/>
                <w:szCs w:val="22"/>
              </w:rPr>
              <w:t>工程</w:t>
            </w:r>
          </w:p>
          <w:p w14:paraId="798442B4">
            <w:pPr>
              <w:jc w:val="center"/>
              <w:rPr>
                <w:rFonts w:ascii="宋体"/>
                <w:spacing w:val="50"/>
                <w:sz w:val="22"/>
                <w:szCs w:val="22"/>
              </w:rPr>
            </w:pPr>
            <w:r>
              <w:rPr>
                <w:rFonts w:hint="eastAsia" w:ascii="宋体"/>
                <w:spacing w:val="50"/>
                <w:sz w:val="22"/>
                <w:szCs w:val="22"/>
              </w:rPr>
              <w:t>技术部</w:t>
            </w:r>
          </w:p>
        </w:tc>
        <w:tc>
          <w:tcPr>
            <w:tcW w:w="1064" w:type="dxa"/>
            <w:gridSpan w:val="2"/>
            <w:vAlign w:val="center"/>
          </w:tcPr>
          <w:p w14:paraId="61FFE1D5">
            <w:pPr>
              <w:jc w:val="center"/>
              <w:rPr>
                <w:rFonts w:ascii="宋体"/>
                <w:spacing w:val="50"/>
                <w:sz w:val="22"/>
                <w:szCs w:val="22"/>
              </w:rPr>
            </w:pPr>
            <w:r>
              <w:rPr>
                <w:rFonts w:hint="eastAsia" w:ascii="宋体"/>
                <w:spacing w:val="50"/>
                <w:sz w:val="22"/>
                <w:szCs w:val="22"/>
              </w:rPr>
              <w:t>财务部</w:t>
            </w:r>
          </w:p>
        </w:tc>
        <w:tc>
          <w:tcPr>
            <w:tcW w:w="1050" w:type="dxa"/>
            <w:gridSpan w:val="2"/>
            <w:vAlign w:val="center"/>
          </w:tcPr>
          <w:p w14:paraId="30879EB1">
            <w:pPr>
              <w:jc w:val="center"/>
              <w:rPr>
                <w:rFonts w:ascii="宋体"/>
                <w:spacing w:val="50"/>
                <w:sz w:val="22"/>
                <w:szCs w:val="22"/>
              </w:rPr>
            </w:pPr>
            <w:r>
              <w:rPr>
                <w:rFonts w:hint="eastAsia" w:ascii="宋体"/>
                <w:spacing w:val="50"/>
                <w:sz w:val="22"/>
                <w:szCs w:val="22"/>
              </w:rPr>
              <w:t>质量</w:t>
            </w:r>
          </w:p>
          <w:p w14:paraId="5DDFBEDF">
            <w:pPr>
              <w:jc w:val="center"/>
              <w:rPr>
                <w:rFonts w:ascii="宋体"/>
                <w:spacing w:val="50"/>
                <w:sz w:val="22"/>
                <w:szCs w:val="22"/>
              </w:rPr>
            </w:pPr>
            <w:r>
              <w:rPr>
                <w:rFonts w:hint="eastAsia" w:ascii="宋体"/>
                <w:spacing w:val="50"/>
                <w:sz w:val="22"/>
                <w:szCs w:val="22"/>
              </w:rPr>
              <w:t>安环部</w:t>
            </w:r>
          </w:p>
        </w:tc>
        <w:tc>
          <w:tcPr>
            <w:tcW w:w="1036" w:type="dxa"/>
            <w:vAlign w:val="center"/>
          </w:tcPr>
          <w:p w14:paraId="66A0BBE1">
            <w:pPr>
              <w:jc w:val="center"/>
              <w:rPr>
                <w:rFonts w:hint="eastAsia" w:ascii="宋体"/>
                <w:spacing w:val="50"/>
                <w:sz w:val="22"/>
                <w:szCs w:val="22"/>
                <w:lang w:val="en-US" w:eastAsia="zh-CN"/>
              </w:rPr>
            </w:pPr>
            <w:r>
              <w:rPr>
                <w:rFonts w:hint="eastAsia" w:ascii="宋体"/>
                <w:spacing w:val="50"/>
                <w:sz w:val="22"/>
                <w:szCs w:val="22"/>
                <w:lang w:val="en-US" w:eastAsia="zh-CN"/>
              </w:rPr>
              <w:t>项目</w:t>
            </w:r>
          </w:p>
          <w:p w14:paraId="7FFD93BE">
            <w:pPr>
              <w:jc w:val="center"/>
              <w:rPr>
                <w:rFonts w:hint="default" w:ascii="宋体" w:eastAsiaTheme="minorEastAsia"/>
                <w:spacing w:val="50"/>
                <w:sz w:val="22"/>
                <w:szCs w:val="22"/>
                <w:lang w:val="en-US" w:eastAsia="zh-CN"/>
              </w:rPr>
            </w:pPr>
            <w:r>
              <w:rPr>
                <w:rFonts w:hint="eastAsia" w:ascii="宋体"/>
                <w:spacing w:val="50"/>
                <w:sz w:val="22"/>
                <w:szCs w:val="22"/>
                <w:lang w:val="en-US" w:eastAsia="zh-CN"/>
              </w:rPr>
              <w:t>管理部</w:t>
            </w:r>
          </w:p>
        </w:tc>
        <w:tc>
          <w:tcPr>
            <w:tcW w:w="1064" w:type="dxa"/>
            <w:gridSpan w:val="2"/>
            <w:vAlign w:val="center"/>
          </w:tcPr>
          <w:p w14:paraId="3E19D6A3">
            <w:pPr>
              <w:jc w:val="center"/>
              <w:rPr>
                <w:rFonts w:ascii="宋体"/>
                <w:spacing w:val="50"/>
                <w:sz w:val="22"/>
                <w:szCs w:val="22"/>
              </w:rPr>
            </w:pPr>
            <w:r>
              <w:rPr>
                <w:rFonts w:hint="eastAsia" w:ascii="宋体"/>
                <w:spacing w:val="50"/>
                <w:sz w:val="22"/>
                <w:szCs w:val="22"/>
              </w:rPr>
              <w:t>物资</w:t>
            </w:r>
          </w:p>
          <w:p w14:paraId="004BF360">
            <w:pPr>
              <w:jc w:val="center"/>
              <w:rPr>
                <w:rFonts w:ascii="宋体"/>
                <w:spacing w:val="50"/>
                <w:sz w:val="22"/>
                <w:szCs w:val="22"/>
              </w:rPr>
            </w:pPr>
            <w:r>
              <w:rPr>
                <w:rFonts w:hint="eastAsia" w:ascii="宋体"/>
                <w:spacing w:val="50"/>
                <w:sz w:val="22"/>
                <w:szCs w:val="22"/>
              </w:rPr>
              <w:t>保障部</w:t>
            </w:r>
          </w:p>
        </w:tc>
        <w:tc>
          <w:tcPr>
            <w:tcW w:w="1411" w:type="dxa"/>
            <w:tcBorders>
              <w:right w:val="single" w:color="auto" w:sz="12" w:space="0"/>
            </w:tcBorders>
            <w:vAlign w:val="center"/>
          </w:tcPr>
          <w:p w14:paraId="7CC45A46">
            <w:pPr>
              <w:jc w:val="center"/>
              <w:rPr>
                <w:rFonts w:ascii="宋体"/>
                <w:spacing w:val="50"/>
                <w:sz w:val="22"/>
                <w:szCs w:val="22"/>
              </w:rPr>
            </w:pPr>
            <w:r>
              <w:rPr>
                <w:rFonts w:hint="eastAsia" w:ascii="宋体"/>
                <w:spacing w:val="50"/>
                <w:sz w:val="22"/>
                <w:szCs w:val="22"/>
              </w:rPr>
              <w:t>复材车间</w:t>
            </w:r>
          </w:p>
        </w:tc>
      </w:tr>
      <w:tr w14:paraId="42C1411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713" w:type="dxa"/>
            <w:tcBorders>
              <w:left w:val="single" w:color="auto" w:sz="12" w:space="0"/>
            </w:tcBorders>
            <w:vAlign w:val="center"/>
          </w:tcPr>
          <w:p w14:paraId="03CC637C">
            <w:pPr>
              <w:jc w:val="center"/>
              <w:rPr>
                <w:rFonts w:ascii="宋体"/>
                <w:spacing w:val="50"/>
                <w:sz w:val="22"/>
                <w:szCs w:val="22"/>
              </w:rPr>
            </w:pPr>
            <w:r>
              <w:rPr>
                <w:rFonts w:hint="eastAsia" w:ascii="宋体"/>
                <w:spacing w:val="50"/>
                <w:sz w:val="22"/>
                <w:szCs w:val="22"/>
              </w:rPr>
              <w:t>份数</w:t>
            </w:r>
          </w:p>
        </w:tc>
        <w:tc>
          <w:tcPr>
            <w:tcW w:w="1037" w:type="dxa"/>
            <w:gridSpan w:val="2"/>
            <w:vAlign w:val="center"/>
          </w:tcPr>
          <w:p w14:paraId="53114D15">
            <w:pPr>
              <w:jc w:val="center"/>
              <w:rPr>
                <w:rFonts w:ascii="宋体"/>
                <w:spacing w:val="50"/>
                <w:sz w:val="22"/>
                <w:szCs w:val="22"/>
              </w:rPr>
            </w:pPr>
            <w:r>
              <w:rPr>
                <w:rFonts w:hint="eastAsia" w:ascii="宋体"/>
                <w:spacing w:val="50"/>
                <w:sz w:val="22"/>
                <w:szCs w:val="22"/>
              </w:rPr>
              <w:t>1</w:t>
            </w:r>
          </w:p>
        </w:tc>
        <w:tc>
          <w:tcPr>
            <w:tcW w:w="1295" w:type="dxa"/>
            <w:gridSpan w:val="2"/>
            <w:vAlign w:val="center"/>
          </w:tcPr>
          <w:p w14:paraId="59C711F1">
            <w:pPr>
              <w:jc w:val="center"/>
              <w:rPr>
                <w:rFonts w:ascii="宋体"/>
                <w:spacing w:val="50"/>
                <w:sz w:val="22"/>
                <w:szCs w:val="22"/>
              </w:rPr>
            </w:pPr>
            <w:r>
              <w:rPr>
                <w:rFonts w:hint="eastAsia" w:ascii="宋体"/>
                <w:spacing w:val="50"/>
                <w:sz w:val="22"/>
                <w:szCs w:val="22"/>
              </w:rPr>
              <w:t>1</w:t>
            </w:r>
          </w:p>
        </w:tc>
        <w:tc>
          <w:tcPr>
            <w:tcW w:w="1050" w:type="dxa"/>
            <w:vAlign w:val="center"/>
          </w:tcPr>
          <w:p w14:paraId="4508394B">
            <w:pPr>
              <w:jc w:val="center"/>
              <w:rPr>
                <w:rFonts w:ascii="宋体"/>
                <w:spacing w:val="50"/>
                <w:sz w:val="22"/>
                <w:szCs w:val="22"/>
              </w:rPr>
            </w:pPr>
            <w:r>
              <w:rPr>
                <w:rFonts w:hint="eastAsia" w:ascii="宋体"/>
                <w:spacing w:val="50"/>
                <w:sz w:val="22"/>
                <w:szCs w:val="22"/>
              </w:rPr>
              <w:t>1</w:t>
            </w:r>
          </w:p>
        </w:tc>
        <w:tc>
          <w:tcPr>
            <w:tcW w:w="1064" w:type="dxa"/>
            <w:gridSpan w:val="2"/>
            <w:vAlign w:val="center"/>
          </w:tcPr>
          <w:p w14:paraId="678ADDEA">
            <w:pPr>
              <w:jc w:val="center"/>
              <w:rPr>
                <w:rFonts w:ascii="宋体"/>
                <w:spacing w:val="50"/>
                <w:sz w:val="22"/>
                <w:szCs w:val="22"/>
              </w:rPr>
            </w:pPr>
            <w:r>
              <w:rPr>
                <w:rFonts w:hint="eastAsia" w:ascii="宋体"/>
                <w:spacing w:val="50"/>
                <w:sz w:val="22"/>
                <w:szCs w:val="22"/>
              </w:rPr>
              <w:t>1</w:t>
            </w:r>
          </w:p>
        </w:tc>
        <w:tc>
          <w:tcPr>
            <w:tcW w:w="1050" w:type="dxa"/>
            <w:gridSpan w:val="2"/>
            <w:vAlign w:val="center"/>
          </w:tcPr>
          <w:p w14:paraId="55705AE2">
            <w:pPr>
              <w:jc w:val="center"/>
              <w:rPr>
                <w:rFonts w:ascii="宋体"/>
                <w:spacing w:val="50"/>
                <w:sz w:val="22"/>
                <w:szCs w:val="22"/>
              </w:rPr>
            </w:pPr>
            <w:r>
              <w:rPr>
                <w:rFonts w:hint="eastAsia" w:ascii="宋体"/>
                <w:spacing w:val="50"/>
                <w:sz w:val="22"/>
                <w:szCs w:val="22"/>
              </w:rPr>
              <w:t>1</w:t>
            </w:r>
          </w:p>
        </w:tc>
        <w:tc>
          <w:tcPr>
            <w:tcW w:w="1036" w:type="dxa"/>
            <w:vAlign w:val="center"/>
          </w:tcPr>
          <w:p w14:paraId="525B7A20">
            <w:pPr>
              <w:jc w:val="center"/>
              <w:rPr>
                <w:rFonts w:ascii="宋体"/>
                <w:spacing w:val="50"/>
                <w:sz w:val="22"/>
                <w:szCs w:val="22"/>
              </w:rPr>
            </w:pPr>
            <w:r>
              <w:rPr>
                <w:rFonts w:hint="eastAsia" w:ascii="宋体"/>
                <w:spacing w:val="50"/>
                <w:sz w:val="22"/>
                <w:szCs w:val="22"/>
              </w:rPr>
              <w:t>1</w:t>
            </w:r>
          </w:p>
        </w:tc>
        <w:tc>
          <w:tcPr>
            <w:tcW w:w="1064" w:type="dxa"/>
            <w:gridSpan w:val="2"/>
            <w:vAlign w:val="center"/>
          </w:tcPr>
          <w:p w14:paraId="1A68F84A">
            <w:pPr>
              <w:jc w:val="center"/>
              <w:rPr>
                <w:rFonts w:ascii="宋体"/>
                <w:spacing w:val="50"/>
                <w:sz w:val="22"/>
                <w:szCs w:val="22"/>
              </w:rPr>
            </w:pPr>
            <w:r>
              <w:rPr>
                <w:rFonts w:hint="eastAsia" w:ascii="宋体"/>
                <w:spacing w:val="50"/>
                <w:sz w:val="22"/>
                <w:szCs w:val="22"/>
              </w:rPr>
              <w:t>1</w:t>
            </w:r>
          </w:p>
        </w:tc>
        <w:tc>
          <w:tcPr>
            <w:tcW w:w="1411" w:type="dxa"/>
            <w:tcBorders>
              <w:right w:val="single" w:color="auto" w:sz="12" w:space="0"/>
            </w:tcBorders>
            <w:vAlign w:val="center"/>
          </w:tcPr>
          <w:p w14:paraId="480A007B">
            <w:pPr>
              <w:jc w:val="center"/>
              <w:rPr>
                <w:rFonts w:ascii="宋体"/>
                <w:spacing w:val="50"/>
                <w:sz w:val="22"/>
                <w:szCs w:val="22"/>
              </w:rPr>
            </w:pPr>
            <w:r>
              <w:rPr>
                <w:rFonts w:hint="eastAsia" w:ascii="宋体"/>
                <w:spacing w:val="50"/>
                <w:sz w:val="22"/>
                <w:szCs w:val="22"/>
              </w:rPr>
              <w:t>1</w:t>
            </w:r>
          </w:p>
        </w:tc>
      </w:tr>
      <w:tr w14:paraId="6D0E709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713" w:type="dxa"/>
            <w:tcBorders>
              <w:left w:val="single" w:color="auto" w:sz="12" w:space="0"/>
            </w:tcBorders>
            <w:vAlign w:val="center"/>
          </w:tcPr>
          <w:p w14:paraId="0AEB7B29">
            <w:pPr>
              <w:jc w:val="center"/>
              <w:rPr>
                <w:rFonts w:ascii="宋体"/>
                <w:spacing w:val="50"/>
                <w:sz w:val="22"/>
                <w:szCs w:val="22"/>
              </w:rPr>
            </w:pPr>
            <w:r>
              <w:rPr>
                <w:rFonts w:hint="eastAsia" w:ascii="宋体"/>
                <w:spacing w:val="50"/>
                <w:sz w:val="22"/>
                <w:szCs w:val="22"/>
              </w:rPr>
              <w:t>部门</w:t>
            </w:r>
          </w:p>
        </w:tc>
        <w:tc>
          <w:tcPr>
            <w:tcW w:w="1037" w:type="dxa"/>
            <w:gridSpan w:val="2"/>
            <w:vAlign w:val="center"/>
          </w:tcPr>
          <w:p w14:paraId="06E078EA">
            <w:pPr>
              <w:jc w:val="center"/>
              <w:rPr>
                <w:rFonts w:ascii="宋体"/>
                <w:spacing w:val="50"/>
                <w:sz w:val="22"/>
                <w:szCs w:val="22"/>
              </w:rPr>
            </w:pPr>
          </w:p>
        </w:tc>
        <w:tc>
          <w:tcPr>
            <w:tcW w:w="1295" w:type="dxa"/>
            <w:gridSpan w:val="2"/>
            <w:vAlign w:val="center"/>
          </w:tcPr>
          <w:p w14:paraId="6C8B5224">
            <w:pPr>
              <w:jc w:val="center"/>
              <w:rPr>
                <w:rFonts w:ascii="宋体"/>
                <w:spacing w:val="50"/>
                <w:sz w:val="22"/>
                <w:szCs w:val="22"/>
              </w:rPr>
            </w:pPr>
          </w:p>
        </w:tc>
        <w:tc>
          <w:tcPr>
            <w:tcW w:w="1050" w:type="dxa"/>
            <w:vAlign w:val="center"/>
          </w:tcPr>
          <w:p w14:paraId="37DB2491">
            <w:pPr>
              <w:jc w:val="center"/>
              <w:rPr>
                <w:rFonts w:ascii="宋体"/>
                <w:spacing w:val="50"/>
                <w:sz w:val="22"/>
                <w:szCs w:val="22"/>
              </w:rPr>
            </w:pPr>
          </w:p>
        </w:tc>
        <w:tc>
          <w:tcPr>
            <w:tcW w:w="1064" w:type="dxa"/>
            <w:gridSpan w:val="2"/>
            <w:vAlign w:val="center"/>
          </w:tcPr>
          <w:p w14:paraId="6D16A152">
            <w:pPr>
              <w:jc w:val="center"/>
              <w:rPr>
                <w:rFonts w:ascii="宋体"/>
                <w:spacing w:val="50"/>
                <w:sz w:val="22"/>
                <w:szCs w:val="22"/>
              </w:rPr>
            </w:pPr>
          </w:p>
        </w:tc>
        <w:tc>
          <w:tcPr>
            <w:tcW w:w="1050" w:type="dxa"/>
            <w:gridSpan w:val="2"/>
            <w:vAlign w:val="center"/>
          </w:tcPr>
          <w:p w14:paraId="1837AE0B">
            <w:pPr>
              <w:jc w:val="center"/>
              <w:rPr>
                <w:rFonts w:ascii="宋体"/>
                <w:spacing w:val="50"/>
                <w:sz w:val="22"/>
                <w:szCs w:val="22"/>
              </w:rPr>
            </w:pPr>
          </w:p>
        </w:tc>
        <w:tc>
          <w:tcPr>
            <w:tcW w:w="1036" w:type="dxa"/>
            <w:vAlign w:val="center"/>
          </w:tcPr>
          <w:p w14:paraId="2B1C9B2A">
            <w:pPr>
              <w:jc w:val="center"/>
              <w:rPr>
                <w:rFonts w:ascii="宋体"/>
                <w:spacing w:val="50"/>
                <w:sz w:val="22"/>
                <w:szCs w:val="22"/>
              </w:rPr>
            </w:pPr>
          </w:p>
        </w:tc>
        <w:tc>
          <w:tcPr>
            <w:tcW w:w="1064" w:type="dxa"/>
            <w:gridSpan w:val="2"/>
            <w:vAlign w:val="center"/>
          </w:tcPr>
          <w:p w14:paraId="03795275">
            <w:pPr>
              <w:jc w:val="center"/>
              <w:rPr>
                <w:rFonts w:ascii="宋体"/>
                <w:spacing w:val="50"/>
                <w:sz w:val="22"/>
                <w:szCs w:val="22"/>
              </w:rPr>
            </w:pPr>
          </w:p>
        </w:tc>
        <w:tc>
          <w:tcPr>
            <w:tcW w:w="1411" w:type="dxa"/>
            <w:tcBorders>
              <w:right w:val="single" w:color="auto" w:sz="12" w:space="0"/>
            </w:tcBorders>
            <w:vAlign w:val="center"/>
          </w:tcPr>
          <w:p w14:paraId="605D0ED2">
            <w:pPr>
              <w:jc w:val="center"/>
              <w:rPr>
                <w:rFonts w:ascii="宋体"/>
                <w:spacing w:val="50"/>
                <w:sz w:val="22"/>
                <w:szCs w:val="22"/>
              </w:rPr>
            </w:pPr>
          </w:p>
        </w:tc>
      </w:tr>
      <w:tr w14:paraId="150299D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713" w:type="dxa"/>
            <w:tcBorders>
              <w:left w:val="single" w:color="auto" w:sz="12" w:space="0"/>
            </w:tcBorders>
            <w:vAlign w:val="center"/>
          </w:tcPr>
          <w:p w14:paraId="5E025D0B">
            <w:pPr>
              <w:jc w:val="center"/>
              <w:rPr>
                <w:rFonts w:ascii="宋体"/>
                <w:spacing w:val="50"/>
                <w:sz w:val="22"/>
                <w:szCs w:val="22"/>
              </w:rPr>
            </w:pPr>
            <w:r>
              <w:rPr>
                <w:rFonts w:hint="eastAsia" w:ascii="宋体"/>
                <w:spacing w:val="50"/>
                <w:sz w:val="22"/>
                <w:szCs w:val="22"/>
              </w:rPr>
              <w:t>份数</w:t>
            </w:r>
          </w:p>
        </w:tc>
        <w:tc>
          <w:tcPr>
            <w:tcW w:w="1037" w:type="dxa"/>
            <w:gridSpan w:val="2"/>
            <w:vAlign w:val="center"/>
          </w:tcPr>
          <w:p w14:paraId="1BB86982">
            <w:pPr>
              <w:jc w:val="center"/>
              <w:rPr>
                <w:rFonts w:ascii="宋体"/>
                <w:spacing w:val="50"/>
                <w:sz w:val="22"/>
                <w:szCs w:val="22"/>
              </w:rPr>
            </w:pPr>
          </w:p>
        </w:tc>
        <w:tc>
          <w:tcPr>
            <w:tcW w:w="1295" w:type="dxa"/>
            <w:gridSpan w:val="2"/>
            <w:vAlign w:val="center"/>
          </w:tcPr>
          <w:p w14:paraId="0CB45308">
            <w:pPr>
              <w:jc w:val="center"/>
              <w:rPr>
                <w:rFonts w:ascii="宋体"/>
                <w:spacing w:val="50"/>
                <w:sz w:val="22"/>
                <w:szCs w:val="22"/>
              </w:rPr>
            </w:pPr>
          </w:p>
        </w:tc>
        <w:tc>
          <w:tcPr>
            <w:tcW w:w="1050" w:type="dxa"/>
            <w:vAlign w:val="center"/>
          </w:tcPr>
          <w:p w14:paraId="7CE21339">
            <w:pPr>
              <w:jc w:val="center"/>
              <w:rPr>
                <w:rFonts w:ascii="宋体"/>
                <w:spacing w:val="50"/>
                <w:sz w:val="22"/>
                <w:szCs w:val="22"/>
              </w:rPr>
            </w:pPr>
          </w:p>
        </w:tc>
        <w:tc>
          <w:tcPr>
            <w:tcW w:w="1064" w:type="dxa"/>
            <w:gridSpan w:val="2"/>
            <w:vAlign w:val="center"/>
          </w:tcPr>
          <w:p w14:paraId="08087031">
            <w:pPr>
              <w:jc w:val="center"/>
              <w:rPr>
                <w:rFonts w:ascii="宋体"/>
                <w:spacing w:val="50"/>
                <w:sz w:val="22"/>
                <w:szCs w:val="22"/>
              </w:rPr>
            </w:pPr>
          </w:p>
        </w:tc>
        <w:tc>
          <w:tcPr>
            <w:tcW w:w="1050" w:type="dxa"/>
            <w:gridSpan w:val="2"/>
            <w:vAlign w:val="center"/>
          </w:tcPr>
          <w:p w14:paraId="46C4AC4A">
            <w:pPr>
              <w:jc w:val="center"/>
              <w:rPr>
                <w:rFonts w:ascii="宋体"/>
                <w:spacing w:val="50"/>
                <w:sz w:val="22"/>
                <w:szCs w:val="22"/>
              </w:rPr>
            </w:pPr>
          </w:p>
        </w:tc>
        <w:tc>
          <w:tcPr>
            <w:tcW w:w="1036" w:type="dxa"/>
            <w:vAlign w:val="center"/>
          </w:tcPr>
          <w:p w14:paraId="02127E56">
            <w:pPr>
              <w:jc w:val="center"/>
              <w:rPr>
                <w:rFonts w:ascii="宋体"/>
                <w:spacing w:val="50"/>
                <w:sz w:val="22"/>
                <w:szCs w:val="22"/>
              </w:rPr>
            </w:pPr>
          </w:p>
        </w:tc>
        <w:tc>
          <w:tcPr>
            <w:tcW w:w="1064" w:type="dxa"/>
            <w:gridSpan w:val="2"/>
            <w:vAlign w:val="center"/>
          </w:tcPr>
          <w:p w14:paraId="1A85487D">
            <w:pPr>
              <w:jc w:val="center"/>
              <w:rPr>
                <w:rFonts w:ascii="宋体"/>
                <w:spacing w:val="50"/>
                <w:sz w:val="22"/>
                <w:szCs w:val="22"/>
              </w:rPr>
            </w:pPr>
          </w:p>
        </w:tc>
        <w:tc>
          <w:tcPr>
            <w:tcW w:w="1411" w:type="dxa"/>
            <w:tcBorders>
              <w:right w:val="single" w:color="auto" w:sz="12" w:space="0"/>
            </w:tcBorders>
            <w:vAlign w:val="center"/>
          </w:tcPr>
          <w:p w14:paraId="063AB371">
            <w:pPr>
              <w:jc w:val="center"/>
              <w:rPr>
                <w:rFonts w:ascii="宋体"/>
                <w:spacing w:val="50"/>
                <w:sz w:val="22"/>
                <w:szCs w:val="22"/>
              </w:rPr>
            </w:pPr>
          </w:p>
        </w:tc>
      </w:tr>
      <w:tr w14:paraId="002C918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1478" w:type="dxa"/>
            <w:gridSpan w:val="2"/>
            <w:tcBorders>
              <w:top w:val="single" w:color="auto" w:sz="6" w:space="0"/>
              <w:left w:val="single" w:color="auto" w:sz="12" w:space="0"/>
              <w:bottom w:val="single" w:color="auto" w:sz="6" w:space="0"/>
              <w:right w:val="single" w:color="auto" w:sz="4" w:space="0"/>
            </w:tcBorders>
            <w:vAlign w:val="center"/>
          </w:tcPr>
          <w:p w14:paraId="1FD5ACBF">
            <w:pPr>
              <w:jc w:val="center"/>
              <w:rPr>
                <w:rFonts w:ascii="宋体"/>
                <w:spacing w:val="100"/>
                <w:sz w:val="24"/>
              </w:rPr>
            </w:pPr>
            <w:r>
              <w:rPr>
                <w:rFonts w:hint="eastAsia" w:ascii="宋体"/>
                <w:spacing w:val="100"/>
                <w:sz w:val="24"/>
              </w:rPr>
              <w:t>编制</w:t>
            </w:r>
          </w:p>
        </w:tc>
        <w:tc>
          <w:tcPr>
            <w:tcW w:w="1567" w:type="dxa"/>
            <w:gridSpan w:val="3"/>
            <w:tcBorders>
              <w:top w:val="single" w:color="auto" w:sz="6" w:space="0"/>
              <w:left w:val="single" w:color="auto" w:sz="4" w:space="0"/>
              <w:bottom w:val="single" w:color="auto" w:sz="6" w:space="0"/>
              <w:right w:val="single" w:color="auto" w:sz="6" w:space="0"/>
            </w:tcBorders>
            <w:vAlign w:val="center"/>
          </w:tcPr>
          <w:p w14:paraId="6350DFB8">
            <w:pPr>
              <w:jc w:val="center"/>
              <w:rPr>
                <w:rFonts w:ascii="宋体"/>
                <w:spacing w:val="100"/>
                <w:sz w:val="24"/>
              </w:rPr>
            </w:pPr>
          </w:p>
        </w:tc>
        <w:tc>
          <w:tcPr>
            <w:tcW w:w="1555" w:type="dxa"/>
            <w:gridSpan w:val="2"/>
            <w:tcBorders>
              <w:top w:val="single" w:color="auto" w:sz="6" w:space="0"/>
              <w:left w:val="single" w:color="auto" w:sz="6" w:space="0"/>
              <w:bottom w:val="single" w:color="auto" w:sz="6" w:space="0"/>
              <w:right w:val="single" w:color="auto" w:sz="6" w:space="0"/>
            </w:tcBorders>
            <w:vAlign w:val="center"/>
          </w:tcPr>
          <w:p w14:paraId="30A388DC">
            <w:pPr>
              <w:jc w:val="center"/>
              <w:rPr>
                <w:rFonts w:ascii="宋体"/>
                <w:spacing w:val="100"/>
                <w:sz w:val="24"/>
              </w:rPr>
            </w:pPr>
            <w:r>
              <w:rPr>
                <w:rFonts w:hint="eastAsia" w:ascii="宋体"/>
                <w:spacing w:val="100"/>
                <w:sz w:val="24"/>
              </w:rPr>
              <w:t>校对</w:t>
            </w:r>
          </w:p>
        </w:tc>
        <w:tc>
          <w:tcPr>
            <w:tcW w:w="1609" w:type="dxa"/>
            <w:gridSpan w:val="3"/>
            <w:tcBorders>
              <w:top w:val="single" w:color="auto" w:sz="6" w:space="0"/>
              <w:left w:val="single" w:color="auto" w:sz="6" w:space="0"/>
              <w:bottom w:val="single" w:color="auto" w:sz="6" w:space="0"/>
              <w:right w:val="single" w:color="auto" w:sz="6" w:space="0"/>
            </w:tcBorders>
            <w:vAlign w:val="center"/>
          </w:tcPr>
          <w:p w14:paraId="0CC632CC">
            <w:pPr>
              <w:jc w:val="center"/>
              <w:rPr>
                <w:rFonts w:ascii="宋体"/>
                <w:spacing w:val="100"/>
                <w:sz w:val="24"/>
              </w:rPr>
            </w:pPr>
          </w:p>
        </w:tc>
        <w:tc>
          <w:tcPr>
            <w:tcW w:w="1036" w:type="dxa"/>
            <w:tcBorders>
              <w:top w:val="single" w:color="auto" w:sz="6" w:space="0"/>
              <w:left w:val="single" w:color="auto" w:sz="6" w:space="0"/>
              <w:bottom w:val="single" w:color="auto" w:sz="6" w:space="0"/>
              <w:right w:val="single" w:color="auto" w:sz="4" w:space="0"/>
            </w:tcBorders>
            <w:vAlign w:val="center"/>
          </w:tcPr>
          <w:p w14:paraId="2A976B8A">
            <w:pPr>
              <w:jc w:val="center"/>
              <w:rPr>
                <w:rFonts w:ascii="宋体"/>
                <w:spacing w:val="100"/>
                <w:sz w:val="24"/>
              </w:rPr>
            </w:pPr>
            <w:r>
              <w:rPr>
                <w:rFonts w:hint="eastAsia" w:ascii="宋体"/>
                <w:spacing w:val="100"/>
                <w:sz w:val="24"/>
              </w:rPr>
              <w:t>审核</w:t>
            </w:r>
          </w:p>
        </w:tc>
        <w:tc>
          <w:tcPr>
            <w:tcW w:w="2475" w:type="dxa"/>
            <w:gridSpan w:val="3"/>
            <w:tcBorders>
              <w:top w:val="single" w:color="auto" w:sz="6" w:space="0"/>
              <w:left w:val="single" w:color="auto" w:sz="4" w:space="0"/>
              <w:bottom w:val="single" w:color="auto" w:sz="6" w:space="0"/>
              <w:right w:val="single" w:color="auto" w:sz="12" w:space="0"/>
            </w:tcBorders>
            <w:vAlign w:val="center"/>
          </w:tcPr>
          <w:p w14:paraId="0E056627">
            <w:pPr>
              <w:jc w:val="center"/>
              <w:rPr>
                <w:rFonts w:ascii="宋体"/>
                <w:spacing w:val="100"/>
                <w:sz w:val="24"/>
              </w:rPr>
            </w:pPr>
          </w:p>
        </w:tc>
      </w:tr>
      <w:tr w14:paraId="2E8D05D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478" w:type="dxa"/>
            <w:gridSpan w:val="2"/>
            <w:tcBorders>
              <w:top w:val="single" w:color="auto" w:sz="6" w:space="0"/>
              <w:left w:val="single" w:color="auto" w:sz="12" w:space="0"/>
              <w:bottom w:val="single" w:color="auto" w:sz="6" w:space="0"/>
              <w:right w:val="single" w:color="auto" w:sz="4" w:space="0"/>
            </w:tcBorders>
            <w:vAlign w:val="center"/>
          </w:tcPr>
          <w:p w14:paraId="48D8AE95">
            <w:pPr>
              <w:jc w:val="center"/>
              <w:rPr>
                <w:rFonts w:ascii="宋体"/>
                <w:spacing w:val="100"/>
                <w:sz w:val="24"/>
              </w:rPr>
            </w:pPr>
            <w:r>
              <w:rPr>
                <w:rFonts w:hint="eastAsia" w:ascii="宋体"/>
                <w:spacing w:val="100"/>
                <w:sz w:val="24"/>
              </w:rPr>
              <w:t>标准化</w:t>
            </w:r>
          </w:p>
        </w:tc>
        <w:tc>
          <w:tcPr>
            <w:tcW w:w="1567" w:type="dxa"/>
            <w:gridSpan w:val="3"/>
            <w:tcBorders>
              <w:top w:val="single" w:color="auto" w:sz="6" w:space="0"/>
              <w:left w:val="single" w:color="auto" w:sz="4" w:space="0"/>
              <w:bottom w:val="single" w:color="auto" w:sz="6" w:space="0"/>
              <w:right w:val="single" w:color="auto" w:sz="6" w:space="0"/>
            </w:tcBorders>
            <w:vAlign w:val="center"/>
          </w:tcPr>
          <w:p w14:paraId="3BAE543C">
            <w:pPr>
              <w:jc w:val="center"/>
              <w:rPr>
                <w:rFonts w:ascii="宋体"/>
                <w:spacing w:val="100"/>
                <w:sz w:val="24"/>
              </w:rPr>
            </w:pPr>
          </w:p>
        </w:tc>
        <w:tc>
          <w:tcPr>
            <w:tcW w:w="1555" w:type="dxa"/>
            <w:gridSpan w:val="2"/>
            <w:tcBorders>
              <w:top w:val="single" w:color="auto" w:sz="6" w:space="0"/>
              <w:left w:val="single" w:color="auto" w:sz="6" w:space="0"/>
              <w:bottom w:val="single" w:color="auto" w:sz="6" w:space="0"/>
              <w:right w:val="single" w:color="auto" w:sz="6" w:space="0"/>
            </w:tcBorders>
            <w:vAlign w:val="center"/>
          </w:tcPr>
          <w:p w14:paraId="29E25C50">
            <w:pPr>
              <w:jc w:val="center"/>
              <w:rPr>
                <w:rFonts w:ascii="宋体"/>
                <w:spacing w:val="100"/>
                <w:sz w:val="24"/>
              </w:rPr>
            </w:pPr>
            <w:r>
              <w:rPr>
                <w:rFonts w:hint="eastAsia" w:ascii="宋体"/>
                <w:spacing w:val="100"/>
                <w:sz w:val="24"/>
              </w:rPr>
              <w:t>批准</w:t>
            </w:r>
          </w:p>
        </w:tc>
        <w:tc>
          <w:tcPr>
            <w:tcW w:w="1609" w:type="dxa"/>
            <w:gridSpan w:val="3"/>
            <w:tcBorders>
              <w:top w:val="single" w:color="auto" w:sz="6" w:space="0"/>
              <w:left w:val="single" w:color="auto" w:sz="6" w:space="0"/>
              <w:bottom w:val="single" w:color="auto" w:sz="6" w:space="0"/>
              <w:right w:val="single" w:color="auto" w:sz="6" w:space="0"/>
            </w:tcBorders>
            <w:vAlign w:val="center"/>
          </w:tcPr>
          <w:p w14:paraId="6BFC2CB8">
            <w:pPr>
              <w:jc w:val="center"/>
              <w:rPr>
                <w:rFonts w:ascii="宋体"/>
                <w:spacing w:val="100"/>
                <w:sz w:val="24"/>
              </w:rPr>
            </w:pPr>
          </w:p>
        </w:tc>
        <w:tc>
          <w:tcPr>
            <w:tcW w:w="1036" w:type="dxa"/>
            <w:tcBorders>
              <w:top w:val="single" w:color="auto" w:sz="6" w:space="0"/>
              <w:left w:val="single" w:color="auto" w:sz="6" w:space="0"/>
              <w:bottom w:val="single" w:color="auto" w:sz="6" w:space="0"/>
              <w:right w:val="single" w:color="auto" w:sz="4" w:space="0"/>
            </w:tcBorders>
            <w:vAlign w:val="center"/>
          </w:tcPr>
          <w:p w14:paraId="444C8FDF">
            <w:pPr>
              <w:jc w:val="center"/>
              <w:rPr>
                <w:rFonts w:ascii="宋体"/>
                <w:spacing w:val="100"/>
                <w:sz w:val="24"/>
              </w:rPr>
            </w:pPr>
            <w:r>
              <w:rPr>
                <w:rFonts w:hint="eastAsia" w:ascii="宋体"/>
                <w:spacing w:val="100"/>
                <w:sz w:val="24"/>
              </w:rPr>
              <w:t>归档</w:t>
            </w:r>
          </w:p>
        </w:tc>
        <w:tc>
          <w:tcPr>
            <w:tcW w:w="2475" w:type="dxa"/>
            <w:gridSpan w:val="3"/>
            <w:tcBorders>
              <w:top w:val="single" w:color="auto" w:sz="6" w:space="0"/>
              <w:left w:val="single" w:color="auto" w:sz="4" w:space="0"/>
              <w:bottom w:val="single" w:color="auto" w:sz="6" w:space="0"/>
              <w:right w:val="single" w:color="auto" w:sz="12" w:space="0"/>
            </w:tcBorders>
            <w:vAlign w:val="center"/>
          </w:tcPr>
          <w:p w14:paraId="48382FC2">
            <w:pPr>
              <w:jc w:val="center"/>
              <w:rPr>
                <w:rFonts w:ascii="宋体"/>
                <w:spacing w:val="100"/>
                <w:sz w:val="24"/>
              </w:rPr>
            </w:pPr>
          </w:p>
        </w:tc>
      </w:tr>
      <w:tr w14:paraId="6F20523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478" w:type="dxa"/>
            <w:gridSpan w:val="2"/>
            <w:tcBorders>
              <w:top w:val="single" w:color="auto" w:sz="6" w:space="0"/>
              <w:left w:val="single" w:color="auto" w:sz="12" w:space="0"/>
              <w:bottom w:val="single" w:color="auto" w:sz="12" w:space="0"/>
              <w:right w:val="single" w:color="auto" w:sz="4" w:space="0"/>
            </w:tcBorders>
            <w:vAlign w:val="center"/>
          </w:tcPr>
          <w:p w14:paraId="68A1CCE2">
            <w:pPr>
              <w:jc w:val="center"/>
              <w:rPr>
                <w:rFonts w:hint="eastAsia" w:ascii="宋体"/>
                <w:spacing w:val="100"/>
                <w:sz w:val="24"/>
              </w:rPr>
            </w:pPr>
            <w:r>
              <w:rPr>
                <w:rFonts w:hint="eastAsia" w:ascii="宋体"/>
                <w:spacing w:val="100"/>
                <w:sz w:val="24"/>
              </w:rPr>
              <w:t>会签</w:t>
            </w:r>
          </w:p>
        </w:tc>
        <w:tc>
          <w:tcPr>
            <w:tcW w:w="8242" w:type="dxa"/>
            <w:gridSpan w:val="12"/>
            <w:tcBorders>
              <w:top w:val="single" w:color="auto" w:sz="6" w:space="0"/>
              <w:left w:val="single" w:color="auto" w:sz="4" w:space="0"/>
              <w:bottom w:val="single" w:color="auto" w:sz="12" w:space="0"/>
              <w:right w:val="single" w:color="auto" w:sz="6" w:space="0"/>
            </w:tcBorders>
            <w:vAlign w:val="center"/>
          </w:tcPr>
          <w:p w14:paraId="6A9CA155">
            <w:pPr>
              <w:jc w:val="center"/>
              <w:rPr>
                <w:rFonts w:ascii="宋体"/>
                <w:spacing w:val="100"/>
                <w:sz w:val="24"/>
              </w:rPr>
            </w:pPr>
          </w:p>
        </w:tc>
      </w:tr>
    </w:tbl>
    <w:p w14:paraId="3375A6A6"/>
    <w:p w14:paraId="1AF23B29">
      <w:pPr>
        <w:widowControl/>
        <w:spacing w:before="312" w:beforeLines="100" w:after="312" w:afterLines="100" w:line="440" w:lineRule="exact"/>
        <w:jc w:val="left"/>
        <w:rPr>
          <w:rFonts w:hint="eastAsia" w:ascii="黑体" w:hAnsi="黑体" w:eastAsia="黑体" w:cs="黑体"/>
          <w:kern w:val="0"/>
          <w:sz w:val="28"/>
          <w:lang w:val="en-US" w:eastAsia="zh-CN" w:bidi="en-US"/>
        </w:rPr>
        <w:sectPr>
          <w:footerReference r:id="rId3" w:type="default"/>
          <w:pgSz w:w="11906" w:h="16838"/>
          <w:pgMar w:top="1440" w:right="1800" w:bottom="1440" w:left="1800" w:header="851" w:footer="992" w:gutter="0"/>
          <w:cols w:space="425" w:num="1"/>
          <w:docGrid w:type="lines" w:linePitch="312" w:charSpace="0"/>
        </w:sectPr>
      </w:pPr>
    </w:p>
    <w:p w14:paraId="4A5262DF">
      <w:pPr>
        <w:widowControl/>
        <w:spacing w:before="312" w:beforeLines="100" w:after="312" w:afterLines="100" w:line="440" w:lineRule="exact"/>
        <w:jc w:val="left"/>
        <w:rPr>
          <w:rFonts w:hint="eastAsia" w:ascii="黑体" w:hAnsi="黑体" w:eastAsia="黑体" w:cs="黑体"/>
          <w:kern w:val="0"/>
          <w:sz w:val="28"/>
          <w:lang w:val="en-US" w:eastAsia="zh-CN" w:bidi="en-US"/>
        </w:rPr>
      </w:pPr>
      <w:r>
        <w:rPr>
          <w:rFonts w:hint="eastAsia" w:ascii="黑体" w:hAnsi="黑体" w:eastAsia="黑体" w:cs="黑体"/>
          <w:kern w:val="0"/>
          <w:sz w:val="28"/>
          <w:lang w:val="en-US" w:eastAsia="zh-CN" w:bidi="en-US"/>
        </w:rPr>
        <w:t>1 目的</w:t>
      </w:r>
    </w:p>
    <w:p w14:paraId="36328BDB">
      <w:pPr>
        <w:widowControl w:val="0"/>
        <w:spacing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为了规范公司工具量具的管理，确保工具量具的采购流程、管理流程及报废流程标准化与程序化，特制定本管理规定。</w:t>
      </w:r>
    </w:p>
    <w:p w14:paraId="250BB823">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2 适用范围</w:t>
      </w:r>
    </w:p>
    <w:p w14:paraId="521EE25C">
      <w:pPr>
        <w:widowControl w:val="0"/>
        <w:spacing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本制度适用于沈阳昌兴复材航空科技有限责任公司的所有通用、专用、外购工具的申请、入库、保管、发放及量具、精密仪器和其它重要工具的采购、管理及报废。</w:t>
      </w:r>
    </w:p>
    <w:p w14:paraId="786268AA">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3 术语和定义</w:t>
      </w:r>
    </w:p>
    <w:p w14:paraId="4E7C9496">
      <w:pPr>
        <w:spacing w:line="440" w:lineRule="exact"/>
        <w:ind w:firstLine="560" w:firstLineChars="200"/>
        <w:rPr>
          <w:rFonts w:hint="eastAsia" w:ascii="Times New Roman" w:hAnsi="Times New Roman"/>
          <w:sz w:val="28"/>
        </w:rPr>
      </w:pPr>
      <w:r>
        <w:rPr>
          <w:rFonts w:hint="eastAsia" w:ascii="Times New Roman" w:hAnsi="Times New Roman"/>
          <w:sz w:val="28"/>
        </w:rPr>
        <w:t>无</w:t>
      </w:r>
    </w:p>
    <w:p w14:paraId="615A8D18">
      <w:pPr>
        <w:spacing w:before="312" w:beforeLines="100" w:after="312" w:afterLines="100" w:line="440" w:lineRule="exact"/>
        <w:jc w:val="left"/>
        <w:rPr>
          <w:rFonts w:hint="eastAsia" w:ascii="黑体" w:hAnsi="黑体" w:eastAsia="黑体" w:cs="黑体"/>
          <w:kern w:val="0"/>
          <w:sz w:val="28"/>
          <w:lang w:val="en-US" w:eastAsia="zh-CN" w:bidi="en-US"/>
        </w:rPr>
      </w:pPr>
      <w:r>
        <w:rPr>
          <w:rFonts w:hint="eastAsia" w:ascii="黑体" w:hAnsi="黑体" w:eastAsia="黑体" w:cs="黑体"/>
          <w:sz w:val="28"/>
          <w:lang w:val="en-US" w:eastAsia="zh-CN"/>
        </w:rPr>
        <w:t>4 职责和权限</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9"/>
        <w:gridCol w:w="6563"/>
      </w:tblGrid>
      <w:tr w14:paraId="6517F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1" w:type="dxa"/>
            <w:vAlign w:val="center"/>
          </w:tcPr>
          <w:p w14:paraId="755B47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sz w:val="28"/>
                <w:vertAlign w:val="baseline"/>
              </w:rPr>
            </w:pPr>
            <w:r>
              <w:rPr>
                <w:rFonts w:hint="eastAsia" w:ascii="宋体" w:hAnsi="宋体" w:eastAsia="宋体" w:cs="宋体"/>
                <w:bCs/>
                <w:color w:val="000000"/>
                <w:kern w:val="0"/>
                <w:sz w:val="24"/>
                <w:lang w:bidi="en-US"/>
              </w:rPr>
              <w:t>部 门</w:t>
            </w:r>
          </w:p>
        </w:tc>
        <w:tc>
          <w:tcPr>
            <w:tcW w:w="6719" w:type="dxa"/>
            <w:vAlign w:val="center"/>
          </w:tcPr>
          <w:p w14:paraId="2A153D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sz w:val="28"/>
                <w:vertAlign w:val="baseline"/>
              </w:rPr>
            </w:pPr>
            <w:r>
              <w:rPr>
                <w:rFonts w:hint="eastAsia" w:ascii="宋体" w:hAnsi="宋体" w:eastAsia="宋体" w:cs="宋体"/>
                <w:bCs/>
                <w:color w:val="000000"/>
                <w:kern w:val="0"/>
                <w:sz w:val="24"/>
                <w:lang w:bidi="en-US"/>
              </w:rPr>
              <w:t>主 要 职 责 描 述</w:t>
            </w:r>
          </w:p>
        </w:tc>
      </w:tr>
      <w:tr w14:paraId="3DE0F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1" w:type="dxa"/>
            <w:vAlign w:val="center"/>
          </w:tcPr>
          <w:p w14:paraId="741ECA33">
            <w:pPr>
              <w:spacing w:line="240" w:lineRule="auto"/>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工程技术部</w:t>
            </w:r>
          </w:p>
        </w:tc>
        <w:tc>
          <w:tcPr>
            <w:tcW w:w="6719" w:type="dxa"/>
            <w:vAlign w:val="center"/>
          </w:tcPr>
          <w:p w14:paraId="6E2C08D3">
            <w:pPr>
              <w:numPr>
                <w:ilvl w:val="0"/>
                <w:numId w:val="0"/>
              </w:numPr>
              <w:spacing w:line="240" w:lineRule="auto"/>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技术员负责通用、专用、外购工具申请、品种表更改及专用、外购工具验收工作；负责编制现场工具配套表（工艺信息表），对需定期检验的工具量具进行编制首次技术指标单；</w:t>
            </w:r>
          </w:p>
        </w:tc>
      </w:tr>
      <w:tr w14:paraId="456B7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1" w:type="dxa"/>
            <w:vAlign w:val="center"/>
          </w:tcPr>
          <w:p w14:paraId="5AACFACA">
            <w:pPr>
              <w:spacing w:line="240" w:lineRule="auto"/>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物资保障部</w:t>
            </w:r>
          </w:p>
        </w:tc>
        <w:tc>
          <w:tcPr>
            <w:tcW w:w="6719" w:type="dxa"/>
            <w:vAlign w:val="center"/>
          </w:tcPr>
          <w:p w14:paraId="5ACCFE57">
            <w:pPr>
              <w:numPr>
                <w:ilvl w:val="0"/>
                <w:numId w:val="0"/>
              </w:numPr>
              <w:spacing w:line="240" w:lineRule="auto"/>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计划员负责通用、专用工具的后续复制申请，负责办理工具报废手续；保管员负责工具接收并通知各部门工具到货情况，负责工具接收、保管、清点和发放以及送检；</w:t>
            </w:r>
          </w:p>
        </w:tc>
      </w:tr>
      <w:tr w14:paraId="3B129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1" w:type="dxa"/>
            <w:vAlign w:val="center"/>
          </w:tcPr>
          <w:p w14:paraId="3FD92F7B">
            <w:pPr>
              <w:spacing w:line="240" w:lineRule="auto"/>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复材车间</w:t>
            </w:r>
          </w:p>
        </w:tc>
        <w:tc>
          <w:tcPr>
            <w:tcW w:w="6719" w:type="dxa"/>
            <w:vAlign w:val="center"/>
          </w:tcPr>
          <w:p w14:paraId="6136BCD2">
            <w:pPr>
              <w:numPr>
                <w:ilvl w:val="0"/>
                <w:numId w:val="0"/>
              </w:numPr>
              <w:spacing w:line="240" w:lineRule="auto"/>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工人负责对已经发放的工具及量具的管理</w:t>
            </w:r>
          </w:p>
        </w:tc>
      </w:tr>
      <w:tr w14:paraId="53260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1" w:type="dxa"/>
            <w:vAlign w:val="center"/>
          </w:tcPr>
          <w:p w14:paraId="65CDBE9D">
            <w:pPr>
              <w:spacing w:line="240" w:lineRule="auto"/>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质量安环部</w:t>
            </w:r>
          </w:p>
        </w:tc>
        <w:tc>
          <w:tcPr>
            <w:tcW w:w="6719" w:type="dxa"/>
            <w:vAlign w:val="center"/>
          </w:tcPr>
          <w:p w14:paraId="692BB12B">
            <w:pPr>
              <w:numPr>
                <w:ilvl w:val="0"/>
                <w:numId w:val="0"/>
              </w:numPr>
              <w:spacing w:line="240" w:lineRule="auto"/>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检验工负责对已经发放的工具及量具的管理；协助技术员对外购工具量具进行验收工作；负责定量具的定检计划编制和组织定检资料的保存；</w:t>
            </w:r>
          </w:p>
        </w:tc>
      </w:tr>
      <w:tr w14:paraId="42C3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1" w:type="dxa"/>
            <w:vAlign w:val="center"/>
          </w:tcPr>
          <w:p w14:paraId="339E82B6">
            <w:pPr>
              <w:spacing w:line="240" w:lineRule="auto"/>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财务部</w:t>
            </w:r>
          </w:p>
        </w:tc>
        <w:tc>
          <w:tcPr>
            <w:tcW w:w="6719" w:type="dxa"/>
            <w:vAlign w:val="center"/>
          </w:tcPr>
          <w:p w14:paraId="350076E2">
            <w:pPr>
              <w:numPr>
                <w:ilvl w:val="0"/>
                <w:numId w:val="0"/>
              </w:numPr>
              <w:spacing w:line="240" w:lineRule="auto"/>
              <w:jc w:val="center"/>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会计员负责工具账目日常资产核查</w:t>
            </w:r>
          </w:p>
        </w:tc>
      </w:tr>
    </w:tbl>
    <w:p w14:paraId="43E0ADD3">
      <w:pPr>
        <w:spacing w:before="312" w:beforeLines="100" w:after="312" w:afterLines="100" w:line="440" w:lineRule="exact"/>
        <w:jc w:val="left"/>
        <w:rPr>
          <w:rFonts w:hint="eastAsia" w:ascii="Times New Roman" w:hAnsi="Times New Roman" w:eastAsia="宋体" w:cs="Times New Roman"/>
          <w:kern w:val="2"/>
          <w:sz w:val="28"/>
          <w:szCs w:val="28"/>
          <w:lang w:eastAsia="zh-CN" w:bidi="ar-SA"/>
        </w:rPr>
      </w:pPr>
      <w:r>
        <w:rPr>
          <w:rFonts w:hint="eastAsia" w:ascii="黑体" w:hAnsi="黑体" w:eastAsia="黑体" w:cs="黑体"/>
          <w:sz w:val="28"/>
          <w:lang w:val="en-US" w:eastAsia="zh-CN"/>
        </w:rPr>
        <w:t>5 工作程序</w:t>
      </w:r>
    </w:p>
    <w:p w14:paraId="1D79485A">
      <w:pPr>
        <w:spacing w:beforeLines="50" w:afterLines="50" w:line="440" w:lineRule="exact"/>
        <w:ind w:firstLine="0" w:firstLineChars="0"/>
        <w:rPr>
          <w:rFonts w:hint="eastAsia" w:ascii="宋体" w:hAnsi="宋体" w:eastAsia="宋体" w:cs="宋体"/>
          <w:sz w:val="28"/>
          <w:lang w:val="en-US" w:eastAsia="zh-CN"/>
        </w:rPr>
      </w:pPr>
      <w:r>
        <w:rPr>
          <w:rFonts w:hint="eastAsia" w:ascii="宋体" w:hAnsi="宋体" w:eastAsia="宋体" w:cs="宋体"/>
          <w:sz w:val="28"/>
          <w:lang w:val="en-US" w:eastAsia="zh-CN"/>
        </w:rPr>
        <w:t>5.1通用、专用、外购工具的申请</w:t>
      </w:r>
    </w:p>
    <w:p w14:paraId="50D97039">
      <w:pPr>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技术员负责专用、外购工具的申请，新制专用工具申请需提出相关技术条件和工具种类；技术员申请工具时需核对工具库库存状态，严禁不经核查库存状态盲目申请工具的情况发生，尤其风电类工具或采购金额超过一千元人民币以上的工具，主管技术员及技术部部长严格把关，核查工具申请的必要性、可行性以及是否符合通用标准等。</w:t>
      </w:r>
    </w:p>
    <w:p w14:paraId="40B31825">
      <w:pPr>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通用、专用工具的后续复制申请由物资保障部计划员提出，需与项目助理确认年度装配交付架次，确定申请数量，严禁盲目超额申请工具，造成浪费以及库存积压，工具申请时需在备注栏内填写库存数量及库存可用数量。</w:t>
      </w:r>
    </w:p>
    <w:p w14:paraId="31B20A53">
      <w:pPr>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对于工具申请审批部门领导应严格进行把关，严肃控制工具采购预算。</w:t>
      </w:r>
    </w:p>
    <w:p w14:paraId="1642E58D">
      <w:pPr>
        <w:spacing w:beforeLines="50" w:afterLines="50" w:line="440" w:lineRule="exact"/>
        <w:ind w:firstLine="0" w:firstLineChars="0"/>
        <w:rPr>
          <w:rFonts w:hint="eastAsia" w:ascii="宋体" w:hAnsi="宋体" w:eastAsia="宋体" w:cs="宋体"/>
          <w:sz w:val="28"/>
          <w:lang w:val="en-US" w:eastAsia="zh-CN"/>
        </w:rPr>
      </w:pPr>
      <w:r>
        <w:rPr>
          <w:rFonts w:hint="eastAsia" w:ascii="宋体" w:hAnsi="宋体" w:eastAsia="宋体" w:cs="宋体"/>
          <w:sz w:val="28"/>
          <w:lang w:val="en-US" w:eastAsia="zh-CN"/>
        </w:rPr>
        <w:t>5.2通用、专用、外购工具的接收</w:t>
      </w:r>
    </w:p>
    <w:p w14:paraId="1F6D0C12">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宋体" w:hAnsi="宋体" w:eastAsia="宋体" w:cs="宋体"/>
          <w:sz w:val="28"/>
          <w:szCs w:val="28"/>
          <w:lang w:val="en-US" w:eastAsia="zh-CN"/>
        </w:rPr>
        <w:t>5.2.1</w:t>
      </w:r>
      <w:r>
        <w:rPr>
          <w:rFonts w:hint="eastAsia" w:ascii="宋体" w:hAnsi="宋体" w:eastAsia="宋体" w:cs="宋体"/>
          <w:sz w:val="28"/>
          <w:szCs w:val="28"/>
          <w:lang w:eastAsia="zh-CN"/>
        </w:rPr>
        <w:t>工具计划员负责</w:t>
      </w:r>
      <w:r>
        <w:rPr>
          <w:rFonts w:hint="eastAsia" w:ascii="Times New Roman" w:hAnsi="Times New Roman" w:eastAsia="宋体" w:cs="Times New Roman"/>
          <w:kern w:val="2"/>
          <w:sz w:val="28"/>
          <w:szCs w:val="28"/>
          <w:lang w:eastAsia="zh-CN" w:bidi="ar-SA"/>
        </w:rPr>
        <w:t>核对申请品种表和采购明细清单，工具计划员与工具保管员（新购置工具需由工具申请人及工具主管技术员共同验收，以确定是否符合品种表及使用需求）一起验收工具，核对工具品种、规格、精度、数量，并检查工具的外观质量，将完好无误的工具入库上账，如有不合格工具，应及时通知相关部门处理。</w:t>
      </w:r>
    </w:p>
    <w:p w14:paraId="3574CAB5">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宋体" w:hAnsi="宋体" w:eastAsia="宋体" w:cs="宋体"/>
          <w:sz w:val="28"/>
          <w:szCs w:val="28"/>
          <w:lang w:val="en-US" w:eastAsia="zh-CN"/>
        </w:rPr>
        <w:t>5.2.2</w:t>
      </w:r>
      <w:r>
        <w:rPr>
          <w:rFonts w:hint="eastAsia" w:ascii="Times New Roman" w:hAnsi="Times New Roman" w:eastAsia="宋体" w:cs="Times New Roman"/>
          <w:kern w:val="2"/>
          <w:sz w:val="28"/>
          <w:szCs w:val="28"/>
          <w:lang w:eastAsia="zh-CN" w:bidi="ar-SA"/>
        </w:rPr>
        <w:t>工具保管员将接收的工具按四号定位要求上架。</w:t>
      </w:r>
    </w:p>
    <w:p w14:paraId="5C91561F">
      <w:pPr>
        <w:spacing w:beforeLines="50" w:afterLines="50" w:line="440" w:lineRule="exact"/>
        <w:ind w:firstLine="0" w:firstLineChars="0"/>
        <w:rPr>
          <w:rFonts w:hint="eastAsia" w:ascii="宋体" w:hAnsi="宋体" w:eastAsia="宋体" w:cs="宋体"/>
          <w:sz w:val="28"/>
          <w:lang w:val="en-US" w:eastAsia="en-US"/>
        </w:rPr>
      </w:pPr>
      <w:r>
        <w:rPr>
          <w:rFonts w:hint="eastAsia" w:ascii="宋体" w:hAnsi="宋体" w:eastAsia="宋体" w:cs="宋体"/>
          <w:sz w:val="28"/>
          <w:lang w:val="en-US" w:eastAsia="zh-CN"/>
        </w:rPr>
        <w:t>5.3</w:t>
      </w:r>
      <w:r>
        <w:rPr>
          <w:rFonts w:hint="eastAsia" w:ascii="宋体" w:hAnsi="宋体" w:eastAsia="宋体" w:cs="宋体"/>
          <w:sz w:val="28"/>
          <w:lang w:val="en-US" w:eastAsia="en-US"/>
        </w:rPr>
        <w:t>工具的保管</w:t>
      </w:r>
    </w:p>
    <w:p w14:paraId="4EA1D155">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宋体" w:hAnsi="宋体" w:eastAsia="宋体" w:cs="宋体"/>
          <w:sz w:val="28"/>
          <w:szCs w:val="28"/>
          <w:lang w:val="en-US" w:eastAsia="zh-CN"/>
        </w:rPr>
        <w:t>5.3.1工具</w:t>
      </w:r>
      <w:r>
        <w:rPr>
          <w:rFonts w:hint="eastAsia" w:ascii="Times New Roman" w:hAnsi="Times New Roman" w:eastAsia="宋体" w:cs="Times New Roman"/>
          <w:kern w:val="2"/>
          <w:sz w:val="28"/>
          <w:szCs w:val="28"/>
          <w:lang w:eastAsia="zh-CN" w:bidi="ar-SA"/>
        </w:rPr>
        <w:t>保管员应对工具帐上的所有工具（钻头、铰刀、弹簧销、拉码等无法进行风刻笔标识的除外）进行唯一标识。标识方法：建议风刻笔手写、激光打号机，标识位置：尽量选择在使用过程中不易磨损且明显的位置上。工具的编号原则为CX+工具类型缩写-顺序号，如“CXFD001”，“FD”为风动工具缩写。量具编号按质量安环部要求执行（质量安环部如无要求按上述要求执行）。</w:t>
      </w:r>
    </w:p>
    <w:p w14:paraId="30E87D33">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宋体" w:hAnsi="宋体" w:eastAsia="宋体" w:cs="宋体"/>
          <w:sz w:val="28"/>
          <w:szCs w:val="28"/>
          <w:lang w:val="en-US" w:eastAsia="zh-CN"/>
        </w:rPr>
        <w:t>5.3.2</w:t>
      </w:r>
      <w:r>
        <w:rPr>
          <w:rFonts w:hint="eastAsia" w:ascii="Times New Roman" w:hAnsi="Times New Roman" w:eastAsia="宋体" w:cs="Times New Roman"/>
          <w:kern w:val="2"/>
          <w:sz w:val="28"/>
          <w:szCs w:val="28"/>
          <w:lang w:eastAsia="zh-CN" w:bidi="ar-SA"/>
        </w:rPr>
        <w:t>工具库应保持适当的温度和湿度，库内工具必须按四号定位的要求分类进行存放并妥善保管，定期油封，以防锈蚀、变形等现象发生。</w:t>
      </w:r>
    </w:p>
    <w:p w14:paraId="6217E6C4">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宋体" w:hAnsi="宋体" w:eastAsia="宋体" w:cs="宋体"/>
          <w:sz w:val="28"/>
          <w:szCs w:val="28"/>
          <w:lang w:val="en-US" w:eastAsia="zh-CN"/>
        </w:rPr>
        <w:t>5.3.3</w:t>
      </w:r>
      <w:r>
        <w:rPr>
          <w:rFonts w:hint="eastAsia" w:ascii="Times New Roman" w:hAnsi="Times New Roman" w:eastAsia="宋体" w:cs="Times New Roman"/>
          <w:kern w:val="2"/>
          <w:sz w:val="28"/>
          <w:szCs w:val="28"/>
          <w:lang w:eastAsia="zh-CN" w:bidi="ar-SA"/>
        </w:rPr>
        <w:t>工具摆放必须整齐清洁，库房内通道必须畅通无阻，库内禁止存放与工具无关的物品。</w:t>
      </w:r>
    </w:p>
    <w:p w14:paraId="49FCD3DB">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宋体" w:hAnsi="宋体" w:eastAsia="宋体" w:cs="宋体"/>
          <w:sz w:val="28"/>
          <w:szCs w:val="28"/>
          <w:lang w:val="en-US" w:eastAsia="zh-CN"/>
        </w:rPr>
        <w:t>5.3.4</w:t>
      </w:r>
      <w:r>
        <w:rPr>
          <w:rFonts w:hint="eastAsia" w:ascii="Times New Roman" w:hAnsi="Times New Roman" w:eastAsia="宋体" w:cs="Times New Roman"/>
          <w:kern w:val="2"/>
          <w:sz w:val="28"/>
          <w:szCs w:val="28"/>
          <w:lang w:eastAsia="zh-CN" w:bidi="ar-SA"/>
        </w:rPr>
        <w:t>工具保管员要对工具库的工具做到月清、季盘点，保证帐、物相符；每年年末工具保管员清点库存工具，与工具计划员对账，并将清点结果汇总报工具计划员，由工具计划员组织对两年未使用工具进行封存，防止腐蚀生锈，并对报废工具、损坏工具进行标识分类存放，张贴标识。</w:t>
      </w:r>
    </w:p>
    <w:p w14:paraId="03584C8F">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宋体" w:hAnsi="宋体" w:eastAsia="宋体" w:cs="宋体"/>
          <w:sz w:val="28"/>
          <w:szCs w:val="28"/>
          <w:lang w:val="en-US" w:eastAsia="zh-CN"/>
        </w:rPr>
        <w:t>5.3.5</w:t>
      </w:r>
      <w:r>
        <w:rPr>
          <w:rFonts w:hint="eastAsia" w:ascii="Times New Roman" w:hAnsi="Times New Roman" w:eastAsia="宋体" w:cs="Times New Roman"/>
          <w:kern w:val="2"/>
          <w:sz w:val="28"/>
          <w:szCs w:val="28"/>
          <w:lang w:eastAsia="zh-CN" w:bidi="ar-SA"/>
        </w:rPr>
        <w:t>工具库是厂里的重要储存场地，进入库房人员必须严格遵守防火防盗制度，确保库房的安全。</w:t>
      </w:r>
    </w:p>
    <w:p w14:paraId="6D7DAED0">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宋体" w:hAnsi="宋体" w:eastAsia="宋体" w:cs="宋体"/>
          <w:sz w:val="28"/>
          <w:szCs w:val="28"/>
          <w:lang w:val="en-US" w:eastAsia="zh-CN"/>
        </w:rPr>
        <w:t>5.3.6</w:t>
      </w:r>
      <w:r>
        <w:rPr>
          <w:rFonts w:hint="eastAsia" w:ascii="Times New Roman" w:hAnsi="Times New Roman" w:eastAsia="宋体" w:cs="Times New Roman"/>
          <w:kern w:val="2"/>
          <w:sz w:val="28"/>
          <w:szCs w:val="28"/>
          <w:lang w:eastAsia="zh-CN" w:bidi="ar-SA"/>
        </w:rPr>
        <w:t>工具库将工具标识磨损的工具，进行重新标识处理；工具保管员需对新工具、磨损工具、报废工具进行分类存放并进行显著标识，工具退库时需与借用者共同核实工具状态是否完好，品种是否一致，配套是否齐全，领用者已知工具损坏的情况需提前告知工具保管员，并确认工具损坏情况后方可退库或更换工具。</w:t>
      </w:r>
    </w:p>
    <w:p w14:paraId="09A8497E">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宋体" w:hAnsi="宋体" w:eastAsia="宋体" w:cs="宋体"/>
          <w:sz w:val="28"/>
          <w:szCs w:val="28"/>
          <w:lang w:val="en-US" w:eastAsia="zh-CN"/>
        </w:rPr>
        <w:t>5.3.7</w:t>
      </w:r>
      <w:r>
        <w:rPr>
          <w:rFonts w:hint="eastAsia" w:ascii="Times New Roman" w:hAnsi="Times New Roman" w:eastAsia="宋体" w:cs="Times New Roman"/>
          <w:kern w:val="2"/>
          <w:sz w:val="28"/>
          <w:szCs w:val="28"/>
          <w:lang w:eastAsia="zh-CN" w:bidi="ar-SA"/>
        </w:rPr>
        <w:t>保管员或工人禁止私自将工具借给外单位人员，如外单位人员借用工具需填写公用签，需要主管领导签字同意后方可外借，工具保管员对外借的工具进行建账跟踪；对外公司进行借用工具量具，需经经营发展部或项目管理部填写共用签后方可外借。</w:t>
      </w:r>
    </w:p>
    <w:p w14:paraId="181817DB">
      <w:pPr>
        <w:spacing w:beforeLines="50" w:afterLines="50" w:line="440" w:lineRule="exact"/>
        <w:ind w:firstLine="0" w:firstLineChars="0"/>
        <w:rPr>
          <w:rFonts w:hint="eastAsia" w:ascii="宋体" w:hAnsi="宋体" w:eastAsia="宋体" w:cs="宋体"/>
          <w:sz w:val="28"/>
          <w:lang w:val="en-US" w:eastAsia="en-US"/>
        </w:rPr>
      </w:pPr>
      <w:r>
        <w:rPr>
          <w:rFonts w:hint="eastAsia" w:ascii="宋体" w:hAnsi="宋体" w:eastAsia="宋体" w:cs="宋体"/>
          <w:sz w:val="28"/>
          <w:lang w:val="en-US" w:eastAsia="zh-CN"/>
        </w:rPr>
        <w:t>5.4</w:t>
      </w:r>
      <w:r>
        <w:rPr>
          <w:rFonts w:hint="eastAsia" w:ascii="宋体" w:hAnsi="宋体" w:eastAsia="宋体" w:cs="宋体"/>
          <w:sz w:val="28"/>
          <w:lang w:val="en-US" w:eastAsia="en-US"/>
        </w:rPr>
        <w:t>工具发放</w:t>
      </w:r>
    </w:p>
    <w:p w14:paraId="6F57DF0F">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宋体" w:hAnsi="宋体" w:eastAsia="宋体" w:cs="宋体"/>
          <w:sz w:val="28"/>
          <w:szCs w:val="28"/>
          <w:lang w:val="en-US" w:eastAsia="zh-CN"/>
        </w:rPr>
        <w:t>5.4.1</w:t>
      </w:r>
      <w:r>
        <w:rPr>
          <w:rFonts w:hint="eastAsia" w:ascii="Times New Roman" w:hAnsi="Times New Roman" w:eastAsia="宋体" w:cs="Times New Roman"/>
          <w:kern w:val="2"/>
          <w:sz w:val="28"/>
          <w:szCs w:val="28"/>
          <w:lang w:eastAsia="zh-CN" w:bidi="ar-SA"/>
        </w:rPr>
        <w:t>技术员按工位编制工具配套表，工位按工具配套表领取工具,如需要更新领取工具项目，领用者及时通知主管技术员，对《工具配套表》进行更新，配套表通过审批后，工具库负责变更工具实物。</w:t>
      </w:r>
    </w:p>
    <w:p w14:paraId="19152CA0">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宋体" w:hAnsi="宋体" w:eastAsia="宋体" w:cs="宋体"/>
          <w:sz w:val="28"/>
          <w:szCs w:val="28"/>
          <w:lang w:val="en-US" w:eastAsia="zh-CN"/>
        </w:rPr>
        <w:t>5.4.2</w:t>
      </w:r>
      <w:r>
        <w:rPr>
          <w:rFonts w:hint="eastAsia" w:ascii="Times New Roman" w:hAnsi="Times New Roman" w:eastAsia="宋体" w:cs="Times New Roman"/>
          <w:kern w:val="2"/>
          <w:sz w:val="28"/>
          <w:szCs w:val="28"/>
          <w:lang w:eastAsia="zh-CN" w:bidi="ar-SA"/>
        </w:rPr>
        <w:t>工具配套表上应列出工具的唯一标识，工具库和工具领用人需一起核对工具标识与配套表上的一致性。</w:t>
      </w:r>
    </w:p>
    <w:p w14:paraId="5C5DB86F">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宋体" w:hAnsi="宋体" w:eastAsia="宋体" w:cs="宋体"/>
          <w:sz w:val="28"/>
          <w:szCs w:val="28"/>
          <w:lang w:val="en-US" w:eastAsia="zh-CN"/>
        </w:rPr>
        <w:t>5.4.3</w:t>
      </w:r>
      <w:r>
        <w:rPr>
          <w:rFonts w:hint="eastAsia" w:ascii="Times New Roman" w:hAnsi="Times New Roman" w:eastAsia="宋体" w:cs="Times New Roman"/>
          <w:kern w:val="2"/>
          <w:sz w:val="28"/>
          <w:szCs w:val="28"/>
          <w:lang w:eastAsia="zh-CN" w:bidi="ar-SA"/>
        </w:rPr>
        <w:t>各工位工具要落实具体个人保管，工位根据工具持有情况自行划分具体责任人，并在《工具领用单》上签字不可盖章。员工领用工具时本人持《工具领用单》到工具库办理领用手续，不得他人替领，或事后补手续。在确认工具种类、规格、数量无误后，在《工具领用单》上签字，完成领用手续，同时工具保管员更新领用工具电子帐用友账目等。注：《工具领用单》由保管员统一打印。</w:t>
      </w:r>
    </w:p>
    <w:p w14:paraId="12797104">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宋体" w:hAnsi="宋体" w:eastAsia="宋体" w:cs="宋体"/>
          <w:sz w:val="28"/>
          <w:szCs w:val="28"/>
          <w:lang w:val="en-US" w:eastAsia="zh-CN"/>
        </w:rPr>
        <w:t>5.4.4</w:t>
      </w:r>
      <w:r>
        <w:rPr>
          <w:rFonts w:hint="eastAsia" w:ascii="Times New Roman" w:hAnsi="Times New Roman" w:eastAsia="宋体" w:cs="Times New Roman"/>
          <w:kern w:val="2"/>
          <w:sz w:val="28"/>
          <w:szCs w:val="28"/>
          <w:lang w:eastAsia="zh-CN" w:bidi="ar-SA"/>
        </w:rPr>
        <w:t>员工退还领用工具时需本人到工具库办理退还手续，由工具保管员在《工具领用单》上“归还日期”填写归还日期，并盖“已退”章，并在“工具保管签字”栏签字。</w:t>
      </w:r>
    </w:p>
    <w:p w14:paraId="57F14F23">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宋体" w:hAnsi="宋体" w:eastAsia="宋体" w:cs="宋体"/>
          <w:sz w:val="28"/>
          <w:szCs w:val="28"/>
          <w:lang w:val="en-US" w:eastAsia="zh-CN"/>
        </w:rPr>
        <w:t>5.4.5</w:t>
      </w:r>
      <w:r>
        <w:rPr>
          <w:rFonts w:hint="eastAsia" w:ascii="Times New Roman" w:hAnsi="Times New Roman" w:eastAsia="宋体" w:cs="Times New Roman"/>
          <w:kern w:val="2"/>
          <w:sz w:val="28"/>
          <w:szCs w:val="28"/>
          <w:lang w:eastAsia="zh-CN" w:bidi="ar-SA"/>
        </w:rPr>
        <w:t>员工厂内工位之间调动或离职时，由车间组织对其负责的工具进行清点核查。</w:t>
      </w:r>
    </w:p>
    <w:p w14:paraId="5F75E3C1">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宋体" w:hAnsi="宋体" w:eastAsia="宋体" w:cs="宋体"/>
          <w:sz w:val="28"/>
          <w:szCs w:val="28"/>
          <w:lang w:val="en-US" w:eastAsia="zh-CN"/>
        </w:rPr>
        <w:t>5.4.6</w:t>
      </w:r>
      <w:r>
        <w:rPr>
          <w:rFonts w:hint="eastAsia" w:ascii="Times New Roman" w:hAnsi="Times New Roman" w:eastAsia="宋体" w:cs="Times New Roman"/>
          <w:kern w:val="2"/>
          <w:sz w:val="28"/>
          <w:szCs w:val="28"/>
          <w:lang w:eastAsia="zh-CN" w:bidi="ar-SA"/>
        </w:rPr>
        <w:t>员工领用工具时，如当时发现工具有损坏、缺陷等问题时，与工具库保管员核实，双方确认后立即给予换新，过后由领用者负责。</w:t>
      </w:r>
    </w:p>
    <w:p w14:paraId="48AF4E7C">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宋体" w:hAnsi="宋体" w:eastAsia="宋体" w:cs="宋体"/>
          <w:sz w:val="28"/>
          <w:szCs w:val="28"/>
          <w:lang w:val="en-US" w:eastAsia="zh-CN"/>
        </w:rPr>
        <w:t>5.4.7</w:t>
      </w:r>
      <w:r>
        <w:rPr>
          <w:rFonts w:hint="eastAsia" w:ascii="Times New Roman" w:hAnsi="Times New Roman" w:eastAsia="宋体" w:cs="Times New Roman"/>
          <w:kern w:val="2"/>
          <w:sz w:val="28"/>
          <w:szCs w:val="28"/>
          <w:lang w:eastAsia="zh-CN" w:bidi="ar-SA"/>
        </w:rPr>
        <w:t>工具库发放工具时，依照先进、先出的原则，以防库存时间过长造成浪费。</w:t>
      </w:r>
    </w:p>
    <w:p w14:paraId="0862D00E">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宋体" w:hAnsi="宋体" w:eastAsia="宋体" w:cs="宋体"/>
          <w:sz w:val="28"/>
          <w:szCs w:val="28"/>
          <w:lang w:val="en-US" w:eastAsia="zh-CN"/>
        </w:rPr>
        <w:t>5.4.8</w:t>
      </w:r>
      <w:r>
        <w:rPr>
          <w:rFonts w:hint="eastAsia" w:ascii="Times New Roman" w:hAnsi="Times New Roman" w:eastAsia="宋体" w:cs="Times New Roman"/>
          <w:kern w:val="2"/>
          <w:sz w:val="28"/>
          <w:szCs w:val="28"/>
          <w:lang w:eastAsia="zh-CN" w:bidi="ar-SA"/>
        </w:rPr>
        <w:t>工区或班组要将工具标识磨损的工具，送工具库进行重新标识处理，任何人不得在工具上私自做一些损坏性的记号，违者按照工具人为损坏处理。</w:t>
      </w:r>
    </w:p>
    <w:p w14:paraId="51D456DE">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宋体" w:hAnsi="宋体" w:eastAsia="宋体" w:cs="宋体"/>
          <w:sz w:val="28"/>
          <w:szCs w:val="28"/>
          <w:lang w:val="en-US" w:eastAsia="zh-CN"/>
        </w:rPr>
        <w:t>5.4.9</w:t>
      </w:r>
      <w:r>
        <w:rPr>
          <w:rFonts w:hint="eastAsia" w:ascii="Times New Roman" w:hAnsi="Times New Roman" w:eastAsia="宋体" w:cs="Times New Roman"/>
          <w:kern w:val="2"/>
          <w:sz w:val="28"/>
          <w:szCs w:val="28"/>
          <w:lang w:eastAsia="zh-CN" w:bidi="ar-SA"/>
        </w:rPr>
        <w:t>临时在工具库借用的工具，需在在1周内归还。</w:t>
      </w:r>
    </w:p>
    <w:p w14:paraId="5A155BD0">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宋体" w:hAnsi="宋体" w:eastAsia="宋体" w:cs="宋体"/>
          <w:sz w:val="28"/>
          <w:szCs w:val="28"/>
          <w:lang w:val="en-US" w:eastAsia="zh-CN"/>
        </w:rPr>
        <w:t>5.4.10</w:t>
      </w:r>
      <w:r>
        <w:rPr>
          <w:rFonts w:hint="eastAsia" w:ascii="Times New Roman" w:hAnsi="Times New Roman" w:eastAsia="宋体" w:cs="Times New Roman"/>
          <w:kern w:val="2"/>
          <w:sz w:val="28"/>
          <w:szCs w:val="28"/>
          <w:lang w:eastAsia="zh-CN" w:bidi="ar-SA"/>
        </w:rPr>
        <w:t>向外厂调出或调入工具，须本单位经办人按规定办完出入库手续并签字，保管员才能按单据出入库工具，归还工具经办人跟中至销账。</w:t>
      </w:r>
    </w:p>
    <w:p w14:paraId="00701A40">
      <w:pPr>
        <w:spacing w:beforeLines="50" w:afterLines="50" w:line="440" w:lineRule="exact"/>
        <w:ind w:firstLine="0" w:firstLineChars="0"/>
        <w:rPr>
          <w:rFonts w:hint="eastAsia" w:ascii="宋体" w:hAnsi="宋体" w:eastAsia="宋体" w:cs="宋体"/>
          <w:sz w:val="28"/>
          <w:lang w:val="en-US" w:eastAsia="zh-CN"/>
        </w:rPr>
      </w:pPr>
      <w:r>
        <w:rPr>
          <w:rFonts w:hint="eastAsia" w:ascii="宋体" w:hAnsi="宋体" w:eastAsia="宋体" w:cs="宋体"/>
          <w:sz w:val="28"/>
          <w:lang w:val="en-US" w:eastAsia="zh-CN"/>
        </w:rPr>
        <w:t>5.5</w:t>
      </w:r>
      <w:r>
        <w:rPr>
          <w:rFonts w:hint="eastAsia" w:ascii="宋体" w:hAnsi="宋体" w:eastAsia="宋体" w:cs="宋体"/>
          <w:sz w:val="28"/>
          <w:lang w:val="en-US" w:eastAsia="en-US"/>
        </w:rPr>
        <w:t>工具报</w:t>
      </w:r>
      <w:r>
        <w:rPr>
          <w:rFonts w:hint="eastAsia" w:ascii="宋体" w:hAnsi="宋体" w:eastAsia="宋体" w:cs="宋体"/>
          <w:sz w:val="28"/>
          <w:lang w:val="en-US" w:eastAsia="zh-CN"/>
        </w:rPr>
        <w:t>废</w:t>
      </w:r>
    </w:p>
    <w:p w14:paraId="67ABBB00">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宋体" w:hAnsi="宋体" w:eastAsia="宋体" w:cs="宋体"/>
          <w:sz w:val="28"/>
          <w:szCs w:val="28"/>
          <w:lang w:val="en-US" w:eastAsia="zh-CN"/>
        </w:rPr>
        <w:t>5.5.1</w:t>
      </w:r>
      <w:r>
        <w:rPr>
          <w:rFonts w:hint="eastAsia" w:ascii="Times New Roman" w:hAnsi="Times New Roman" w:eastAsia="宋体" w:cs="Times New Roman"/>
          <w:kern w:val="2"/>
          <w:sz w:val="28"/>
          <w:szCs w:val="28"/>
          <w:lang w:eastAsia="zh-CN" w:bidi="ar-SA"/>
        </w:rPr>
        <w:t>工人使用的工具属正常磨损不能使用时，经工具库检查同意后方可报废换新。</w:t>
      </w:r>
    </w:p>
    <w:p w14:paraId="4231E038">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宋体" w:hAnsi="宋体" w:eastAsia="宋体" w:cs="宋体"/>
          <w:sz w:val="28"/>
          <w:szCs w:val="28"/>
          <w:lang w:val="en-US" w:eastAsia="zh-CN"/>
        </w:rPr>
        <w:t>5.5.2</w:t>
      </w:r>
      <w:r>
        <w:rPr>
          <w:rFonts w:hint="eastAsia" w:ascii="Times New Roman" w:hAnsi="Times New Roman" w:eastAsia="宋体" w:cs="Times New Roman"/>
          <w:kern w:val="2"/>
          <w:sz w:val="28"/>
          <w:szCs w:val="28"/>
          <w:lang w:eastAsia="zh-CN" w:bidi="ar-SA"/>
        </w:rPr>
        <w:t>经过工程技术部技术员鉴定，凡具有修复价值的工具，必须进行修理；不具有修复价值的工具，方可报销。</w:t>
      </w:r>
    </w:p>
    <w:p w14:paraId="0E7394E5">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宋体" w:hAnsi="宋体" w:eastAsia="宋体" w:cs="宋体"/>
          <w:sz w:val="28"/>
          <w:szCs w:val="28"/>
          <w:lang w:val="en-US" w:eastAsia="zh-CN"/>
        </w:rPr>
        <w:t>5.5.3</w:t>
      </w:r>
      <w:r>
        <w:rPr>
          <w:rFonts w:hint="eastAsia" w:ascii="Times New Roman" w:hAnsi="Times New Roman" w:eastAsia="宋体" w:cs="Times New Roman"/>
          <w:kern w:val="2"/>
          <w:sz w:val="28"/>
          <w:szCs w:val="28"/>
          <w:lang w:eastAsia="zh-CN" w:bidi="ar-SA"/>
        </w:rPr>
        <w:t>对需报废工具时，工具计划员应填写《工具报废申请单》，经工程技术部技术员技术员核准后，由公司财务部门分类验收并清点核查实物。</w:t>
      </w:r>
    </w:p>
    <w:p w14:paraId="0323D2C9">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宋体" w:hAnsi="宋体" w:eastAsia="宋体" w:cs="宋体"/>
          <w:sz w:val="28"/>
          <w:szCs w:val="28"/>
          <w:lang w:val="en-US" w:eastAsia="zh-CN"/>
        </w:rPr>
        <w:t>5.5.4</w:t>
      </w:r>
      <w:r>
        <w:rPr>
          <w:rFonts w:hint="eastAsia" w:ascii="Times New Roman" w:hAnsi="Times New Roman" w:eastAsia="宋体" w:cs="Times New Roman"/>
          <w:kern w:val="2"/>
          <w:sz w:val="28"/>
          <w:szCs w:val="28"/>
          <w:lang w:eastAsia="zh-CN" w:bidi="ar-SA"/>
        </w:rPr>
        <w:t>量具经质量安环部计量检定员（或外协计量单位）检定确认无法修理后，质量安环部计量检定员应填写计量检定结果报告单，作为报销凭证，由工具计划员将报废实物和报废单移交由公司财务部门。</w:t>
      </w:r>
    </w:p>
    <w:p w14:paraId="105A2856">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宋体" w:hAnsi="宋体" w:eastAsia="宋体" w:cs="宋体"/>
          <w:sz w:val="28"/>
          <w:szCs w:val="28"/>
          <w:lang w:val="en-US" w:eastAsia="zh-CN"/>
        </w:rPr>
        <w:t>5.5.5</w:t>
      </w:r>
      <w:r>
        <w:rPr>
          <w:rFonts w:hint="eastAsia" w:ascii="Times New Roman" w:hAnsi="Times New Roman" w:eastAsia="宋体" w:cs="Times New Roman"/>
          <w:kern w:val="2"/>
          <w:sz w:val="28"/>
          <w:szCs w:val="28"/>
          <w:lang w:eastAsia="zh-CN" w:bidi="ar-SA"/>
        </w:rPr>
        <w:t>一次性摊销的工具（如刀片，洗瓶等）不需办理报废手续，只做作领用的凭证。</w:t>
      </w:r>
    </w:p>
    <w:p w14:paraId="6DCA3160">
      <w:pPr>
        <w:spacing w:beforeLines="50" w:afterLines="50" w:line="440" w:lineRule="exact"/>
        <w:ind w:firstLine="0" w:firstLineChars="0"/>
        <w:rPr>
          <w:rFonts w:hint="eastAsia" w:ascii="宋体" w:hAnsi="宋体" w:eastAsia="宋体" w:cs="宋体"/>
          <w:sz w:val="28"/>
          <w:lang w:val="en-US" w:eastAsia="zh-CN"/>
        </w:rPr>
      </w:pPr>
      <w:r>
        <w:rPr>
          <w:rFonts w:hint="eastAsia" w:ascii="宋体" w:hAnsi="宋体" w:eastAsia="宋体" w:cs="宋体"/>
          <w:sz w:val="28"/>
          <w:lang w:val="en-US" w:eastAsia="zh-CN"/>
        </w:rPr>
        <w:t>5.6丢失损坏工具的特殊情况处理</w:t>
      </w:r>
    </w:p>
    <w:p w14:paraId="00D52152">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宋体" w:hAnsi="宋体" w:eastAsia="宋体" w:cs="宋体"/>
          <w:sz w:val="28"/>
          <w:szCs w:val="28"/>
          <w:lang w:val="en-US" w:eastAsia="zh-CN"/>
        </w:rPr>
        <w:t>5.6.1</w:t>
      </w:r>
      <w:r>
        <w:rPr>
          <w:rFonts w:hint="eastAsia" w:ascii="Times New Roman" w:hAnsi="Times New Roman" w:eastAsia="宋体" w:cs="Times New Roman"/>
          <w:kern w:val="2"/>
          <w:sz w:val="28"/>
          <w:szCs w:val="28"/>
          <w:lang w:eastAsia="zh-CN" w:bidi="ar-SA"/>
        </w:rPr>
        <w:t>工具箱被撬，造成工具被盗，工具丢失人必须上报车间主任，由车间主任查实并出具被盗证明，可免除工具丢失人赔偿责任。</w:t>
      </w:r>
    </w:p>
    <w:p w14:paraId="0B6BFA91">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宋体" w:hAnsi="宋体" w:eastAsia="宋体" w:cs="宋体"/>
          <w:sz w:val="28"/>
          <w:szCs w:val="28"/>
          <w:lang w:val="en-US" w:eastAsia="zh-CN"/>
        </w:rPr>
        <w:t>5.6.2</w:t>
      </w:r>
      <w:r>
        <w:rPr>
          <w:rFonts w:hint="eastAsia" w:ascii="Times New Roman" w:hAnsi="Times New Roman" w:eastAsia="宋体" w:cs="Times New Roman"/>
          <w:kern w:val="2"/>
          <w:sz w:val="28"/>
          <w:szCs w:val="28"/>
          <w:lang w:eastAsia="zh-CN" w:bidi="ar-SA"/>
        </w:rPr>
        <w:t>工具人为损坏、丢失，工具责任人要按照财务部要求的《工具赔偿单》和《工具报废申请单》进行填写，注明原因，并由技术部部长、车间主任提出赔偿意见，报物资保障部、财务部审批。工具自然磨损不能正常使用报废时，工具计划员填写《工具报废申请单》办理报销手续。</w:t>
      </w:r>
    </w:p>
    <w:p w14:paraId="487853DC">
      <w:pPr>
        <w:spacing w:beforeLines="50" w:afterLines="50" w:line="440" w:lineRule="exact"/>
        <w:ind w:firstLine="0" w:firstLineChars="0"/>
        <w:rPr>
          <w:rFonts w:hint="eastAsia" w:ascii="宋体" w:hAnsi="宋体" w:eastAsia="宋体" w:cs="宋体"/>
          <w:sz w:val="28"/>
          <w:lang w:val="en-US" w:eastAsia="en-US"/>
        </w:rPr>
      </w:pPr>
      <w:r>
        <w:rPr>
          <w:rFonts w:hint="eastAsia" w:ascii="宋体" w:hAnsi="宋体" w:eastAsia="宋体" w:cs="宋体"/>
          <w:sz w:val="28"/>
          <w:lang w:val="en-US" w:eastAsia="zh-CN"/>
        </w:rPr>
        <w:t>5.7</w:t>
      </w:r>
      <w:r>
        <w:rPr>
          <w:rFonts w:hint="eastAsia" w:ascii="宋体" w:hAnsi="宋体" w:eastAsia="宋体" w:cs="宋体"/>
          <w:sz w:val="28"/>
          <w:lang w:val="en-US" w:eastAsia="en-US"/>
        </w:rPr>
        <w:t>工具赔偿</w:t>
      </w:r>
    </w:p>
    <w:p w14:paraId="4B35F354">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5.7.1通用工具丢失的赔偿。其比例为：民用工具丢失按原价70%～100%赔偿，量具丢失按原价40%～60%赔偿，其他工具的丢失按原价30%～50%赔偿。</w:t>
      </w:r>
    </w:p>
    <w:p w14:paraId="6FC4BBEC">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5.7.2外购工具丢失的赔偿。其比例为：民用工具丢失按原价的20%～40%赔偿；其它工具丢失按原价的10%～20%赔偿。</w:t>
      </w:r>
    </w:p>
    <w:p w14:paraId="696A47D7">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5.7.3专用工具丢失的赔偿。因价格较高，特规定，丢失按采购价格的10%～20%赔偿。</w:t>
      </w:r>
    </w:p>
    <w:p w14:paraId="2D52EDBB">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5.7.4通用、外购、专用工具人为损坏的赔偿。其比例为：按原价的5%～20%赔偿。</w:t>
      </w:r>
    </w:p>
    <w:p w14:paraId="6176E49D">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5.7.5未办理工具修改手续，而私自修改工具，造成工具损坏后降低工具使用寿命，按原价的5%～10%赔偿。如有特殊情况，需经技术员同意后并报告至物资保障部部长审批，经审批后，方可修改。</w:t>
      </w:r>
    </w:p>
    <w:p w14:paraId="292D5864">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5.7.6凡工具丢失、损坏牵涉到几个部门或几个人时，可根据具体情况分别担负一部分赔偿，如部门之间无法取得一致意见，可报至副总经理协调确定责任。</w:t>
      </w:r>
    </w:p>
    <w:p w14:paraId="4BA4C9BF">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5.7.7赔偿金额由单位财务部从工资中扣除，如赔偿金额超过本人全月工资的20%，分三月扣除。</w:t>
      </w:r>
    </w:p>
    <w:p w14:paraId="0BDC80ED">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5.7.8量具丢失，除按上述赔偿外，丢失者还应向副总经理书写纸质版情况说明并处罚款人民币100元（于当月工资中扣除），工具找回时罚款下月返还。</w:t>
      </w:r>
    </w:p>
    <w:p w14:paraId="254AC417">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5.7.9职工调离岗位或离职人员，要按规定对丢失工具进行赔偿，未完成报废赔偿手续的，将不予以签订调离、离职手续。扣款完成或按赔偿单完成全部报废赔偿的，方予以办理调离、离职手续，保管员未能识别出的工具由保管员负责赔偿。</w:t>
      </w:r>
    </w:p>
    <w:p w14:paraId="40515E7A">
      <w:pPr>
        <w:spacing w:beforeLines="50" w:afterLines="50" w:line="440" w:lineRule="exact"/>
        <w:ind w:firstLine="0" w:firstLineChars="0"/>
        <w:rPr>
          <w:rFonts w:hint="eastAsia" w:ascii="宋体" w:hAnsi="宋体" w:eastAsia="宋体" w:cs="宋体"/>
          <w:sz w:val="28"/>
          <w:lang w:val="en-US" w:eastAsia="en-US"/>
        </w:rPr>
      </w:pPr>
      <w:r>
        <w:rPr>
          <w:rFonts w:hint="eastAsia" w:ascii="宋体" w:hAnsi="宋体" w:eastAsia="宋体" w:cs="宋体"/>
          <w:sz w:val="28"/>
          <w:lang w:val="en-US" w:eastAsia="zh-CN"/>
        </w:rPr>
        <w:t>5.8</w:t>
      </w:r>
      <w:r>
        <w:rPr>
          <w:rFonts w:hint="eastAsia" w:ascii="宋体" w:hAnsi="宋体" w:eastAsia="宋体" w:cs="宋体"/>
          <w:sz w:val="28"/>
          <w:lang w:val="en-US" w:eastAsia="en-US"/>
        </w:rPr>
        <w:t>工具账目检查和考核</w:t>
      </w:r>
    </w:p>
    <w:p w14:paraId="0CA24A09">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5.8.1各工区主任负责对车间内部工具账目进行日常检查与考核。</w:t>
      </w:r>
    </w:p>
    <w:p w14:paraId="48FEFB55">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5.8.2财务部负责日常抽查工具库库存工具和配套至工区的帐实相符情况。</w:t>
      </w:r>
    </w:p>
    <w:p w14:paraId="78FCD154">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5.8.3财务部每季度对工具库库存工具和现场工具进行抽查。每季度检查一次，确保每季度检查范围覆盖所有工区部门，工区部门内随机工位抽查。检查结果作为绩效考核数据，具体考核方法参考公司绩效考核程序。</w:t>
      </w:r>
    </w:p>
    <w:p w14:paraId="15F78179">
      <w:pPr>
        <w:widowControl w:val="0"/>
        <w:spacing w:line="440" w:lineRule="exact"/>
        <w:ind w:firstLine="560" w:firstLineChars="200"/>
        <w:jc w:val="left"/>
        <w:rPr>
          <w:rFonts w:hint="eastAsia" w:ascii="宋体" w:hAnsi="宋体" w:eastAsia="宋体" w:cs="宋体"/>
          <w:sz w:val="28"/>
          <w:lang w:val="en-US" w:eastAsia="zh-CN"/>
        </w:rPr>
      </w:pPr>
      <w:r>
        <w:rPr>
          <w:rFonts w:hint="eastAsia" w:ascii="宋体" w:hAnsi="宋体" w:eastAsia="宋体" w:cs="宋体"/>
          <w:sz w:val="28"/>
          <w:szCs w:val="28"/>
          <w:lang w:val="en-US" w:eastAsia="zh-CN"/>
        </w:rPr>
        <w:t>5.8.4主动上报工具丢失的，责任人需按照正常工具丢失情况进行赔偿；如果被财务部抽查出工具丢失的，则需要按照正常赔偿金额的双倍进行赔偿。</w:t>
      </w:r>
    </w:p>
    <w:p w14:paraId="532EBF78">
      <w:pPr>
        <w:spacing w:beforeLines="50" w:afterLines="50" w:line="440" w:lineRule="exact"/>
        <w:ind w:firstLine="0" w:firstLineChars="0"/>
        <w:rPr>
          <w:rFonts w:hint="eastAsia" w:ascii="宋体" w:hAnsi="宋体" w:eastAsia="宋体" w:cs="宋体"/>
          <w:sz w:val="28"/>
          <w:lang w:val="en-US" w:eastAsia="zh-CN"/>
        </w:rPr>
      </w:pPr>
      <w:r>
        <w:rPr>
          <w:rFonts w:hint="eastAsia" w:ascii="宋体" w:hAnsi="宋体" w:eastAsia="宋体" w:cs="宋体"/>
          <w:sz w:val="28"/>
          <w:lang w:val="en-US" w:eastAsia="zh-CN"/>
        </w:rPr>
        <w:t>5.9量具、精密仪器及其它重要工具的使用</w:t>
      </w:r>
    </w:p>
    <w:p w14:paraId="4374477E">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5.9.1量具是精密工具（如激光跟踪仪、热补仪、关节臂等），使用时必须要保持清洁，量具使用前，要检查是否有合格标志，在使用过程中应首先停机，轻拿轻放，测量不得暴力使用，用完后将量具擦净，放入包装箱内，而且量具要保证定期进行检查（定检）。</w:t>
      </w:r>
    </w:p>
    <w:p w14:paraId="5EE79200">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5.9.2精密测量仪器（如欧姆仪、测厚仪、粗糙度测量仪等），操作人员必须进行操作使用培训，使用过程应精心爱护。领用、归还时工具保管员与领用者共同对仪器配件进行清点核查。</w:t>
      </w:r>
    </w:p>
    <w:p w14:paraId="74D8F30C">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5.9.3现场领用量具或其他精密仪器使用后需与其他工装工具进行隔离封存，使用后应及时进行清理，进行必要的油封存储。</w:t>
      </w:r>
    </w:p>
    <w:p w14:paraId="41F10686">
      <w:pPr>
        <w:spacing w:beforeLines="50" w:afterLines="50" w:line="440" w:lineRule="exact"/>
        <w:ind w:firstLine="0" w:firstLineChars="0"/>
        <w:rPr>
          <w:rFonts w:hint="eastAsia" w:ascii="宋体" w:hAnsi="宋体" w:eastAsia="宋体" w:cs="宋体"/>
          <w:sz w:val="28"/>
          <w:lang w:val="en-US" w:eastAsia="en-US"/>
        </w:rPr>
      </w:pPr>
      <w:r>
        <w:rPr>
          <w:rFonts w:hint="eastAsia" w:ascii="宋体" w:hAnsi="宋体" w:eastAsia="宋体" w:cs="宋体"/>
          <w:sz w:val="28"/>
          <w:lang w:val="en-US" w:eastAsia="zh-CN"/>
        </w:rPr>
        <w:t>5.10</w:t>
      </w:r>
      <w:r>
        <w:rPr>
          <w:rFonts w:hint="eastAsia" w:ascii="宋体" w:hAnsi="宋体" w:eastAsia="宋体" w:cs="宋体"/>
          <w:sz w:val="28"/>
          <w:lang w:val="en-US" w:eastAsia="en-US"/>
        </w:rPr>
        <w:t>重要工具维护保养</w:t>
      </w:r>
    </w:p>
    <w:p w14:paraId="56942390">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重要工具必须经过上岗培训后方可进行使用，使用过程中禁止对工具进行私自拆解或改装。</w:t>
      </w:r>
    </w:p>
    <w:p w14:paraId="0C251FD6">
      <w:pPr>
        <w:spacing w:beforeLines="50" w:afterLines="50" w:line="440" w:lineRule="exact"/>
        <w:ind w:firstLine="0" w:firstLineChars="0"/>
        <w:rPr>
          <w:rFonts w:hint="eastAsia" w:ascii="宋体" w:hAnsi="宋体" w:eastAsia="宋体" w:cs="宋体"/>
          <w:sz w:val="28"/>
          <w:lang w:val="en-US" w:eastAsia="en-US"/>
        </w:rPr>
      </w:pPr>
      <w:r>
        <w:rPr>
          <w:rFonts w:hint="eastAsia" w:ascii="宋体" w:hAnsi="宋体" w:eastAsia="宋体" w:cs="宋体"/>
          <w:sz w:val="28"/>
          <w:lang w:val="en-US" w:eastAsia="zh-CN"/>
        </w:rPr>
        <w:t>5.11</w:t>
      </w:r>
      <w:r>
        <w:rPr>
          <w:rFonts w:hint="eastAsia" w:ascii="宋体" w:hAnsi="宋体" w:eastAsia="宋体" w:cs="宋体"/>
          <w:sz w:val="28"/>
          <w:lang w:val="en-US" w:eastAsia="en-US"/>
        </w:rPr>
        <w:t>工具现场管理</w:t>
      </w:r>
    </w:p>
    <w:p w14:paraId="07430407">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5.11.1存放在生产现场的工具的日常管理由各工区负责。生产现场的工具与《工具配套表》和《工具领用单》应保持一致。如在生产现场发现两表以外的工具，则按违反工艺纪律进行考核。</w:t>
      </w:r>
    </w:p>
    <w:p w14:paraId="30FE2542">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注意：生产现场严禁出现两表以外的工具，临时由工具库借用的工具除外。如员工自购的工具（自购等方式来源的量具用于现场生产或出现在现场），确实生产需要，应立即报给主管技术员，技术员确认该工具的完好性和功能性后，按领用工具进行管理，并更新两表，表中备注工具来源。</w:t>
      </w:r>
    </w:p>
    <w:p w14:paraId="20E82EF8">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5.11.2存放在生产现场的工具，各工位要形成工具清单，每项工具有指定的负责人管理。</w:t>
      </w:r>
    </w:p>
    <w:p w14:paraId="065E9958">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5.11.3存放在生产现场的工具，每天工作结束后，由工区负责人检查工具清理情况、数量及完好性。</w:t>
      </w:r>
    </w:p>
    <w:p w14:paraId="762D6FC0">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5.11.4存放在生产现场的工具，以工区为单位做好日常检查，每季度由物资保障部组织开展全厂现场工具盘点，核对工具数量及完整性。</w:t>
      </w:r>
    </w:p>
    <w:p w14:paraId="48250E16">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5.11.5存放在生产现场的工具要按照6S要求做好定置摆放和可视化存放。</w:t>
      </w:r>
    </w:p>
    <w:p w14:paraId="509A4D37">
      <w:pPr>
        <w:spacing w:beforeLines="50" w:afterLines="50" w:line="440" w:lineRule="exact"/>
        <w:ind w:firstLine="0" w:firstLineChars="0"/>
        <w:rPr>
          <w:rFonts w:hint="eastAsia" w:ascii="宋体" w:hAnsi="宋体" w:eastAsia="宋体" w:cs="宋体"/>
          <w:sz w:val="28"/>
          <w:lang w:val="en-US" w:eastAsia="en-US"/>
        </w:rPr>
      </w:pPr>
      <w:r>
        <w:rPr>
          <w:rFonts w:hint="eastAsia" w:ascii="宋体" w:hAnsi="宋体" w:eastAsia="宋体" w:cs="宋体"/>
          <w:sz w:val="28"/>
          <w:lang w:val="en-US" w:eastAsia="zh-CN"/>
        </w:rPr>
        <w:t>5.12</w:t>
      </w:r>
      <w:r>
        <w:rPr>
          <w:rFonts w:hint="eastAsia" w:ascii="宋体" w:hAnsi="宋体" w:eastAsia="宋体" w:cs="宋体"/>
          <w:sz w:val="28"/>
          <w:lang w:val="en-US" w:eastAsia="en-US"/>
        </w:rPr>
        <w:t>闲置工具的处置</w:t>
      </w:r>
    </w:p>
    <w:p w14:paraId="4A910E0C">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5.12.1当收到项目指令，明确项目停产或收尾时，由工区组织进行工具退还工作。</w:t>
      </w:r>
    </w:p>
    <w:p w14:paraId="39D4BEBF">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5.12.2收到通知后，工区主任要组织工区按照《工具配套表》和《工具领用单》对工区所持有的所有工具进行整理、分类和清点，对于所有工具状态完好情况进行确认。</w:t>
      </w:r>
    </w:p>
    <w:p w14:paraId="31A67DCE">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5.12.3工具整理确认好状态后，有秩序的按照工位顺序到工具库进行工具退还工作，具体工具状态需由工区对应负责人和库房保管员共同确认。必要时，需要主管技术员协助确认状态。对于丢失的工具按照工具丢失流程处置。</w:t>
      </w:r>
    </w:p>
    <w:p w14:paraId="5B350833">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5.12.4对确认好状态的工具按照完好、待返修和报废三种进行分类。对于完好的工具由库房保管员按照工具的四号定位进行上架处理；待返修的工具分类放入待处理区域，按照工具需求的紧急程度进行返修处理；报废的工具在确认责任后，按照工具报废流程处置。</w:t>
      </w:r>
    </w:p>
    <w:p w14:paraId="1C88677E">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5.12.5对于归还需要定检的量具，按照实际需求决定继续定检或封存处置。</w:t>
      </w:r>
    </w:p>
    <w:p w14:paraId="37F713E2">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5.12.6回收入库的状态完好和经返修可用的工具，首先识别是否为客户提供或是客户资产，如果识别为客户提供或是客户资产，对其进行妥善保管，并按清单执行客户处置流程处置。</w:t>
      </w:r>
    </w:p>
    <w:p w14:paraId="1CC2870A">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5.12.7对于回收入库非客户资产的工具，由工具保管员按照通用、专用、消耗、特殊等类型进行分类，按照库房四号定位进行上架处理，并对工具账目进行更新，以便确认闲置状态。</w:t>
      </w:r>
    </w:p>
    <w:p w14:paraId="6DC35E7A">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5.12.8将归还工具的清单和更新后的工具账目提供给工程技术部，工程技术部负责确认已经归还的工具是否可以用于现有和新项目上。在申请新工具时，要综合考虑现有库存，以便减少工具预算。对于用不上的工具，以闲置工具账目的形式定期上报公司，和其他单位共享，以供调拨，避免呆滞。</w:t>
      </w:r>
    </w:p>
    <w:p w14:paraId="7B0C51F9">
      <w:pPr>
        <w:spacing w:beforeLines="50" w:afterLines="50" w:line="440" w:lineRule="exact"/>
        <w:ind w:firstLine="0" w:firstLineChars="0"/>
        <w:rPr>
          <w:rFonts w:hint="eastAsia" w:ascii="宋体" w:hAnsi="宋体" w:eastAsia="宋体" w:cs="宋体"/>
          <w:sz w:val="28"/>
          <w:lang w:val="en-US" w:eastAsia="en-US"/>
        </w:rPr>
      </w:pPr>
      <w:r>
        <w:rPr>
          <w:rFonts w:hint="eastAsia" w:ascii="宋体" w:hAnsi="宋体" w:eastAsia="宋体" w:cs="宋体"/>
          <w:sz w:val="28"/>
          <w:lang w:val="en-US" w:eastAsia="zh-CN"/>
        </w:rPr>
        <w:t>5.13</w:t>
      </w:r>
      <w:r>
        <w:rPr>
          <w:rFonts w:hint="eastAsia" w:ascii="宋体" w:hAnsi="宋体" w:eastAsia="宋体" w:cs="宋体"/>
          <w:sz w:val="28"/>
          <w:lang w:val="en-US" w:eastAsia="en-US"/>
        </w:rPr>
        <w:t>驻外异地工具的管理</w:t>
      </w:r>
    </w:p>
    <w:p w14:paraId="22B1ADC7">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5.13.1当收到指令，明确需要外派人员携带工具前往工作时，由工程技术部负责按照工作需求编制《工具配套表》，并完成审签。</w:t>
      </w:r>
    </w:p>
    <w:p w14:paraId="15646990">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5.13.2工具库保管员接收到《工具配套表》和配套指令后，按照配套表内容进行工具配套，完成配套后由外派团队负责人负责组织工区确认工具状态和领取工具，并在《工具领用单》上填写每项工具的负责人，确认签字。</w:t>
      </w:r>
    </w:p>
    <w:p w14:paraId="48326A9D">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5.13.3外派团队负责人交接时，要进行工区工具交接清点，确保帐物一致，交接清点完成后，确认签字。</w:t>
      </w:r>
    </w:p>
    <w:p w14:paraId="5130F6CE">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5.13.4外派团队工人轮换时，外派团队负责人负责组织工具交接清点，并建立新的《工具领用单》。</w:t>
      </w:r>
    </w:p>
    <w:p w14:paraId="5E791AA5">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5.13.5外派团队如需新增或更改工具配套，需由外派团队工区负责人批准后，再发回厂内进行《工具配套表》的更改审批。</w:t>
      </w:r>
    </w:p>
    <w:p w14:paraId="670015AA">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5.13.6外派团队各工位要指定专人负责工具的日常维护、工具状态的检查、开工前后工具的清点等工具的使用管理工作。</w:t>
      </w:r>
    </w:p>
    <w:p w14:paraId="094BFFEA">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5.13.7外派团队使用量具的定检工作，按照项目具体要求执行，如需寄回定检，量具到期后，由团队负责人指定专人寄回。如需在当地定检，由团队负责人指定专人送检，并将定检信息及时报送回工具库。</w:t>
      </w:r>
    </w:p>
    <w:p w14:paraId="43A56FBA">
      <w:pPr>
        <w:widowControl w:val="0"/>
        <w:spacing w:line="440" w:lineRule="exact"/>
        <w:ind w:firstLine="560" w:firstLineChars="20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5.13.8外派工作结束时，由外派团队工区负责人组织按照《 工具配套表》和《工具领用单》进行工具清单带回，回到厂内后，负责组织外派人员有秩序的归还工具。</w:t>
      </w:r>
    </w:p>
    <w:p w14:paraId="3BBC0F4B">
      <w:pPr>
        <w:spacing w:before="312" w:beforeLines="100" w:after="312" w:afterLines="100" w:line="440" w:lineRule="exact"/>
        <w:jc w:val="left"/>
        <w:rPr>
          <w:rFonts w:hint="eastAsia" w:ascii="黑体" w:hAnsi="黑体" w:eastAsia="黑体" w:cs="黑体"/>
          <w:sz w:val="28"/>
          <w:lang w:val="en-US" w:eastAsia="zh-CN"/>
        </w:rPr>
      </w:pPr>
    </w:p>
    <w:p w14:paraId="562C0FBF">
      <w:pPr>
        <w:spacing w:before="312" w:beforeLines="100" w:after="312" w:afterLines="100" w:line="440" w:lineRule="exact"/>
        <w:jc w:val="left"/>
        <w:rPr>
          <w:rFonts w:hint="eastAsia" w:ascii="黑体" w:hAnsi="黑体" w:eastAsia="黑体" w:cs="黑体"/>
          <w:sz w:val="28"/>
          <w:lang w:val="en-US" w:eastAsia="zh-CN"/>
        </w:rPr>
      </w:pPr>
    </w:p>
    <w:p w14:paraId="3CBC037E">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6 相关流程</w:t>
      </w:r>
    </w:p>
    <w:p w14:paraId="13DED936">
      <w:pPr>
        <w:rPr>
          <w:rFonts w:hint="eastAsia" w:eastAsiaTheme="minorEastAsia"/>
          <w:sz w:val="28"/>
          <w:lang w:eastAsia="zh-CN"/>
        </w:rPr>
      </w:pPr>
      <w:r>
        <w:rPr>
          <w:rFonts w:hint="eastAsia" w:eastAsiaTheme="minorEastAsia"/>
          <w:sz w:val="28"/>
          <w:lang w:eastAsia="zh-CN"/>
        </w:rPr>
        <w:drawing>
          <wp:inline distT="0" distB="0" distL="114300" distR="114300">
            <wp:extent cx="5272405" cy="2771775"/>
            <wp:effectExtent l="0" t="0" r="4445" b="9525"/>
            <wp:docPr id="1" name="图片 1" descr="4568308b12066d0053ea298fdff39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568308b12066d0053ea298fdff39bce"/>
                    <pic:cNvPicPr>
                      <a:picLocks noChangeAspect="1"/>
                    </pic:cNvPicPr>
                  </pic:nvPicPr>
                  <pic:blipFill>
                    <a:blip r:embed="rId6"/>
                    <a:stretch>
                      <a:fillRect/>
                    </a:stretch>
                  </pic:blipFill>
                  <pic:spPr>
                    <a:xfrm>
                      <a:off x="0" y="0"/>
                      <a:ext cx="5272405" cy="2771775"/>
                    </a:xfrm>
                    <a:prstGeom prst="rect">
                      <a:avLst/>
                    </a:prstGeom>
                  </pic:spPr>
                </pic:pic>
              </a:graphicData>
            </a:graphic>
          </wp:inline>
        </w:drawing>
      </w:r>
    </w:p>
    <w:p w14:paraId="6D9FE279">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7 规定表格</w:t>
      </w:r>
    </w:p>
    <w:p w14:paraId="6B50B3AD">
      <w:pPr>
        <w:widowControl w:val="0"/>
        <w:spacing w:line="440" w:lineRule="exact"/>
        <w:ind w:firstLine="560" w:firstLineChars="200"/>
        <w:jc w:val="left"/>
        <w:rPr>
          <w:rFonts w:hint="eastAsia" w:ascii="黑体" w:hAnsi="黑体" w:eastAsia="黑体" w:cs="黑体"/>
          <w:sz w:val="28"/>
          <w:lang w:val="en-US" w:eastAsia="zh-CN"/>
        </w:rPr>
      </w:pPr>
      <w:r>
        <w:rPr>
          <w:rFonts w:hint="eastAsia" w:ascii="Times New Roman" w:hAnsi="Times New Roman" w:eastAsia="宋体" w:cs="Times New Roman"/>
          <w:kern w:val="2"/>
          <w:sz w:val="28"/>
          <w:szCs w:val="28"/>
          <w:lang w:eastAsia="zh-CN" w:bidi="ar-SA"/>
        </w:rPr>
        <w:t>无</w:t>
      </w:r>
    </w:p>
    <w:p w14:paraId="3F911F05">
      <w:pPr>
        <w:spacing w:before="312" w:beforeLines="100" w:after="312" w:afterLines="100" w:line="440" w:lineRule="exact"/>
        <w:jc w:val="left"/>
        <w:rPr>
          <w:rFonts w:hint="eastAsia" w:ascii="黑体" w:hAnsi="黑体" w:eastAsia="黑体" w:cs="黑体"/>
          <w:sz w:val="28"/>
        </w:rPr>
      </w:pPr>
      <w:r>
        <w:rPr>
          <w:rFonts w:hint="eastAsia" w:ascii="黑体" w:hAnsi="黑体" w:eastAsia="黑体" w:cs="黑体"/>
          <w:sz w:val="28"/>
          <w:lang w:val="en-US" w:eastAsia="zh-CN"/>
        </w:rPr>
        <w:t xml:space="preserve">8 </w:t>
      </w:r>
      <w:r>
        <w:rPr>
          <w:rFonts w:hint="eastAsia" w:ascii="黑体" w:hAnsi="黑体" w:eastAsia="黑体" w:cs="黑体"/>
          <w:sz w:val="28"/>
        </w:rPr>
        <w:t>记录控制</w:t>
      </w:r>
    </w:p>
    <w:p w14:paraId="1021523E">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本制度由</w:t>
      </w:r>
      <w:r>
        <w:rPr>
          <w:rFonts w:hint="eastAsia" w:ascii="Times New Roman" w:hAnsi="Times New Roman" w:eastAsia="宋体" w:cs="Times New Roman"/>
          <w:kern w:val="2"/>
          <w:sz w:val="28"/>
          <w:szCs w:val="28"/>
          <w:lang w:val="en-US" w:eastAsia="zh-CN" w:bidi="ar-SA"/>
        </w:rPr>
        <w:t>物资保障部</w:t>
      </w:r>
      <w:r>
        <w:rPr>
          <w:rFonts w:hint="eastAsia" w:ascii="Times New Roman" w:hAnsi="Times New Roman" w:eastAsia="宋体" w:cs="Times New Roman"/>
          <w:kern w:val="2"/>
          <w:sz w:val="28"/>
          <w:szCs w:val="28"/>
          <w:lang w:eastAsia="zh-CN" w:bidi="ar-SA"/>
        </w:rPr>
        <w:t>和</w:t>
      </w:r>
      <w:r>
        <w:rPr>
          <w:rFonts w:hint="eastAsia" w:ascii="Times New Roman" w:hAnsi="Times New Roman" w:eastAsia="宋体" w:cs="Times New Roman"/>
          <w:kern w:val="2"/>
          <w:sz w:val="28"/>
          <w:szCs w:val="28"/>
          <w:lang w:val="en-US" w:eastAsia="zh-CN" w:bidi="ar-SA"/>
        </w:rPr>
        <w:t>各</w:t>
      </w:r>
      <w:r>
        <w:rPr>
          <w:rFonts w:hint="eastAsia" w:ascii="Times New Roman" w:hAnsi="Times New Roman" w:eastAsia="宋体" w:cs="Times New Roman"/>
          <w:kern w:val="2"/>
          <w:sz w:val="28"/>
          <w:szCs w:val="28"/>
          <w:lang w:eastAsia="zh-CN" w:bidi="ar-SA"/>
        </w:rPr>
        <w:t>部门各保存一份，保存期限为长期。</w:t>
      </w:r>
    </w:p>
    <w:p w14:paraId="0CD9BC25">
      <w:pPr>
        <w:rPr>
          <w:rFonts w:hint="eastAsia"/>
        </w:rPr>
      </w:pPr>
    </w:p>
    <w:sectPr>
      <w:footerReference r:id="rId4" w:type="default"/>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063F9">
    <w:pPr>
      <w:pStyle w:val="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EDAEF">
    <w:pPr>
      <w:pStyle w:val="8"/>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83B2D4">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183B2D4">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UyMDJmYTRhNDk0OGFiMTQ1ODRhM2U0Mzk4NzA2NWIifQ=="/>
  </w:docVars>
  <w:rsids>
    <w:rsidRoot w:val="0FF832AC"/>
    <w:rsid w:val="0012451F"/>
    <w:rsid w:val="00196584"/>
    <w:rsid w:val="001E204D"/>
    <w:rsid w:val="003A7039"/>
    <w:rsid w:val="006D7D18"/>
    <w:rsid w:val="00834310"/>
    <w:rsid w:val="00C520BA"/>
    <w:rsid w:val="00D129C3"/>
    <w:rsid w:val="035E109B"/>
    <w:rsid w:val="0DEE156D"/>
    <w:rsid w:val="0F3B1CF0"/>
    <w:rsid w:val="0FF832AC"/>
    <w:rsid w:val="28FB29A4"/>
    <w:rsid w:val="35F91275"/>
    <w:rsid w:val="5F9C33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5"/>
    <w:qFormat/>
    <w:uiPriority w:val="0"/>
    <w:pPr>
      <w:keepNext/>
      <w:spacing w:line="400" w:lineRule="atLeast"/>
      <w:jc w:val="center"/>
      <w:outlineLvl w:val="1"/>
    </w:pPr>
    <w:rPr>
      <w:rFonts w:ascii="宋体" w:hAnsi="宋体"/>
      <w:i/>
      <w:iCs/>
      <w:szCs w:val="28"/>
    </w:rPr>
  </w:style>
  <w:style w:type="paragraph" w:styleId="4">
    <w:name w:val="heading 3"/>
    <w:basedOn w:val="5"/>
    <w:next w:val="1"/>
    <w:link w:val="16"/>
    <w:qFormat/>
    <w:uiPriority w:val="0"/>
    <w:pPr>
      <w:keepNext/>
      <w:spacing w:line="440" w:lineRule="atLeast"/>
      <w:ind w:firstLine="1928" w:firstLineChars="800"/>
      <w:outlineLvl w:val="2"/>
    </w:pPr>
    <w:rPr>
      <w:rFonts w:ascii="宋体" w:hAnsi="宋体"/>
      <w:b/>
      <w:bCs/>
    </w:rPr>
  </w:style>
  <w:style w:type="paragraph" w:styleId="6">
    <w:name w:val="heading 4"/>
    <w:basedOn w:val="1"/>
    <w:next w:val="1"/>
    <w:link w:val="17"/>
    <w:semiHidden/>
    <w:unhideWhenUsed/>
    <w:qFormat/>
    <w:uiPriority w:val="0"/>
    <w:pPr>
      <w:keepNext/>
      <w:keepLines/>
      <w:spacing w:before="280" w:after="290" w:line="372" w:lineRule="auto"/>
      <w:outlineLvl w:val="3"/>
    </w:pPr>
    <w:rPr>
      <w:rFonts w:ascii="Arial" w:hAnsi="Arial" w:eastAsia="黑体"/>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qFormat/>
    <w:uiPriority w:val="99"/>
    <w:pPr>
      <w:ind w:firstLine="420" w:firstLineChars="200"/>
    </w:pPr>
    <w:rPr>
      <w:szCs w:val="22"/>
    </w:rPr>
  </w:style>
  <w:style w:type="paragraph" w:styleId="7">
    <w:name w:val="annotation text"/>
    <w:basedOn w:val="1"/>
    <w:semiHidden/>
    <w:unhideWhenUsed/>
    <w:qFormat/>
    <w:uiPriority w:val="0"/>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link w:val="18"/>
    <w:qFormat/>
    <w:uiPriority w:val="0"/>
    <w:pPr>
      <w:tabs>
        <w:tab w:val="center" w:pos="4153"/>
        <w:tab w:val="right" w:pos="8306"/>
      </w:tabs>
      <w:snapToGrid w:val="0"/>
      <w:jc w:val="center"/>
    </w:pPr>
    <w:rPr>
      <w:sz w:val="18"/>
      <w:szCs w:val="18"/>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123正文"/>
    <w:basedOn w:val="5"/>
    <w:qFormat/>
    <w:uiPriority w:val="0"/>
    <w:pPr>
      <w:autoSpaceDE w:val="0"/>
      <w:autoSpaceDN w:val="0"/>
      <w:spacing w:line="440" w:lineRule="exact"/>
      <w:ind w:left="357" w:firstLine="560"/>
    </w:pPr>
    <w:rPr>
      <w:rFonts w:ascii="宋体" w:cs="宋体"/>
      <w:kern w:val="0"/>
      <w:sz w:val="28"/>
      <w:szCs w:val="24"/>
    </w:rPr>
  </w:style>
  <w:style w:type="paragraph" w:customStyle="1" w:styleId="14">
    <w:name w:val="样式1"/>
    <w:basedOn w:val="3"/>
    <w:qFormat/>
    <w:uiPriority w:val="0"/>
    <w:rPr>
      <w:rFonts w:eastAsia="宋体"/>
    </w:rPr>
  </w:style>
  <w:style w:type="character" w:customStyle="1" w:styleId="15">
    <w:name w:val="标题 2 字符"/>
    <w:link w:val="3"/>
    <w:qFormat/>
    <w:uiPriority w:val="0"/>
    <w:rPr>
      <w:rFonts w:ascii="宋体" w:hAnsi="宋体"/>
      <w:i/>
      <w:iCs/>
      <w:kern w:val="2"/>
      <w:szCs w:val="28"/>
      <w:lang w:bidi="ar-SA"/>
    </w:rPr>
  </w:style>
  <w:style w:type="character" w:customStyle="1" w:styleId="16">
    <w:name w:val="标题 3 字符"/>
    <w:link w:val="4"/>
    <w:qFormat/>
    <w:uiPriority w:val="0"/>
    <w:rPr>
      <w:rFonts w:ascii="宋体" w:hAnsi="宋体"/>
      <w:b/>
      <w:bCs/>
      <w:kern w:val="2"/>
      <w:lang w:bidi="ar-SA"/>
    </w:rPr>
  </w:style>
  <w:style w:type="character" w:customStyle="1" w:styleId="17">
    <w:name w:val="标题 4 字符"/>
    <w:link w:val="6"/>
    <w:qFormat/>
    <w:uiPriority w:val="0"/>
    <w:rPr>
      <w:rFonts w:ascii="Arial" w:hAnsi="Arial" w:eastAsia="黑体"/>
      <w:b/>
      <w:sz w:val="28"/>
    </w:rPr>
  </w:style>
  <w:style w:type="character" w:customStyle="1" w:styleId="18">
    <w:name w:val="页眉 字符"/>
    <w:basedOn w:val="12"/>
    <w:link w:val="9"/>
    <w:qFormat/>
    <w:uiPriority w:val="0"/>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5549</Words>
  <Characters>5677</Characters>
  <Lines>42</Lines>
  <Paragraphs>11</Paragraphs>
  <TotalTime>0</TotalTime>
  <ScaleCrop>false</ScaleCrop>
  <LinksUpToDate>false</LinksUpToDate>
  <CharactersWithSpaces>5707</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2025-09-07T13:48:00Z</dcterms:created>
  <dc:creator>兜里有糖</dc:creator>
  <cp:lastModifiedBy>G</cp:lastModifiedBy>
  <dcterms:modified xsi:type="dcterms:W3CDTF">2025-10-11T08:10:40Z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4F069D9F78F14D58936F888AADF5CD0D_13</vt:lpwstr>
  </property>
  <property fmtid="{D5CDD505-2E9C-101B-9397-08002B2CF9AE}" pid="4" name="KSOTemplateDocerSaveRecord">
    <vt:lpwstr>eyJoZGlkIjoiYjNmMzNmNzE3MDlmMDUyNGVkMzAxYzhkNDcwZDE1NzIifQ==</vt:lpwstr>
  </property>
</Properties>
</file>