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717"/>
        <w:gridCol w:w="320"/>
        <w:gridCol w:w="666"/>
        <w:gridCol w:w="629"/>
        <w:gridCol w:w="1050"/>
        <w:gridCol w:w="505"/>
        <w:gridCol w:w="559"/>
        <w:gridCol w:w="574"/>
        <w:gridCol w:w="476"/>
        <w:gridCol w:w="1036"/>
        <w:gridCol w:w="481"/>
        <w:gridCol w:w="583"/>
        <w:gridCol w:w="1411"/>
      </w:tblGrid>
      <w:tr w14:paraId="4CA65F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97EA93C">
            <w:pPr>
              <w:spacing w:line="360" w:lineRule="auto"/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</w:rPr>
              <w:t>沈阳昌兴复材航空科技有限责任公司</w:t>
            </w:r>
          </w:p>
          <w:p w14:paraId="3927F14A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</w:rPr>
              <w:t>制 度 文 件</w:t>
            </w:r>
          </w:p>
        </w:tc>
      </w:tr>
      <w:tr w14:paraId="4CBDA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75E4643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3983" w:type="dxa"/>
            <w:gridSpan w:val="6"/>
            <w:vMerge w:val="restart"/>
            <w:vAlign w:val="center"/>
          </w:tcPr>
          <w:p w14:paraId="3DDB0551">
            <w:pPr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物料接收运转储存管理程序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05863CB5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87069A2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eastAsia="zh-CN"/>
              </w:rPr>
            </w:pPr>
            <w:r>
              <w:rPr>
                <w:rFonts w:ascii="黑体" w:eastAsia="黑体"/>
                <w:sz w:val="28"/>
                <w:szCs w:val="36"/>
              </w:rPr>
              <w:t>GLTX-</w:t>
            </w:r>
            <w:r>
              <w:rPr>
                <w:rFonts w:hint="eastAsia" w:ascii="黑体" w:eastAsia="黑体"/>
                <w:sz w:val="28"/>
                <w:szCs w:val="36"/>
              </w:rPr>
              <w:t>WZ</w:t>
            </w:r>
            <w:r>
              <w:rPr>
                <w:rFonts w:ascii="黑体" w:eastAsia="黑体"/>
                <w:sz w:val="28"/>
                <w:szCs w:val="36"/>
              </w:rPr>
              <w:t>-0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3</w:t>
            </w:r>
          </w:p>
        </w:tc>
      </w:tr>
      <w:tr w14:paraId="056A0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058A0FA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78E2230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6D0E5ACB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61FAA69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746B16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4F081A6E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bookmarkStart w:id="0" w:name="_GoBack" w:colFirst="5" w:colLast="8"/>
          </w:p>
        </w:tc>
        <w:tc>
          <w:tcPr>
            <w:tcW w:w="3983" w:type="dxa"/>
            <w:gridSpan w:val="6"/>
            <w:vMerge w:val="continue"/>
            <w:vAlign w:val="center"/>
          </w:tcPr>
          <w:p w14:paraId="3E78B8D8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3621E40D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 w:hAnsiTheme="minorHAnsi" w:cstheme="minorBidi"/>
                <w:snapToGrid/>
                <w:kern w:val="2"/>
                <w:sz w:val="28"/>
                <w:szCs w:val="36"/>
                <w:lang w:eastAsia="zh-CN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5D9DC56A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 w:hAnsiTheme="minorHAnsi" w:cstheme="minorBidi"/>
                <w:snapToGrid/>
                <w:kern w:val="2"/>
                <w:sz w:val="28"/>
                <w:szCs w:val="36"/>
                <w:lang w:eastAsia="zh-CN"/>
              </w:rPr>
              <w:t>管理规定</w:t>
            </w:r>
          </w:p>
        </w:tc>
      </w:tr>
      <w:bookmarkEnd w:id="0"/>
      <w:tr w14:paraId="5856F6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50" w:type="dxa"/>
            <w:gridSpan w:val="3"/>
            <w:tcBorders>
              <w:left w:val="single" w:color="auto" w:sz="12" w:space="0"/>
            </w:tcBorders>
            <w:vAlign w:val="center"/>
          </w:tcPr>
          <w:p w14:paraId="65D69C3D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345" w:type="dxa"/>
            <w:gridSpan w:val="3"/>
            <w:vAlign w:val="center"/>
          </w:tcPr>
          <w:p w14:paraId="44BF65BC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物资保障部</w:t>
            </w:r>
          </w:p>
        </w:tc>
        <w:tc>
          <w:tcPr>
            <w:tcW w:w="1638" w:type="dxa"/>
            <w:gridSpan w:val="3"/>
            <w:vAlign w:val="center"/>
          </w:tcPr>
          <w:p w14:paraId="30D94AC0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6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27516C5F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24C6F6C4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2025-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10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11</w:t>
            </w:r>
          </w:p>
        </w:tc>
      </w:tr>
      <w:tr w14:paraId="4B01D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404443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    改    记    录</w:t>
            </w:r>
          </w:p>
        </w:tc>
      </w:tr>
      <w:tr w14:paraId="23AD26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69F184C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序号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1AD8796F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更改单编号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34F9E86B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5D53EA0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更改日期</w:t>
            </w:r>
          </w:p>
        </w:tc>
      </w:tr>
      <w:tr w14:paraId="7ECDEC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7B7CD67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DD6EE1E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C11A0C5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B1A83D4">
            <w:pPr>
              <w:jc w:val="center"/>
              <w:rPr>
                <w:rFonts w:ascii="宋体"/>
              </w:rPr>
            </w:pPr>
          </w:p>
        </w:tc>
      </w:tr>
      <w:tr w14:paraId="66FD0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6EF3D45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36C50F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076685C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656DD1D">
            <w:pPr>
              <w:jc w:val="center"/>
              <w:rPr>
                <w:rFonts w:ascii="宋体"/>
              </w:rPr>
            </w:pPr>
          </w:p>
        </w:tc>
      </w:tr>
      <w:tr w14:paraId="00F91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D893D94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FD6BEBC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416FE3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00A8053">
            <w:pPr>
              <w:jc w:val="center"/>
              <w:rPr>
                <w:rFonts w:ascii="宋体"/>
              </w:rPr>
            </w:pPr>
          </w:p>
        </w:tc>
      </w:tr>
      <w:tr w14:paraId="3BCB1C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2BA3CB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BF8C7E5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43270B1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328220F">
            <w:pPr>
              <w:jc w:val="center"/>
              <w:rPr>
                <w:rFonts w:ascii="宋体"/>
              </w:rPr>
            </w:pPr>
          </w:p>
        </w:tc>
      </w:tr>
      <w:tr w14:paraId="44167E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889F0A2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CB6A18B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826EE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518C455">
            <w:pPr>
              <w:jc w:val="center"/>
              <w:rPr>
                <w:rFonts w:ascii="宋体"/>
              </w:rPr>
            </w:pPr>
          </w:p>
        </w:tc>
      </w:tr>
      <w:tr w14:paraId="2628B8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DBC016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5E77A6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18BA7BA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6FC2134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3E8FDFC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5690003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576F4E9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50" w:type="dxa"/>
            <w:vAlign w:val="center"/>
          </w:tcPr>
          <w:p w14:paraId="1D63D1C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28B2FDA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1584D49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511841C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02BDEC7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36" w:type="dxa"/>
            <w:vAlign w:val="center"/>
          </w:tcPr>
          <w:p w14:paraId="66A0BBE1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2B386E4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管理部</w:t>
            </w:r>
          </w:p>
        </w:tc>
        <w:tc>
          <w:tcPr>
            <w:tcW w:w="1064" w:type="dxa"/>
            <w:gridSpan w:val="2"/>
            <w:vAlign w:val="center"/>
          </w:tcPr>
          <w:p w14:paraId="2C57F46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1B0E0F5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E93115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44000B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22E028A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696F962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292719A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vAlign w:val="center"/>
          </w:tcPr>
          <w:p w14:paraId="5492566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4888134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73F09A1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0C86D6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13B0A0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919DE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</w:tr>
      <w:tr w14:paraId="61047B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03827D8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535BA1F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765724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4C2749B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8F751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C0F209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1D26D5D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A041E9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52F0505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5B30FA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6D4C73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445BDD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657BAB0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5F578DC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7E99F0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1D0968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3839F9D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F4C7BD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CF9B2E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1B1C06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03" w:hRule="atLeast"/>
          <w:jc w:val="center"/>
        </w:trPr>
        <w:tc>
          <w:tcPr>
            <w:tcW w:w="1430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AE7979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1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2DF2E3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E51A3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60292A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4F57147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6E6D659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  <w:tr w14:paraId="3AAC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0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ACA35D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1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60B53F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A534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ACA7D1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0C17A7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EC3A2BC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  <w:tr w14:paraId="3651F9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0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E830B6C">
            <w:pPr>
              <w:jc w:val="center"/>
              <w:rPr>
                <w:rFonts w:hint="eastAsia" w:ascii="宋体" w:eastAsiaTheme="minorEastAsia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290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1699434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</w:tbl>
    <w:p w14:paraId="004A8AE4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8A5DFA8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1 目的</w:t>
      </w:r>
    </w:p>
    <w:p w14:paraId="5612B23F">
      <w:pPr>
        <w:spacing w:line="440" w:lineRule="exact"/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为规范物料全流程管理，加强物料接收、运转及存储各环节的标准化操作，确保物料质量可控、流转高效、存储安全，降低损耗风险，满足生产经营活动的物料需求，依据国家相关法律法规及企业实际管理要求，特制定本程序。</w:t>
      </w:r>
    </w:p>
    <w:p w14:paraId="2A9342B5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2 范围</w:t>
      </w:r>
    </w:p>
    <w:p w14:paraId="30FF74F8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本程序适用于公司所有生产物料、辅助物料、备品备件及其他各类物资的接收验收、内部运转、仓储存储等管理工作，涵盖从供应商到货至物料出库的全流程环节。</w:t>
      </w:r>
    </w:p>
    <w:p w14:paraId="5312E031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3 术语和定义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6725"/>
      </w:tblGrid>
      <w:tr w14:paraId="1641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97" w:type="dxa"/>
            <w:vAlign w:val="center"/>
          </w:tcPr>
          <w:p w14:paraId="6D248905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 门</w:t>
            </w:r>
          </w:p>
        </w:tc>
        <w:tc>
          <w:tcPr>
            <w:tcW w:w="6725" w:type="dxa"/>
            <w:vAlign w:val="center"/>
          </w:tcPr>
          <w:p w14:paraId="1FF6E79F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7CB4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321CF363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物料</w:t>
            </w:r>
          </w:p>
        </w:tc>
        <w:tc>
          <w:tcPr>
            <w:tcW w:w="6725" w:type="dxa"/>
            <w:vAlign w:val="center"/>
          </w:tcPr>
          <w:p w14:paraId="5E0B947A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指用于生产制造、研发试验、设备维护等经营活动的原材料、半成品、成品、包装材料、辅助耗材等物资。</w:t>
            </w:r>
          </w:p>
        </w:tc>
      </w:tr>
      <w:tr w14:paraId="79E1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336E9FCA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接收</w:t>
            </w:r>
          </w:p>
        </w:tc>
        <w:tc>
          <w:tcPr>
            <w:tcW w:w="6725" w:type="dxa"/>
            <w:vAlign w:val="center"/>
          </w:tcPr>
          <w:p w14:paraId="4CE55A82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指物料抵达公司后，完成卸货、验收、信息登记及入库前的准备工作。</w:t>
            </w:r>
          </w:p>
        </w:tc>
      </w:tr>
      <w:tr w14:paraId="297A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58673396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运转</w:t>
            </w:r>
          </w:p>
        </w:tc>
        <w:tc>
          <w:tcPr>
            <w:tcW w:w="6725" w:type="dxa"/>
            <w:vAlign w:val="center"/>
          </w:tcPr>
          <w:p w14:paraId="7CE592AC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指物料在仓储区域内的搬运、分拣、配送，以及从仓储到生产车间、使用部门的流转过程。</w:t>
            </w:r>
          </w:p>
        </w:tc>
      </w:tr>
      <w:tr w14:paraId="2A71B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3C243E63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存储</w:t>
            </w:r>
          </w:p>
        </w:tc>
        <w:tc>
          <w:tcPr>
            <w:tcW w:w="6725" w:type="dxa"/>
            <w:vAlign w:val="center"/>
          </w:tcPr>
          <w:p w14:paraId="5C46B46A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指物料在指定仓储区域内的存放、保管、养护及库存管理活动。</w:t>
            </w:r>
          </w:p>
        </w:tc>
      </w:tr>
    </w:tbl>
    <w:p w14:paraId="60D9EB1E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4 职责和权限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6725"/>
      </w:tblGrid>
      <w:tr w14:paraId="6734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97" w:type="dxa"/>
            <w:vAlign w:val="center"/>
          </w:tcPr>
          <w:p w14:paraId="7B2C01B7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 门</w:t>
            </w:r>
          </w:p>
        </w:tc>
        <w:tc>
          <w:tcPr>
            <w:tcW w:w="6725" w:type="dxa"/>
            <w:vAlign w:val="center"/>
          </w:tcPr>
          <w:p w14:paraId="624AB5FA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1CAB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53AD5108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物资保障部/计划员</w:t>
            </w:r>
          </w:p>
        </w:tc>
        <w:tc>
          <w:tcPr>
            <w:tcW w:w="6725" w:type="dxa"/>
            <w:vAlign w:val="center"/>
          </w:tcPr>
          <w:p w14:paraId="5C1FD8FA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负责组织物料的接收卸货、入库上架、存储保管、出库分拣；维护仓储环境，执行库存盘点；建立物料台账，确保账实相符</w:t>
            </w:r>
          </w:p>
        </w:tc>
      </w:tr>
      <w:tr w14:paraId="3FB5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6B98739F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经营发展部/采购员</w:t>
            </w:r>
          </w:p>
        </w:tc>
        <w:tc>
          <w:tcPr>
            <w:tcW w:w="6725" w:type="dxa"/>
            <w:vAlign w:val="center"/>
          </w:tcPr>
          <w:p w14:paraId="529881B6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负责对接供应商，传递采购到货信息；协调处理物料接收过程中的数量、规格不符等问题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eastAsia="zh-CN" w:bidi="en-US"/>
              </w:rPr>
              <w:t>，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配合质量安环部完成不合格物料的退换货流程</w:t>
            </w:r>
          </w:p>
        </w:tc>
      </w:tr>
      <w:tr w14:paraId="6D8B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3F6202A6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质量安环部/检验员</w:t>
            </w:r>
          </w:p>
        </w:tc>
        <w:tc>
          <w:tcPr>
            <w:tcW w:w="6725" w:type="dxa"/>
            <w:vAlign w:val="center"/>
          </w:tcPr>
          <w:p w14:paraId="262ED963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负责物料的质量检验，出具检验报告；对不合格物料提出处理意见；参与物料存储环境的卫生、安全检查。</w:t>
            </w:r>
          </w:p>
        </w:tc>
      </w:tr>
      <w:tr w14:paraId="6AF3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vAlign w:val="center"/>
          </w:tcPr>
          <w:p w14:paraId="6C4643E3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财务部/会计</w:t>
            </w:r>
          </w:p>
        </w:tc>
        <w:tc>
          <w:tcPr>
            <w:tcW w:w="6725" w:type="dxa"/>
            <w:vAlign w:val="center"/>
          </w:tcPr>
          <w:p w14:paraId="52DCA868">
            <w:pPr>
              <w:widowControl/>
              <w:wordWrap w:val="0"/>
              <w:adjustRightInd w:val="0"/>
              <w:snapToGrid w:val="0"/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负责物料出入库的财务核算；监督库存盘点结果，参与报废物料的审批。</w:t>
            </w:r>
          </w:p>
        </w:tc>
      </w:tr>
    </w:tbl>
    <w:p w14:paraId="093DD053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</w:p>
    <w:p w14:paraId="27C49FD3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5 工作程序</w:t>
      </w:r>
    </w:p>
    <w:p w14:paraId="7568F5D8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5.1物料接收管理</w:t>
      </w:r>
    </w:p>
    <w:p w14:paraId="2D91EC0A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到货通知与准备</w:t>
      </w:r>
    </w:p>
    <w:p w14:paraId="4FDB6A52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自购料：经营发展部在确认供应商发货后，提前 24 小时将准备好《到货通知单》（包含物料名称、规格型号、数量、批次、供应商信息等）提供送至物资保障部、质量安环部。物资保障部根据到货信息安排卸货场地、搬运设备及仓位，做好交接手续。</w:t>
      </w:r>
    </w:p>
    <w:p w14:paraId="1509F631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客供料：由沈飞民机客户供料，由物资保障部计划员对接外部门进行确认到料时间，物资保障部保管员对物料外包装进行检查（包含物料名称、规格型号、数量、批次等），安排卸货场地、搬运设备及仓位，做好交接手续。</w:t>
      </w:r>
    </w:p>
    <w:p w14:paraId="6D9FA1A4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卸货与外观验收：物资保障部保管员核对运输单据与《到货通知单》，检查物料包装是否完好，有无破损、受潮、污染等异常情况。对包装破损或疑似损坏的物料，立即拍照留存证据，并通知经营发展部、质量安环部现场确认。</w:t>
      </w:r>
    </w:p>
    <w:p w14:paraId="25849495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质量检验与数量核对：对自购料，质量安环部需依据材料规范对到货物料进行抽样检验，2 个工作日内出具《验收记录表》，并开具内部合格证。物资保障部保管员同步核对物料数量、规格、批次标签，与供应商送货单、采购订单进行三方比对，确保信息一致。</w:t>
      </w:r>
    </w:p>
    <w:p w14:paraId="67BB690A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入库登记与上架：对经质量安环部检验合格的自购料，物资保障部在 ERP 系统中录入入库信息，生成《入库单》，并按品类、批次分类上架，悬挂物料标识信息。不合格物料由质量安环部标识 “待处理”，存放于不合格品区，经营发展部负责在 5 个工作日内与供应商协商退换货。</w:t>
      </w:r>
    </w:p>
    <w:p w14:paraId="2962321C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5.2物料运转管理</w:t>
      </w:r>
    </w:p>
    <w:p w14:paraId="3512428B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出库：物料计划员依据项目管理部每季度的生产计划，核算物料需求清单，并核对库存数量，确认可发物料后，打印《出库单》。物资保障部库管根据《出库单》进行拣货，遵循 “先进先出、近效期先出” 原则，核对物料标签等信息，确保品类、规格、数量准确。</w:t>
      </w:r>
    </w:p>
    <w:p w14:paraId="7512E9B5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配送及领取：物资保障部根据物料特性选择合适的搬运工具（如叉车、手推车），对易碎、危险品物料执行特殊搬运规范，避免运输损坏。配送及领取至生产车间的物料，需与车间领料人员当面核对签收，填写领料单。</w:t>
      </w:r>
    </w:p>
    <w:p w14:paraId="2589D100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5.3物料存储管理</w:t>
      </w:r>
    </w:p>
    <w:p w14:paraId="0697EA16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仓位规划与标识：物资保障部按物料属性（如原材料、半成品、成品、危险品等）划分存储区域，绘制《仓储平面图》，明确仓位编码规则。物料上架后，实时更新仓位信息至 ERP 系统，确保系统与实物位置对应。</w:t>
      </w:r>
    </w:p>
    <w:p w14:paraId="47A64927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存储环境控制：物资保障部每日记录温湿度数据（常温库温度 0-30℃，湿度 40%-70%；冷库温度 - 20℃以下），对温湿度超标区域及时启动调控设备。定期清洁仓储区域，对胶漆类物料存储应保持通风良好，防止虫害、鼠害，每月进行一次卫生消杀。</w:t>
      </w:r>
    </w:p>
    <w:p w14:paraId="02CD3571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安全与损耗管理：危险品物料存放于专用仓库，配备防火、防爆、防静电设施，实行双人双锁管理。对过期、损坏物料，由物资保障部提交《物料报废申请单》，经质量安环部、财务部审核，分管领导批准后集中处理，并在 ERP 系统中做报废核销。</w:t>
      </w:r>
    </w:p>
    <w:p w14:paraId="4AFE0871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5.4特殊物料管理</w:t>
      </w:r>
    </w:p>
    <w:p w14:paraId="4D0137C6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危险品物料：严格执行《危险化学品安全管理条例》，入库前查验危险品运输资质、安全技术说明书，存放于专用防爆仓库，配备应急处理设备。搬运、存储过程中需穿戴防护装备，作业前进行安全交底，禁止与普通物料混存。</w:t>
      </w:r>
    </w:p>
    <w:p w14:paraId="02FBE186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低温物料：低温复合材料等需温控的物料，存储于恒温恒湿库，配备备用电源和温湿度报警系统，运输过程使用专用冷链车，记录全程温度数据。</w:t>
      </w:r>
    </w:p>
    <w:p w14:paraId="0BDB4AE6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5.5物料外借</w:t>
      </w:r>
    </w:p>
    <w:p w14:paraId="17A0D430">
      <w:pPr>
        <w:spacing w:line="440" w:lineRule="exact"/>
        <w:ind w:firstLine="560" w:firstLineChars="200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必须由项目管理部或经营发展部填写公用签，要求写明事情缘由、物料的数量、规范号、牌号等信息，填写完成后传递至物资保障部，物资保障部应于发起日起后一星期内进行完成物料的发货，由项目管理部、经营发展部对外借物料进行追回。</w:t>
      </w:r>
    </w:p>
    <w:p w14:paraId="3A24BE61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6 相关流程</w:t>
      </w:r>
    </w:p>
    <w:p w14:paraId="54A148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823210"/>
            <wp:effectExtent l="0" t="0" r="6985" b="15240"/>
            <wp:docPr id="3" name="图片 3" descr="7e5178282b571484fde110fd0908f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e5178282b571484fde110fd0908f6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D1CD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7 记录表格</w:t>
      </w:r>
    </w:p>
    <w:p w14:paraId="3CD6BA47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GLTX-WZ-0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01-</w:t>
      </w:r>
      <w:r>
        <w:rPr>
          <w:rFonts w:hint="eastAsia" w:ascii="Times New Roman" w:hAnsi="Times New Roman" w:eastAsia="宋体" w:cs="Times New Roman"/>
          <w:sz w:val="28"/>
          <w:szCs w:val="28"/>
        </w:rPr>
        <w:t>A验收记录表</w:t>
      </w:r>
    </w:p>
    <w:p w14:paraId="40E8C267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GLTX-WZ-0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02-</w:t>
      </w:r>
      <w:r>
        <w:rPr>
          <w:rFonts w:hint="eastAsia" w:ascii="Times New Roman" w:hAnsi="Times New Roman" w:eastAsia="宋体" w:cs="Times New Roman"/>
          <w:sz w:val="28"/>
          <w:szCs w:val="28"/>
        </w:rPr>
        <w:t>A出入库记录表（81表）</w:t>
      </w:r>
    </w:p>
    <w:p w14:paraId="3F911F05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 xml:space="preserve">8 </w:t>
      </w:r>
      <w:r>
        <w:rPr>
          <w:rFonts w:hint="eastAsia" w:ascii="黑体" w:hAnsi="黑体" w:eastAsia="黑体" w:cs="黑体"/>
          <w:sz w:val="28"/>
        </w:rPr>
        <w:t>记录控制</w:t>
      </w:r>
    </w:p>
    <w:p w14:paraId="7847202C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sz w:val="28"/>
          <w:szCs w:val="28"/>
        </w:rPr>
        <w:t>本制度由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物资保障部</w:t>
      </w:r>
      <w:r>
        <w:rPr>
          <w:rFonts w:hint="eastAsia" w:ascii="Times New Roman" w:hAnsi="Times New Roman" w:eastAsia="宋体" w:cs="Times New Roman"/>
          <w:sz w:val="28"/>
          <w:szCs w:val="28"/>
        </w:rPr>
        <w:t>和传阅部门各保存一份，保存期限为长期。</w:t>
      </w:r>
    </w:p>
    <w:p w14:paraId="20914FC0">
      <w:pPr>
        <w:spacing w:line="440" w:lineRule="exact"/>
        <w:ind w:firstLine="560" w:firstLineChars="200"/>
        <w:jc w:val="left"/>
        <w:rPr>
          <w:rFonts w:hint="eastAsia" w:cs="宋体"/>
          <w:snapToGrid w:val="0"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GLTX-WZ-0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01-</w:t>
      </w:r>
      <w:r>
        <w:rPr>
          <w:rFonts w:hint="eastAsia" w:ascii="Times New Roman" w:hAnsi="Times New Roman" w:eastAsia="宋体" w:cs="Times New Roman"/>
          <w:sz w:val="28"/>
          <w:szCs w:val="28"/>
        </w:rPr>
        <w:t>A验收记录表</w:t>
      </w:r>
    </w:p>
    <w:tbl>
      <w:tblPr>
        <w:tblStyle w:val="4"/>
        <w:tblW w:w="8260" w:type="dxa"/>
        <w:tblInd w:w="9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477"/>
        <w:gridCol w:w="884"/>
        <w:gridCol w:w="1477"/>
        <w:gridCol w:w="884"/>
        <w:gridCol w:w="884"/>
        <w:gridCol w:w="884"/>
        <w:gridCol w:w="886"/>
      </w:tblGrid>
      <w:tr w14:paraId="79B00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82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FF15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物料报废申请单</w:t>
            </w:r>
          </w:p>
        </w:tc>
      </w:tr>
      <w:tr w14:paraId="164E6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D169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98DE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物料编码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F8B4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牌号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020D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技术规范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1D6A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规格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7382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716C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单位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17BF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2924B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5847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FFA3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3D60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9867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E641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545B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87E0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B9E6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7FBDE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748A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2F93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7F03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0E55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55EC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E735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A31B6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9B61B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7A57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F2C4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EE35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04AC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4F16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7971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D90D3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9C67B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CFDB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7A56E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10B5A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99A56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1E1C6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D167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69F5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81B96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0570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4F02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1323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AE7D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1872A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544A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5079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75F9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C18F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38C9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598A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0230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6430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D86D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09E0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3845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C5D2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9438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D3B93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633B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7DA8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6559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ABAE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6E3EA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8079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36295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D853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C86D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1FAD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D21B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624C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9CF6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2750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C6D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B1615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CCE8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B216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8BE7A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1DDF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CD9D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F542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AC93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9541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64D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61A73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6216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8B0A4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8757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1F3D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0D25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3E52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50F3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4F26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627B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3E0F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A1653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395B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B832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4708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F87F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8084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5CF4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FBF75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DD86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EBE2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5673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C7B2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A1B9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F743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6744B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CC21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2EDA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CD3B3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782F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4FB2E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2127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D9E6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95D7E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6EEE4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DC75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9519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F392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55C6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</w:tbl>
    <w:p w14:paraId="59A8E14D">
      <w:pPr>
        <w:spacing w:line="440" w:lineRule="exact"/>
        <w:ind w:firstLine="560" w:firstLineChars="200"/>
        <w:jc w:val="left"/>
        <w:rPr>
          <w:rFonts w:cs="宋体"/>
          <w:snapToGrid w:val="0"/>
          <w:kern w:val="0"/>
          <w:sz w:val="28"/>
          <w:szCs w:val="28"/>
        </w:rPr>
      </w:pPr>
    </w:p>
    <w:p w14:paraId="4EB5DFE4">
      <w:pPr>
        <w:spacing w:line="440" w:lineRule="exact"/>
        <w:ind w:firstLine="560" w:firstLineChars="200"/>
        <w:jc w:val="left"/>
        <w:rPr>
          <w:rFonts w:cs="宋体"/>
          <w:snapToGrid w:val="0"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GLTX-WZ-0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01-</w:t>
      </w:r>
      <w:r>
        <w:rPr>
          <w:rFonts w:hint="eastAsia" w:ascii="Times New Roman" w:hAnsi="Times New Roman" w:eastAsia="宋体" w:cs="Times New Roman"/>
          <w:sz w:val="28"/>
          <w:szCs w:val="28"/>
        </w:rPr>
        <w:t>A验收记录表</w:t>
      </w:r>
    </w:p>
    <w:tbl>
      <w:tblPr>
        <w:tblStyle w:val="4"/>
        <w:tblW w:w="823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258"/>
        <w:gridCol w:w="1257"/>
        <w:gridCol w:w="649"/>
        <w:gridCol w:w="1257"/>
        <w:gridCol w:w="1257"/>
        <w:gridCol w:w="1257"/>
        <w:gridCol w:w="650"/>
      </w:tblGrid>
      <w:tr w14:paraId="11C3C6C6">
        <w:trPr>
          <w:trHeight w:val="483" w:hRule="atLeast"/>
        </w:trPr>
        <w:tc>
          <w:tcPr>
            <w:tcW w:w="823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52AD0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验收记录表</w:t>
            </w:r>
          </w:p>
        </w:tc>
      </w:tr>
      <w:tr w14:paraId="16292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AD51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17B9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材料名称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3807B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材料规范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8D998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牌号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47AEF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到货日期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08BF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验收日期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D6E9E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是否合格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D76AC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2B501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3C045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7F160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7D12F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4E44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B65FA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1898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85C8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66C2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7547B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D40DC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21193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D1BE0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740B6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E647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5ABE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4D1D7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70039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203BA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3A51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5716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F74CF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508D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4006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36561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9120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8C08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0779D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62AFA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F9D4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5CCA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9A0C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E123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1A71B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881E2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FA181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2DC9F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95479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82E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3FF7F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17CD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45486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F7C02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939A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99C2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08472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76FF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2EC4D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43095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CAD5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8C4A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4E03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F893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4731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74173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2242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686F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87D66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3A236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6C56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357B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BFF0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84F0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79B18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F2A76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0C904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8C6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A744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FDA26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4C00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B5E8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B534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1CB5F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4F62A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891BC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FA889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56DB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3564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D12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AB460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9EB5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28937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5B3D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4435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BB25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95A0E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4A8D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1A514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AC058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5BE60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65713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C54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DA64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50ED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A439B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47CB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6402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2900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1CF8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214FC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5C80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C3F87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2039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38EA8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8947B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90B3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3DAA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C7FD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2FFFB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1C77E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31793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0517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65D9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5832A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9C9D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4B288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5F8F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71867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8772F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516B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9059C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D1E74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A3B9B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193A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F2FFE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502AC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6B493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182DB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9FA6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C7D8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B6B20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D950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FAA5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A4112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32D6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62725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E67C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458E6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7418F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EFCE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DF170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822F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6017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792A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51FD7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6689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ADAF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115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F48C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C4E06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E17AF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36AA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3A8B4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0944D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A121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909AE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9450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D6FB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7527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878C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167F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1741D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0FE5B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047FC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A7218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BF0EC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A6484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3076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3781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6A2C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3C8C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5123A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B8024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3CAD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A48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58498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0889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935A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0D12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914C2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</w:tbl>
    <w:p w14:paraId="6E7FEF5C">
      <w:pPr>
        <w:spacing w:line="440" w:lineRule="exact"/>
        <w:ind w:firstLine="560" w:firstLineChars="200"/>
        <w:jc w:val="left"/>
        <w:rPr>
          <w:rFonts w:hint="eastAsia" w:cs="宋体"/>
          <w:snapToGrid w:val="0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D219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D5541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D5541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00894216"/>
    <w:rsid w:val="00286F4D"/>
    <w:rsid w:val="005D7CC7"/>
    <w:rsid w:val="006500A8"/>
    <w:rsid w:val="008279DE"/>
    <w:rsid w:val="00894216"/>
    <w:rsid w:val="009813FC"/>
    <w:rsid w:val="0E070FDF"/>
    <w:rsid w:val="14BE2FE6"/>
    <w:rsid w:val="40111FC3"/>
    <w:rsid w:val="50EF170C"/>
    <w:rsid w:val="54942B41"/>
    <w:rsid w:val="5C6D7692"/>
    <w:rsid w:val="64463D77"/>
    <w:rsid w:val="72CE7D09"/>
    <w:rsid w:val="732A444C"/>
    <w:rsid w:val="732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2272</Words>
  <Characters>2358</Characters>
  <Lines>21</Lines>
  <Paragraphs>6</Paragraphs>
  <TotalTime>0</TotalTime>
  <ScaleCrop>false</ScaleCrop>
  <LinksUpToDate>false</LinksUpToDate>
  <CharactersWithSpaces>2571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2025-09-07T15:09:00Z</dcterms:created>
  <dc:creator>34178</dc:creator>
  <cp:lastModifiedBy>G</cp:lastModifiedBy>
  <dcterms:modified xsi:type="dcterms:W3CDTF">2025-10-11T08:10:39Z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KSOTemplateDocerSaveRecord">
    <vt:lpwstr>eyJoZGlkIjoiYjNmMzNmNzE3MDlmMDUyNGVkMzAxYzhkNDcwZDE1NzIifQ==</vt:lpwstr>
  </property>
  <property fmtid="{D5CDD505-2E9C-101B-9397-08002B2CF9AE}" pid="4" name="ICV">
    <vt:lpwstr>C16E7E51360941EB938CAEFBF15343E3_13</vt:lpwstr>
  </property>
</Properties>
</file>