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1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894"/>
        <w:gridCol w:w="143"/>
        <w:gridCol w:w="666"/>
        <w:gridCol w:w="629"/>
        <w:gridCol w:w="1050"/>
        <w:gridCol w:w="505"/>
        <w:gridCol w:w="559"/>
        <w:gridCol w:w="574"/>
        <w:gridCol w:w="476"/>
        <w:gridCol w:w="1036"/>
        <w:gridCol w:w="481"/>
        <w:gridCol w:w="583"/>
        <w:gridCol w:w="1411"/>
      </w:tblGrid>
      <w:tr w14:paraId="205D9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6F99E9FD">
            <w:pPr>
              <w:spacing w:line="360" w:lineRule="auto"/>
              <w:jc w:val="center"/>
              <w:rPr>
                <w:rFonts w:ascii="黑体" w:eastAsia="黑体"/>
                <w:spacing w:val="20"/>
                <w:sz w:val="44"/>
                <w:szCs w:val="44"/>
              </w:rPr>
            </w:pPr>
            <w:r>
              <w:rPr>
                <w:rFonts w:hint="eastAsia" w:ascii="黑体" w:eastAsia="黑体"/>
                <w:spacing w:val="20"/>
                <w:sz w:val="44"/>
                <w:szCs w:val="44"/>
              </w:rPr>
              <w:t>沈阳昌兴复材航空科技有限责任公司</w:t>
            </w:r>
          </w:p>
          <w:p w14:paraId="195D8486">
            <w:pPr>
              <w:spacing w:line="360" w:lineRule="auto"/>
              <w:jc w:val="center"/>
              <w:rPr>
                <w:rFonts w:ascii="宋体"/>
                <w:spacing w:val="160"/>
                <w:sz w:val="36"/>
                <w:szCs w:val="36"/>
              </w:rPr>
            </w:pPr>
            <w:r>
              <w:rPr>
                <w:rFonts w:hint="eastAsia" w:ascii="黑体" w:eastAsia="黑体"/>
                <w:spacing w:val="20"/>
                <w:sz w:val="44"/>
                <w:szCs w:val="44"/>
              </w:rPr>
              <w:t>制 度 文 件</w:t>
            </w:r>
          </w:p>
        </w:tc>
      </w:tr>
      <w:tr w14:paraId="4CCCC3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5A9FDF97">
            <w:pPr>
              <w:spacing w:line="400" w:lineRule="exact"/>
              <w:jc w:val="center"/>
              <w:rPr>
                <w:rFonts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68F211D8">
            <w:pPr>
              <w:jc w:val="center"/>
              <w:rPr>
                <w:rFonts w:ascii="黑体" w:eastAsia="黑体"/>
                <w:sz w:val="28"/>
                <w:szCs w:val="36"/>
              </w:rPr>
            </w:pPr>
            <w:r>
              <w:rPr>
                <w:rFonts w:hint="eastAsia" w:ascii="黑体" w:eastAsia="黑体"/>
                <w:sz w:val="28"/>
                <w:szCs w:val="36"/>
                <w:lang w:val="en-US" w:eastAsia="zh-CN"/>
              </w:rPr>
              <w:t>工装信息</w:t>
            </w:r>
            <w:r>
              <w:rPr>
                <w:rFonts w:hint="eastAsia" w:ascii="黑体" w:eastAsia="黑体"/>
                <w:sz w:val="28"/>
                <w:szCs w:val="36"/>
              </w:rPr>
              <w:t>管理程序</w:t>
            </w:r>
          </w:p>
        </w:tc>
        <w:tc>
          <w:tcPr>
            <w:tcW w:w="1993" w:type="dxa"/>
            <w:gridSpan w:val="3"/>
            <w:tcBorders>
              <w:bottom w:val="single" w:color="auto" w:sz="4" w:space="0"/>
            </w:tcBorders>
            <w:vAlign w:val="center"/>
          </w:tcPr>
          <w:p w14:paraId="7AF0DECC">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2B0FE04B">
            <w:pPr>
              <w:spacing w:line="400" w:lineRule="exact"/>
              <w:jc w:val="center"/>
              <w:rPr>
                <w:rFonts w:ascii="黑体" w:eastAsia="黑体"/>
                <w:sz w:val="28"/>
                <w:szCs w:val="36"/>
              </w:rPr>
            </w:pPr>
            <w:r>
              <w:rPr>
                <w:rFonts w:ascii="黑体" w:eastAsia="黑体"/>
                <w:sz w:val="28"/>
                <w:szCs w:val="36"/>
              </w:rPr>
              <w:t>GLTX-</w:t>
            </w:r>
            <w:r>
              <w:rPr>
                <w:rFonts w:hint="eastAsia" w:ascii="黑体" w:eastAsia="黑体"/>
                <w:sz w:val="28"/>
                <w:szCs w:val="36"/>
              </w:rPr>
              <w:t>WZ</w:t>
            </w:r>
            <w:r>
              <w:rPr>
                <w:rFonts w:ascii="黑体" w:eastAsia="黑体"/>
                <w:sz w:val="28"/>
                <w:szCs w:val="36"/>
              </w:rPr>
              <w:t>-0</w:t>
            </w:r>
            <w:r>
              <w:rPr>
                <w:rFonts w:hint="eastAsia" w:ascii="黑体" w:eastAsia="黑体"/>
                <w:sz w:val="28"/>
                <w:szCs w:val="36"/>
                <w:lang w:val="en-US" w:eastAsia="zh-CN"/>
              </w:rPr>
              <w:t>4</w:t>
            </w:r>
          </w:p>
        </w:tc>
      </w:tr>
      <w:tr w14:paraId="5CF9B3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DDF1CBA">
            <w:pPr>
              <w:spacing w:line="400" w:lineRule="exact"/>
              <w:jc w:val="center"/>
              <w:rPr>
                <w:rFonts w:hint="eastAsia" w:ascii="黑体" w:eastAsia="黑体"/>
                <w:sz w:val="28"/>
                <w:szCs w:val="36"/>
              </w:rPr>
            </w:pPr>
          </w:p>
        </w:tc>
        <w:tc>
          <w:tcPr>
            <w:tcW w:w="3983" w:type="dxa"/>
            <w:gridSpan w:val="6"/>
            <w:vMerge w:val="continue"/>
            <w:vAlign w:val="center"/>
          </w:tcPr>
          <w:p w14:paraId="19DD4ECC">
            <w:pPr>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2E10ADC0">
            <w:pPr>
              <w:spacing w:line="400" w:lineRule="exact"/>
              <w:jc w:val="center"/>
              <w:rPr>
                <w:rFonts w:hint="eastAsia" w:ascii="黑体" w:eastAsia="黑体"/>
                <w:sz w:val="28"/>
                <w:szCs w:val="36"/>
              </w:rPr>
            </w:pPr>
            <w:r>
              <w:rPr>
                <w:rFonts w:hint="eastAsia" w:ascii="黑体" w:eastAsia="黑体"/>
                <w:sz w:val="28"/>
                <w:szCs w:val="36"/>
              </w:rPr>
              <w:t>版次</w:t>
            </w:r>
          </w:p>
        </w:tc>
        <w:tc>
          <w:tcPr>
            <w:tcW w:w="1994" w:type="dxa"/>
            <w:gridSpan w:val="2"/>
            <w:tcBorders>
              <w:bottom w:val="single" w:color="auto" w:sz="4" w:space="0"/>
              <w:right w:val="single" w:color="auto" w:sz="12" w:space="0"/>
            </w:tcBorders>
            <w:vAlign w:val="center"/>
          </w:tcPr>
          <w:p w14:paraId="17D40D2C">
            <w:pPr>
              <w:spacing w:line="400" w:lineRule="exact"/>
              <w:jc w:val="center"/>
              <w:rPr>
                <w:rFonts w:ascii="黑体" w:eastAsia="黑体"/>
                <w:sz w:val="28"/>
                <w:szCs w:val="36"/>
              </w:rPr>
            </w:pPr>
            <w:r>
              <w:rPr>
                <w:rFonts w:hint="eastAsia" w:ascii="黑体" w:eastAsia="黑体"/>
                <w:sz w:val="28"/>
                <w:szCs w:val="36"/>
              </w:rPr>
              <w:t>A</w:t>
            </w:r>
          </w:p>
        </w:tc>
      </w:tr>
      <w:tr w14:paraId="78C52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5FB4362E">
            <w:pPr>
              <w:spacing w:line="400" w:lineRule="exact"/>
              <w:jc w:val="center"/>
              <w:rPr>
                <w:rFonts w:ascii="黑体" w:eastAsia="黑体"/>
                <w:sz w:val="28"/>
                <w:szCs w:val="36"/>
              </w:rPr>
            </w:pPr>
            <w:bookmarkStart w:id="2" w:name="_GoBack" w:colFirst="5" w:colLast="8"/>
          </w:p>
        </w:tc>
        <w:tc>
          <w:tcPr>
            <w:tcW w:w="3983" w:type="dxa"/>
            <w:gridSpan w:val="6"/>
            <w:vMerge w:val="continue"/>
            <w:vAlign w:val="center"/>
          </w:tcPr>
          <w:p w14:paraId="31D417A4">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01807677">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文件类别</w:t>
            </w:r>
          </w:p>
        </w:tc>
        <w:tc>
          <w:tcPr>
            <w:tcW w:w="1994" w:type="dxa"/>
            <w:gridSpan w:val="2"/>
            <w:tcBorders>
              <w:top w:val="single" w:color="auto" w:sz="4" w:space="0"/>
              <w:right w:val="single" w:color="auto" w:sz="12" w:space="0"/>
            </w:tcBorders>
            <w:vAlign w:val="center"/>
          </w:tcPr>
          <w:p w14:paraId="2F6C49AF">
            <w:pPr>
              <w:widowControl w:val="0"/>
              <w:kinsoku/>
              <w:autoSpaceDE/>
              <w:autoSpaceDN/>
              <w:adjustRightInd/>
              <w:snapToGrid/>
              <w:spacing w:line="400" w:lineRule="exact"/>
              <w:jc w:val="center"/>
              <w:textAlignment w:val="auto"/>
              <w:rPr>
                <w:rFonts w:ascii="黑体" w:eastAsia="黑体"/>
                <w:sz w:val="28"/>
                <w:szCs w:val="36"/>
              </w:rPr>
            </w:pPr>
            <w:r>
              <w:rPr>
                <w:rFonts w:hint="eastAsia" w:ascii="黑体" w:eastAsia="黑体" w:hAnsiTheme="minorHAnsi" w:cstheme="minorBidi"/>
                <w:snapToGrid/>
                <w:kern w:val="2"/>
                <w:sz w:val="28"/>
                <w:szCs w:val="36"/>
                <w:lang w:eastAsia="zh-CN"/>
              </w:rPr>
              <w:t>管理规定</w:t>
            </w:r>
          </w:p>
        </w:tc>
      </w:tr>
      <w:bookmarkEnd w:id="2"/>
      <w:tr w14:paraId="5FFEA1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4DE0D8AB">
            <w:pPr>
              <w:spacing w:line="400" w:lineRule="exact"/>
              <w:jc w:val="center"/>
              <w:rPr>
                <w:rFonts w:ascii="黑体" w:eastAsia="黑体"/>
                <w:sz w:val="28"/>
                <w:szCs w:val="36"/>
              </w:rPr>
            </w:pPr>
            <w:r>
              <w:rPr>
                <w:rFonts w:hint="eastAsia" w:ascii="黑体" w:eastAsia="黑体"/>
                <w:sz w:val="28"/>
                <w:szCs w:val="36"/>
              </w:rPr>
              <w:t>发文部门</w:t>
            </w:r>
          </w:p>
        </w:tc>
        <w:tc>
          <w:tcPr>
            <w:tcW w:w="2345" w:type="dxa"/>
            <w:gridSpan w:val="3"/>
            <w:vAlign w:val="center"/>
          </w:tcPr>
          <w:p w14:paraId="201CB354">
            <w:pPr>
              <w:spacing w:line="400" w:lineRule="exact"/>
              <w:jc w:val="center"/>
              <w:rPr>
                <w:rFonts w:ascii="黑体" w:eastAsia="黑体"/>
                <w:sz w:val="28"/>
                <w:szCs w:val="36"/>
              </w:rPr>
            </w:pPr>
            <w:r>
              <w:rPr>
                <w:rFonts w:hint="eastAsia" w:ascii="黑体" w:eastAsia="黑体"/>
                <w:sz w:val="28"/>
                <w:szCs w:val="36"/>
              </w:rPr>
              <w:t>物资保障部</w:t>
            </w:r>
          </w:p>
        </w:tc>
        <w:tc>
          <w:tcPr>
            <w:tcW w:w="1638" w:type="dxa"/>
            <w:gridSpan w:val="3"/>
            <w:vAlign w:val="center"/>
          </w:tcPr>
          <w:p w14:paraId="31E2CF5A">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14</w:t>
            </w:r>
            <w:r>
              <w:rPr>
                <w:rFonts w:hint="eastAsia" w:ascii="黑体" w:eastAsia="黑体"/>
                <w:sz w:val="28"/>
                <w:szCs w:val="36"/>
              </w:rPr>
              <w:t>页</w:t>
            </w:r>
          </w:p>
        </w:tc>
        <w:tc>
          <w:tcPr>
            <w:tcW w:w="1993" w:type="dxa"/>
            <w:gridSpan w:val="3"/>
            <w:vAlign w:val="center"/>
          </w:tcPr>
          <w:p w14:paraId="62E169A7">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9CE8BE9">
            <w:pPr>
              <w:spacing w:line="400" w:lineRule="exact"/>
              <w:jc w:val="center"/>
              <w:rPr>
                <w:rFonts w:ascii="黑体" w:eastAsia="黑体"/>
                <w:sz w:val="28"/>
                <w:szCs w:val="36"/>
              </w:rPr>
            </w:pPr>
            <w:r>
              <w:rPr>
                <w:rFonts w:hint="eastAsia" w:ascii="黑体" w:eastAsia="黑体"/>
                <w:sz w:val="28"/>
                <w:szCs w:val="36"/>
              </w:rPr>
              <w:t>2025-</w:t>
            </w:r>
            <w:r>
              <w:rPr>
                <w:rFonts w:hint="eastAsia" w:ascii="黑体" w:eastAsia="黑体"/>
                <w:sz w:val="28"/>
                <w:szCs w:val="36"/>
                <w:lang w:val="en-US" w:eastAsia="zh-CN"/>
              </w:rPr>
              <w:t>10</w:t>
            </w:r>
            <w:r>
              <w:rPr>
                <w:rFonts w:hint="eastAsia" w:ascii="黑体" w:eastAsia="黑体"/>
                <w:sz w:val="28"/>
                <w:szCs w:val="36"/>
              </w:rPr>
              <w:t>-</w:t>
            </w:r>
            <w:r>
              <w:rPr>
                <w:rFonts w:hint="eastAsia" w:ascii="黑体" w:eastAsia="黑体"/>
                <w:sz w:val="28"/>
                <w:szCs w:val="36"/>
                <w:lang w:val="en-US" w:eastAsia="zh-CN"/>
              </w:rPr>
              <w:t>11</w:t>
            </w:r>
          </w:p>
        </w:tc>
      </w:tr>
      <w:tr w14:paraId="5FC4FA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05B34EA9">
            <w:pPr>
              <w:jc w:val="center"/>
              <w:rPr>
                <w:rFonts w:ascii="宋体"/>
                <w:kern w:val="0"/>
                <w:sz w:val="32"/>
                <w:szCs w:val="32"/>
              </w:rPr>
            </w:pPr>
            <w:r>
              <w:rPr>
                <w:rFonts w:hint="eastAsia" w:ascii="宋体" w:hAnsi="Times" w:eastAsia="宋体" w:cs="Times New Roman"/>
                <w:bCs/>
                <w:sz w:val="24"/>
                <w:szCs w:val="28"/>
              </w:rPr>
              <w:t>更    改    记    录</w:t>
            </w:r>
          </w:p>
        </w:tc>
      </w:tr>
      <w:tr w14:paraId="206C6B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3B95439A">
            <w:pPr>
              <w:jc w:val="center"/>
              <w:rPr>
                <w:rFonts w:ascii="宋体"/>
                <w:kern w:val="0"/>
                <w:sz w:val="32"/>
                <w:szCs w:val="32"/>
              </w:rPr>
            </w:pPr>
            <w:r>
              <w:rPr>
                <w:rFonts w:hint="eastAsia" w:ascii="宋体" w:hAnsi="Times" w:eastAsia="宋体" w:cs="Times New Roman"/>
                <w:bCs/>
                <w:sz w:val="24"/>
                <w:szCs w:val="28"/>
              </w:rPr>
              <w:t>序号</w:t>
            </w:r>
          </w:p>
        </w:tc>
        <w:tc>
          <w:tcPr>
            <w:tcW w:w="2184" w:type="dxa"/>
            <w:gridSpan w:val="3"/>
            <w:tcBorders>
              <w:bottom w:val="single" w:color="auto" w:sz="6" w:space="0"/>
            </w:tcBorders>
            <w:vAlign w:val="center"/>
          </w:tcPr>
          <w:p w14:paraId="2B09E0CB">
            <w:pPr>
              <w:jc w:val="center"/>
              <w:rPr>
                <w:rFonts w:ascii="宋体"/>
                <w:kern w:val="0"/>
                <w:sz w:val="32"/>
                <w:szCs w:val="32"/>
              </w:rPr>
            </w:pPr>
            <w:r>
              <w:rPr>
                <w:rFonts w:hint="eastAsia" w:ascii="宋体" w:hAnsi="Times" w:eastAsia="宋体" w:cs="Times New Roman"/>
                <w:bCs/>
                <w:sz w:val="24"/>
                <w:szCs w:val="28"/>
              </w:rPr>
              <w:t>更改单编号</w:t>
            </w:r>
          </w:p>
        </w:tc>
        <w:tc>
          <w:tcPr>
            <w:tcW w:w="2645" w:type="dxa"/>
            <w:gridSpan w:val="4"/>
            <w:tcBorders>
              <w:bottom w:val="single" w:color="auto" w:sz="6" w:space="0"/>
            </w:tcBorders>
            <w:vAlign w:val="center"/>
          </w:tcPr>
          <w:p w14:paraId="2440D4C6">
            <w:pPr>
              <w:jc w:val="center"/>
              <w:rPr>
                <w:rFonts w:ascii="宋体"/>
                <w:kern w:val="0"/>
                <w:sz w:val="32"/>
                <w:szCs w:val="32"/>
              </w:rPr>
            </w:pPr>
            <w:r>
              <w:rPr>
                <w:rFonts w:hint="eastAsia" w:ascii="宋体" w:hAnsi="Times" w:eastAsia="宋体" w:cs="Times New Roman"/>
                <w:bCs/>
                <w:sz w:val="24"/>
                <w:szCs w:val="28"/>
              </w:rPr>
              <w:t>更改者签字</w:t>
            </w:r>
          </w:p>
        </w:tc>
        <w:tc>
          <w:tcPr>
            <w:tcW w:w="2475" w:type="dxa"/>
            <w:gridSpan w:val="3"/>
            <w:tcBorders>
              <w:bottom w:val="single" w:color="auto" w:sz="6" w:space="0"/>
              <w:right w:val="single" w:color="auto" w:sz="12" w:space="0"/>
            </w:tcBorders>
            <w:vAlign w:val="center"/>
          </w:tcPr>
          <w:p w14:paraId="26D7DBAB">
            <w:pPr>
              <w:jc w:val="center"/>
              <w:rPr>
                <w:rFonts w:ascii="宋体"/>
                <w:kern w:val="0"/>
                <w:sz w:val="32"/>
                <w:szCs w:val="32"/>
              </w:rPr>
            </w:pPr>
            <w:r>
              <w:rPr>
                <w:rFonts w:hint="eastAsia" w:ascii="宋体" w:hAnsi="Times" w:eastAsia="宋体" w:cs="Times New Roman"/>
                <w:bCs/>
                <w:sz w:val="24"/>
                <w:szCs w:val="28"/>
              </w:rPr>
              <w:t>更改日期</w:t>
            </w:r>
          </w:p>
        </w:tc>
      </w:tr>
      <w:tr w14:paraId="695313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1707BE8">
            <w:pPr>
              <w:jc w:val="center"/>
              <w:rPr>
                <w:rFonts w:ascii="宋体"/>
              </w:rPr>
            </w:pPr>
          </w:p>
        </w:tc>
        <w:tc>
          <w:tcPr>
            <w:tcW w:w="2184" w:type="dxa"/>
            <w:gridSpan w:val="3"/>
            <w:tcBorders>
              <w:left w:val="single" w:color="auto" w:sz="6" w:space="0"/>
              <w:right w:val="single" w:color="auto" w:sz="6" w:space="0"/>
            </w:tcBorders>
            <w:vAlign w:val="center"/>
          </w:tcPr>
          <w:p w14:paraId="0520FD61">
            <w:pPr>
              <w:jc w:val="center"/>
              <w:rPr>
                <w:rFonts w:ascii="宋体"/>
              </w:rPr>
            </w:pPr>
          </w:p>
        </w:tc>
        <w:tc>
          <w:tcPr>
            <w:tcW w:w="2645" w:type="dxa"/>
            <w:gridSpan w:val="4"/>
            <w:tcBorders>
              <w:left w:val="single" w:color="auto" w:sz="6" w:space="0"/>
              <w:right w:val="single" w:color="auto" w:sz="6" w:space="0"/>
            </w:tcBorders>
            <w:vAlign w:val="center"/>
          </w:tcPr>
          <w:p w14:paraId="11406ACB">
            <w:pPr>
              <w:jc w:val="center"/>
              <w:rPr>
                <w:rFonts w:ascii="宋体"/>
              </w:rPr>
            </w:pPr>
          </w:p>
        </w:tc>
        <w:tc>
          <w:tcPr>
            <w:tcW w:w="2475" w:type="dxa"/>
            <w:gridSpan w:val="3"/>
            <w:tcBorders>
              <w:left w:val="single" w:color="auto" w:sz="6" w:space="0"/>
              <w:right w:val="single" w:color="auto" w:sz="12" w:space="0"/>
            </w:tcBorders>
            <w:vAlign w:val="center"/>
          </w:tcPr>
          <w:p w14:paraId="597C35F8">
            <w:pPr>
              <w:jc w:val="center"/>
              <w:rPr>
                <w:rFonts w:ascii="宋体"/>
              </w:rPr>
            </w:pPr>
          </w:p>
        </w:tc>
      </w:tr>
      <w:tr w14:paraId="487D38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7774FC2C">
            <w:pPr>
              <w:jc w:val="center"/>
              <w:rPr>
                <w:rFonts w:ascii="宋体"/>
              </w:rPr>
            </w:pPr>
          </w:p>
        </w:tc>
        <w:tc>
          <w:tcPr>
            <w:tcW w:w="2184" w:type="dxa"/>
            <w:gridSpan w:val="3"/>
            <w:tcBorders>
              <w:left w:val="single" w:color="auto" w:sz="6" w:space="0"/>
              <w:right w:val="single" w:color="auto" w:sz="6" w:space="0"/>
            </w:tcBorders>
            <w:vAlign w:val="center"/>
          </w:tcPr>
          <w:p w14:paraId="2A7ED406">
            <w:pPr>
              <w:jc w:val="center"/>
              <w:rPr>
                <w:rFonts w:ascii="宋体"/>
              </w:rPr>
            </w:pPr>
          </w:p>
        </w:tc>
        <w:tc>
          <w:tcPr>
            <w:tcW w:w="2645" w:type="dxa"/>
            <w:gridSpan w:val="4"/>
            <w:tcBorders>
              <w:left w:val="single" w:color="auto" w:sz="6" w:space="0"/>
              <w:right w:val="single" w:color="auto" w:sz="6" w:space="0"/>
            </w:tcBorders>
            <w:vAlign w:val="center"/>
          </w:tcPr>
          <w:p w14:paraId="7FA10CF7">
            <w:pPr>
              <w:jc w:val="center"/>
              <w:rPr>
                <w:rFonts w:ascii="宋体"/>
              </w:rPr>
            </w:pPr>
          </w:p>
        </w:tc>
        <w:tc>
          <w:tcPr>
            <w:tcW w:w="2475" w:type="dxa"/>
            <w:gridSpan w:val="3"/>
            <w:tcBorders>
              <w:left w:val="single" w:color="auto" w:sz="6" w:space="0"/>
              <w:right w:val="single" w:color="auto" w:sz="12" w:space="0"/>
            </w:tcBorders>
            <w:vAlign w:val="center"/>
          </w:tcPr>
          <w:p w14:paraId="35016990">
            <w:pPr>
              <w:jc w:val="center"/>
              <w:rPr>
                <w:rFonts w:ascii="宋体"/>
              </w:rPr>
            </w:pPr>
          </w:p>
        </w:tc>
      </w:tr>
      <w:tr w14:paraId="7CF45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984437B">
            <w:pPr>
              <w:jc w:val="center"/>
              <w:rPr>
                <w:rFonts w:ascii="宋体"/>
              </w:rPr>
            </w:pPr>
          </w:p>
        </w:tc>
        <w:tc>
          <w:tcPr>
            <w:tcW w:w="2184" w:type="dxa"/>
            <w:gridSpan w:val="3"/>
            <w:tcBorders>
              <w:left w:val="single" w:color="auto" w:sz="6" w:space="0"/>
              <w:right w:val="single" w:color="auto" w:sz="6" w:space="0"/>
            </w:tcBorders>
            <w:vAlign w:val="center"/>
          </w:tcPr>
          <w:p w14:paraId="56EA3C94">
            <w:pPr>
              <w:jc w:val="center"/>
              <w:rPr>
                <w:rFonts w:ascii="宋体"/>
              </w:rPr>
            </w:pPr>
          </w:p>
        </w:tc>
        <w:tc>
          <w:tcPr>
            <w:tcW w:w="2645" w:type="dxa"/>
            <w:gridSpan w:val="4"/>
            <w:tcBorders>
              <w:left w:val="single" w:color="auto" w:sz="6" w:space="0"/>
              <w:right w:val="single" w:color="auto" w:sz="6" w:space="0"/>
            </w:tcBorders>
            <w:vAlign w:val="center"/>
          </w:tcPr>
          <w:p w14:paraId="1D5089CD">
            <w:pPr>
              <w:jc w:val="center"/>
              <w:rPr>
                <w:rFonts w:ascii="宋体"/>
              </w:rPr>
            </w:pPr>
          </w:p>
        </w:tc>
        <w:tc>
          <w:tcPr>
            <w:tcW w:w="2475" w:type="dxa"/>
            <w:gridSpan w:val="3"/>
            <w:tcBorders>
              <w:left w:val="single" w:color="auto" w:sz="6" w:space="0"/>
              <w:right w:val="single" w:color="auto" w:sz="12" w:space="0"/>
            </w:tcBorders>
            <w:vAlign w:val="center"/>
          </w:tcPr>
          <w:p w14:paraId="5A2A796D">
            <w:pPr>
              <w:jc w:val="center"/>
              <w:rPr>
                <w:rFonts w:ascii="宋体"/>
              </w:rPr>
            </w:pPr>
          </w:p>
        </w:tc>
      </w:tr>
      <w:tr w14:paraId="079852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EB8F9CA">
            <w:pPr>
              <w:jc w:val="center"/>
              <w:rPr>
                <w:rFonts w:ascii="宋体"/>
              </w:rPr>
            </w:pPr>
          </w:p>
        </w:tc>
        <w:tc>
          <w:tcPr>
            <w:tcW w:w="2184" w:type="dxa"/>
            <w:gridSpan w:val="3"/>
            <w:tcBorders>
              <w:left w:val="single" w:color="auto" w:sz="6" w:space="0"/>
              <w:right w:val="single" w:color="auto" w:sz="6" w:space="0"/>
            </w:tcBorders>
            <w:vAlign w:val="center"/>
          </w:tcPr>
          <w:p w14:paraId="4CEE9A6A">
            <w:pPr>
              <w:jc w:val="center"/>
              <w:rPr>
                <w:rFonts w:ascii="宋体"/>
              </w:rPr>
            </w:pPr>
          </w:p>
        </w:tc>
        <w:tc>
          <w:tcPr>
            <w:tcW w:w="2645" w:type="dxa"/>
            <w:gridSpan w:val="4"/>
            <w:tcBorders>
              <w:left w:val="single" w:color="auto" w:sz="6" w:space="0"/>
              <w:right w:val="single" w:color="auto" w:sz="6" w:space="0"/>
            </w:tcBorders>
            <w:vAlign w:val="center"/>
          </w:tcPr>
          <w:p w14:paraId="31C9C34B">
            <w:pPr>
              <w:jc w:val="center"/>
              <w:rPr>
                <w:rFonts w:ascii="宋体"/>
              </w:rPr>
            </w:pPr>
          </w:p>
        </w:tc>
        <w:tc>
          <w:tcPr>
            <w:tcW w:w="2475" w:type="dxa"/>
            <w:gridSpan w:val="3"/>
            <w:tcBorders>
              <w:left w:val="single" w:color="auto" w:sz="6" w:space="0"/>
              <w:right w:val="single" w:color="auto" w:sz="12" w:space="0"/>
            </w:tcBorders>
            <w:vAlign w:val="center"/>
          </w:tcPr>
          <w:p w14:paraId="7E0250E7">
            <w:pPr>
              <w:jc w:val="center"/>
              <w:rPr>
                <w:rFonts w:ascii="宋体"/>
              </w:rPr>
            </w:pPr>
          </w:p>
        </w:tc>
      </w:tr>
      <w:tr w14:paraId="2811C3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CA2F266">
            <w:pPr>
              <w:jc w:val="center"/>
              <w:rPr>
                <w:rFonts w:ascii="宋体"/>
              </w:rPr>
            </w:pPr>
          </w:p>
        </w:tc>
        <w:tc>
          <w:tcPr>
            <w:tcW w:w="2184" w:type="dxa"/>
            <w:gridSpan w:val="3"/>
            <w:tcBorders>
              <w:left w:val="single" w:color="auto" w:sz="6" w:space="0"/>
              <w:right w:val="single" w:color="auto" w:sz="6" w:space="0"/>
            </w:tcBorders>
            <w:vAlign w:val="center"/>
          </w:tcPr>
          <w:p w14:paraId="72BCC6C1">
            <w:pPr>
              <w:jc w:val="center"/>
              <w:rPr>
                <w:rFonts w:ascii="宋体"/>
              </w:rPr>
            </w:pPr>
          </w:p>
        </w:tc>
        <w:tc>
          <w:tcPr>
            <w:tcW w:w="2645" w:type="dxa"/>
            <w:gridSpan w:val="4"/>
            <w:tcBorders>
              <w:left w:val="single" w:color="auto" w:sz="6" w:space="0"/>
              <w:right w:val="single" w:color="auto" w:sz="6" w:space="0"/>
            </w:tcBorders>
            <w:vAlign w:val="center"/>
          </w:tcPr>
          <w:p w14:paraId="498A103A">
            <w:pPr>
              <w:jc w:val="center"/>
              <w:rPr>
                <w:rFonts w:ascii="宋体"/>
              </w:rPr>
            </w:pPr>
          </w:p>
        </w:tc>
        <w:tc>
          <w:tcPr>
            <w:tcW w:w="2475" w:type="dxa"/>
            <w:gridSpan w:val="3"/>
            <w:tcBorders>
              <w:left w:val="single" w:color="auto" w:sz="6" w:space="0"/>
              <w:right w:val="single" w:color="auto" w:sz="12" w:space="0"/>
            </w:tcBorders>
            <w:vAlign w:val="center"/>
          </w:tcPr>
          <w:p w14:paraId="6D0BC523">
            <w:pPr>
              <w:jc w:val="center"/>
              <w:rPr>
                <w:rFonts w:ascii="宋体"/>
              </w:rPr>
            </w:pPr>
          </w:p>
        </w:tc>
      </w:tr>
      <w:tr w14:paraId="2AE132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4A9BD297">
            <w:pPr>
              <w:jc w:val="center"/>
              <w:rPr>
                <w:rFonts w:ascii="宋体"/>
                <w:spacing w:val="100"/>
                <w:sz w:val="24"/>
              </w:rPr>
            </w:pPr>
            <w:r>
              <w:rPr>
                <w:rFonts w:hint="eastAsia" w:ascii="宋体"/>
                <w:spacing w:val="100"/>
                <w:sz w:val="24"/>
              </w:rPr>
              <w:t>分发路线</w:t>
            </w:r>
          </w:p>
        </w:tc>
      </w:tr>
      <w:tr w14:paraId="071837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37D90E6A">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10BCBAD">
            <w:pPr>
              <w:jc w:val="center"/>
              <w:rPr>
                <w:rFonts w:ascii="宋体"/>
                <w:spacing w:val="50"/>
                <w:sz w:val="22"/>
                <w:szCs w:val="22"/>
              </w:rPr>
            </w:pPr>
            <w:r>
              <w:rPr>
                <w:rFonts w:hint="eastAsia" w:ascii="宋体"/>
                <w:spacing w:val="50"/>
                <w:sz w:val="22"/>
                <w:szCs w:val="22"/>
              </w:rPr>
              <w:t>经营</w:t>
            </w:r>
          </w:p>
          <w:p w14:paraId="1D06FFAC">
            <w:pPr>
              <w:jc w:val="center"/>
              <w:rPr>
                <w:rFonts w:ascii="宋体"/>
                <w:spacing w:val="50"/>
                <w:sz w:val="22"/>
                <w:szCs w:val="22"/>
              </w:rPr>
            </w:pPr>
            <w:r>
              <w:rPr>
                <w:rFonts w:hint="eastAsia" w:ascii="宋体"/>
                <w:spacing w:val="50"/>
                <w:sz w:val="22"/>
                <w:szCs w:val="22"/>
              </w:rPr>
              <w:t>发展部</w:t>
            </w:r>
          </w:p>
        </w:tc>
        <w:tc>
          <w:tcPr>
            <w:tcW w:w="1295" w:type="dxa"/>
            <w:gridSpan w:val="2"/>
            <w:vAlign w:val="center"/>
          </w:tcPr>
          <w:p w14:paraId="3324A64D">
            <w:pPr>
              <w:jc w:val="center"/>
              <w:rPr>
                <w:rFonts w:ascii="宋体"/>
                <w:spacing w:val="50"/>
                <w:sz w:val="22"/>
                <w:szCs w:val="22"/>
              </w:rPr>
            </w:pPr>
            <w:r>
              <w:rPr>
                <w:rFonts w:hint="eastAsia" w:ascii="宋体"/>
                <w:spacing w:val="50"/>
                <w:sz w:val="22"/>
                <w:szCs w:val="22"/>
              </w:rPr>
              <w:t>行政</w:t>
            </w:r>
          </w:p>
          <w:p w14:paraId="33FFEE7D">
            <w:pPr>
              <w:jc w:val="center"/>
              <w:rPr>
                <w:rFonts w:ascii="宋体"/>
                <w:spacing w:val="50"/>
                <w:sz w:val="22"/>
                <w:szCs w:val="22"/>
              </w:rPr>
            </w:pPr>
            <w:r>
              <w:rPr>
                <w:rFonts w:hint="eastAsia" w:ascii="宋体"/>
                <w:spacing w:val="50"/>
                <w:sz w:val="22"/>
                <w:szCs w:val="22"/>
              </w:rPr>
              <w:t>人事部</w:t>
            </w:r>
          </w:p>
        </w:tc>
        <w:tc>
          <w:tcPr>
            <w:tcW w:w="1050" w:type="dxa"/>
            <w:vAlign w:val="center"/>
          </w:tcPr>
          <w:p w14:paraId="0BF33688">
            <w:pPr>
              <w:jc w:val="center"/>
              <w:rPr>
                <w:rFonts w:ascii="宋体"/>
                <w:spacing w:val="50"/>
                <w:sz w:val="22"/>
                <w:szCs w:val="22"/>
              </w:rPr>
            </w:pPr>
            <w:r>
              <w:rPr>
                <w:rFonts w:hint="eastAsia" w:ascii="宋体"/>
                <w:spacing w:val="50"/>
                <w:sz w:val="22"/>
                <w:szCs w:val="22"/>
              </w:rPr>
              <w:t>工程</w:t>
            </w:r>
          </w:p>
          <w:p w14:paraId="480344CC">
            <w:pPr>
              <w:jc w:val="center"/>
              <w:rPr>
                <w:rFonts w:ascii="宋体"/>
                <w:spacing w:val="50"/>
                <w:sz w:val="22"/>
                <w:szCs w:val="22"/>
              </w:rPr>
            </w:pPr>
            <w:r>
              <w:rPr>
                <w:rFonts w:hint="eastAsia" w:ascii="宋体"/>
                <w:spacing w:val="50"/>
                <w:sz w:val="22"/>
                <w:szCs w:val="22"/>
              </w:rPr>
              <w:t>技术部</w:t>
            </w:r>
          </w:p>
        </w:tc>
        <w:tc>
          <w:tcPr>
            <w:tcW w:w="1064" w:type="dxa"/>
            <w:gridSpan w:val="2"/>
            <w:vAlign w:val="center"/>
          </w:tcPr>
          <w:p w14:paraId="0EE373A6">
            <w:pPr>
              <w:jc w:val="center"/>
              <w:rPr>
                <w:rFonts w:ascii="宋体"/>
                <w:spacing w:val="50"/>
                <w:sz w:val="22"/>
                <w:szCs w:val="22"/>
              </w:rPr>
            </w:pPr>
            <w:r>
              <w:rPr>
                <w:rFonts w:hint="eastAsia" w:ascii="宋体"/>
                <w:spacing w:val="50"/>
                <w:sz w:val="22"/>
                <w:szCs w:val="22"/>
              </w:rPr>
              <w:t>财务部</w:t>
            </w:r>
          </w:p>
        </w:tc>
        <w:tc>
          <w:tcPr>
            <w:tcW w:w="1050" w:type="dxa"/>
            <w:gridSpan w:val="2"/>
            <w:vAlign w:val="center"/>
          </w:tcPr>
          <w:p w14:paraId="10DE32E0">
            <w:pPr>
              <w:jc w:val="center"/>
              <w:rPr>
                <w:rFonts w:ascii="宋体"/>
                <w:spacing w:val="50"/>
                <w:sz w:val="22"/>
                <w:szCs w:val="22"/>
              </w:rPr>
            </w:pPr>
            <w:r>
              <w:rPr>
                <w:rFonts w:hint="eastAsia" w:ascii="宋体"/>
                <w:spacing w:val="50"/>
                <w:sz w:val="22"/>
                <w:szCs w:val="22"/>
              </w:rPr>
              <w:t>质量</w:t>
            </w:r>
          </w:p>
          <w:p w14:paraId="65966D6F">
            <w:pPr>
              <w:jc w:val="center"/>
              <w:rPr>
                <w:rFonts w:ascii="宋体"/>
                <w:spacing w:val="50"/>
                <w:sz w:val="22"/>
                <w:szCs w:val="22"/>
              </w:rPr>
            </w:pPr>
            <w:r>
              <w:rPr>
                <w:rFonts w:hint="eastAsia" w:ascii="宋体"/>
                <w:spacing w:val="50"/>
                <w:sz w:val="22"/>
                <w:szCs w:val="22"/>
              </w:rPr>
              <w:t>安环部</w:t>
            </w:r>
          </w:p>
        </w:tc>
        <w:tc>
          <w:tcPr>
            <w:tcW w:w="1036" w:type="dxa"/>
            <w:vAlign w:val="center"/>
          </w:tcPr>
          <w:p w14:paraId="3CB42AB6">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7E5C3A99">
            <w:pPr>
              <w:jc w:val="center"/>
              <w:rPr>
                <w:rFonts w:ascii="宋体"/>
                <w:spacing w:val="50"/>
                <w:sz w:val="22"/>
                <w:szCs w:val="22"/>
              </w:rPr>
            </w:pPr>
            <w:r>
              <w:rPr>
                <w:rFonts w:hint="eastAsia" w:ascii="宋体"/>
                <w:spacing w:val="50"/>
                <w:sz w:val="22"/>
                <w:szCs w:val="22"/>
                <w:lang w:val="en-US" w:eastAsia="zh-CN"/>
              </w:rPr>
              <w:t>管理部</w:t>
            </w:r>
          </w:p>
        </w:tc>
        <w:tc>
          <w:tcPr>
            <w:tcW w:w="1064" w:type="dxa"/>
            <w:gridSpan w:val="2"/>
            <w:vAlign w:val="center"/>
          </w:tcPr>
          <w:p w14:paraId="1AC4DB06">
            <w:pPr>
              <w:jc w:val="center"/>
              <w:rPr>
                <w:rFonts w:ascii="宋体"/>
                <w:spacing w:val="50"/>
                <w:sz w:val="22"/>
                <w:szCs w:val="22"/>
              </w:rPr>
            </w:pPr>
            <w:r>
              <w:rPr>
                <w:rFonts w:hint="eastAsia" w:ascii="宋体"/>
                <w:spacing w:val="50"/>
                <w:sz w:val="22"/>
                <w:szCs w:val="22"/>
              </w:rPr>
              <w:t>物资</w:t>
            </w:r>
          </w:p>
          <w:p w14:paraId="0DE99BC3">
            <w:pPr>
              <w:jc w:val="center"/>
              <w:rPr>
                <w:rFonts w:ascii="宋体"/>
                <w:spacing w:val="50"/>
                <w:sz w:val="22"/>
                <w:szCs w:val="22"/>
              </w:rPr>
            </w:pPr>
            <w:r>
              <w:rPr>
                <w:rFonts w:hint="eastAsia" w:ascii="宋体"/>
                <w:spacing w:val="50"/>
                <w:sz w:val="22"/>
                <w:szCs w:val="22"/>
              </w:rPr>
              <w:t>保障部</w:t>
            </w:r>
          </w:p>
        </w:tc>
        <w:tc>
          <w:tcPr>
            <w:tcW w:w="1411" w:type="dxa"/>
            <w:tcBorders>
              <w:right w:val="single" w:color="auto" w:sz="12" w:space="0"/>
            </w:tcBorders>
            <w:vAlign w:val="center"/>
          </w:tcPr>
          <w:p w14:paraId="4C7E1B1E">
            <w:pPr>
              <w:jc w:val="center"/>
              <w:rPr>
                <w:rFonts w:ascii="宋体"/>
                <w:spacing w:val="50"/>
                <w:sz w:val="22"/>
                <w:szCs w:val="22"/>
              </w:rPr>
            </w:pPr>
            <w:r>
              <w:rPr>
                <w:rFonts w:hint="eastAsia" w:ascii="宋体"/>
                <w:spacing w:val="50"/>
                <w:sz w:val="22"/>
                <w:szCs w:val="22"/>
              </w:rPr>
              <w:t>复材车间</w:t>
            </w:r>
          </w:p>
        </w:tc>
      </w:tr>
      <w:tr w14:paraId="115E01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003EA4A0">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7311F53E">
            <w:pPr>
              <w:jc w:val="center"/>
              <w:rPr>
                <w:rFonts w:ascii="宋体"/>
                <w:spacing w:val="50"/>
                <w:sz w:val="22"/>
                <w:szCs w:val="22"/>
              </w:rPr>
            </w:pPr>
            <w:r>
              <w:rPr>
                <w:rFonts w:hint="eastAsia" w:ascii="宋体"/>
                <w:spacing w:val="50"/>
                <w:sz w:val="22"/>
                <w:szCs w:val="22"/>
              </w:rPr>
              <w:t>1</w:t>
            </w:r>
          </w:p>
        </w:tc>
        <w:tc>
          <w:tcPr>
            <w:tcW w:w="1295" w:type="dxa"/>
            <w:gridSpan w:val="2"/>
            <w:vAlign w:val="center"/>
          </w:tcPr>
          <w:p w14:paraId="5CE84EDA">
            <w:pPr>
              <w:jc w:val="center"/>
              <w:rPr>
                <w:rFonts w:ascii="宋体"/>
                <w:spacing w:val="50"/>
                <w:sz w:val="22"/>
                <w:szCs w:val="22"/>
              </w:rPr>
            </w:pPr>
            <w:r>
              <w:rPr>
                <w:rFonts w:hint="eastAsia" w:ascii="宋体"/>
                <w:spacing w:val="50"/>
                <w:sz w:val="22"/>
                <w:szCs w:val="22"/>
              </w:rPr>
              <w:t>1</w:t>
            </w:r>
          </w:p>
        </w:tc>
        <w:tc>
          <w:tcPr>
            <w:tcW w:w="1050" w:type="dxa"/>
            <w:vAlign w:val="center"/>
          </w:tcPr>
          <w:p w14:paraId="75475BAA">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4116BB06">
            <w:pPr>
              <w:jc w:val="center"/>
              <w:rPr>
                <w:rFonts w:ascii="宋体"/>
                <w:spacing w:val="50"/>
                <w:sz w:val="22"/>
                <w:szCs w:val="22"/>
              </w:rPr>
            </w:pPr>
            <w:r>
              <w:rPr>
                <w:rFonts w:hint="eastAsia" w:ascii="宋体"/>
                <w:spacing w:val="50"/>
                <w:sz w:val="22"/>
                <w:szCs w:val="22"/>
              </w:rPr>
              <w:t>1</w:t>
            </w:r>
          </w:p>
        </w:tc>
        <w:tc>
          <w:tcPr>
            <w:tcW w:w="1050" w:type="dxa"/>
            <w:gridSpan w:val="2"/>
            <w:vAlign w:val="center"/>
          </w:tcPr>
          <w:p w14:paraId="77F9F723">
            <w:pPr>
              <w:jc w:val="center"/>
              <w:rPr>
                <w:rFonts w:ascii="宋体"/>
                <w:spacing w:val="50"/>
                <w:sz w:val="22"/>
                <w:szCs w:val="22"/>
              </w:rPr>
            </w:pPr>
            <w:r>
              <w:rPr>
                <w:rFonts w:hint="eastAsia" w:ascii="宋体"/>
                <w:spacing w:val="50"/>
                <w:sz w:val="22"/>
                <w:szCs w:val="22"/>
              </w:rPr>
              <w:t>1</w:t>
            </w:r>
          </w:p>
        </w:tc>
        <w:tc>
          <w:tcPr>
            <w:tcW w:w="1036" w:type="dxa"/>
            <w:vAlign w:val="center"/>
          </w:tcPr>
          <w:p w14:paraId="662255C7">
            <w:pPr>
              <w:jc w:val="center"/>
              <w:rPr>
                <w:rFonts w:ascii="宋体"/>
                <w:spacing w:val="50"/>
                <w:sz w:val="22"/>
                <w:szCs w:val="22"/>
              </w:rPr>
            </w:pPr>
            <w:r>
              <w:rPr>
                <w:rFonts w:hint="eastAsia" w:ascii="宋体"/>
                <w:spacing w:val="50"/>
                <w:sz w:val="22"/>
                <w:szCs w:val="22"/>
              </w:rPr>
              <w:t>1</w:t>
            </w:r>
          </w:p>
        </w:tc>
        <w:tc>
          <w:tcPr>
            <w:tcW w:w="1064" w:type="dxa"/>
            <w:gridSpan w:val="2"/>
            <w:vAlign w:val="center"/>
          </w:tcPr>
          <w:p w14:paraId="52C991E1">
            <w:pPr>
              <w:jc w:val="center"/>
              <w:rPr>
                <w:rFonts w:ascii="宋体"/>
                <w:spacing w:val="50"/>
                <w:sz w:val="22"/>
                <w:szCs w:val="22"/>
              </w:rPr>
            </w:pPr>
            <w:r>
              <w:rPr>
                <w:rFonts w:hint="eastAsia" w:ascii="宋体"/>
                <w:spacing w:val="50"/>
                <w:sz w:val="22"/>
                <w:szCs w:val="22"/>
              </w:rPr>
              <w:t>1</w:t>
            </w:r>
          </w:p>
        </w:tc>
        <w:tc>
          <w:tcPr>
            <w:tcW w:w="1411" w:type="dxa"/>
            <w:tcBorders>
              <w:right w:val="single" w:color="auto" w:sz="12" w:space="0"/>
            </w:tcBorders>
            <w:vAlign w:val="center"/>
          </w:tcPr>
          <w:p w14:paraId="64A2C736">
            <w:pPr>
              <w:jc w:val="center"/>
              <w:rPr>
                <w:rFonts w:ascii="宋体"/>
                <w:spacing w:val="50"/>
                <w:sz w:val="22"/>
                <w:szCs w:val="22"/>
              </w:rPr>
            </w:pPr>
            <w:r>
              <w:rPr>
                <w:rFonts w:hint="eastAsia" w:ascii="宋体"/>
                <w:spacing w:val="50"/>
                <w:sz w:val="22"/>
                <w:szCs w:val="22"/>
              </w:rPr>
              <w:t>1</w:t>
            </w:r>
          </w:p>
        </w:tc>
      </w:tr>
      <w:tr w14:paraId="1E42F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605853A4">
            <w:pPr>
              <w:jc w:val="center"/>
              <w:rPr>
                <w:rFonts w:ascii="宋体"/>
                <w:spacing w:val="50"/>
                <w:sz w:val="22"/>
                <w:szCs w:val="22"/>
              </w:rPr>
            </w:pPr>
            <w:r>
              <w:rPr>
                <w:rFonts w:hint="eastAsia" w:ascii="宋体"/>
                <w:spacing w:val="50"/>
                <w:sz w:val="22"/>
                <w:szCs w:val="22"/>
              </w:rPr>
              <w:t>部门</w:t>
            </w:r>
          </w:p>
        </w:tc>
        <w:tc>
          <w:tcPr>
            <w:tcW w:w="1037" w:type="dxa"/>
            <w:gridSpan w:val="2"/>
            <w:vAlign w:val="center"/>
          </w:tcPr>
          <w:p w14:paraId="17ED48DB">
            <w:pPr>
              <w:jc w:val="center"/>
              <w:rPr>
                <w:rFonts w:ascii="宋体"/>
                <w:spacing w:val="50"/>
                <w:sz w:val="22"/>
                <w:szCs w:val="22"/>
              </w:rPr>
            </w:pPr>
          </w:p>
        </w:tc>
        <w:tc>
          <w:tcPr>
            <w:tcW w:w="1295" w:type="dxa"/>
            <w:gridSpan w:val="2"/>
            <w:vAlign w:val="center"/>
          </w:tcPr>
          <w:p w14:paraId="616A6E13">
            <w:pPr>
              <w:jc w:val="center"/>
              <w:rPr>
                <w:rFonts w:ascii="宋体"/>
                <w:spacing w:val="50"/>
                <w:sz w:val="22"/>
                <w:szCs w:val="22"/>
              </w:rPr>
            </w:pPr>
          </w:p>
        </w:tc>
        <w:tc>
          <w:tcPr>
            <w:tcW w:w="1050" w:type="dxa"/>
            <w:vAlign w:val="center"/>
          </w:tcPr>
          <w:p w14:paraId="3887AB57">
            <w:pPr>
              <w:jc w:val="center"/>
              <w:rPr>
                <w:rFonts w:ascii="宋体"/>
                <w:spacing w:val="50"/>
                <w:sz w:val="22"/>
                <w:szCs w:val="22"/>
              </w:rPr>
            </w:pPr>
          </w:p>
        </w:tc>
        <w:tc>
          <w:tcPr>
            <w:tcW w:w="1064" w:type="dxa"/>
            <w:gridSpan w:val="2"/>
            <w:vAlign w:val="center"/>
          </w:tcPr>
          <w:p w14:paraId="624B636F">
            <w:pPr>
              <w:jc w:val="center"/>
              <w:rPr>
                <w:rFonts w:ascii="宋体"/>
                <w:spacing w:val="50"/>
                <w:sz w:val="22"/>
                <w:szCs w:val="22"/>
              </w:rPr>
            </w:pPr>
          </w:p>
        </w:tc>
        <w:tc>
          <w:tcPr>
            <w:tcW w:w="1050" w:type="dxa"/>
            <w:gridSpan w:val="2"/>
            <w:vAlign w:val="center"/>
          </w:tcPr>
          <w:p w14:paraId="79C9329F">
            <w:pPr>
              <w:jc w:val="center"/>
              <w:rPr>
                <w:rFonts w:ascii="宋体"/>
                <w:spacing w:val="50"/>
                <w:sz w:val="22"/>
                <w:szCs w:val="22"/>
              </w:rPr>
            </w:pPr>
          </w:p>
        </w:tc>
        <w:tc>
          <w:tcPr>
            <w:tcW w:w="1036" w:type="dxa"/>
            <w:vAlign w:val="center"/>
          </w:tcPr>
          <w:p w14:paraId="0EBC2441">
            <w:pPr>
              <w:jc w:val="center"/>
              <w:rPr>
                <w:rFonts w:ascii="宋体"/>
                <w:spacing w:val="50"/>
                <w:sz w:val="22"/>
                <w:szCs w:val="22"/>
              </w:rPr>
            </w:pPr>
          </w:p>
        </w:tc>
        <w:tc>
          <w:tcPr>
            <w:tcW w:w="1064" w:type="dxa"/>
            <w:gridSpan w:val="2"/>
            <w:vAlign w:val="center"/>
          </w:tcPr>
          <w:p w14:paraId="5CE84B53">
            <w:pPr>
              <w:jc w:val="center"/>
              <w:rPr>
                <w:rFonts w:ascii="宋体"/>
                <w:spacing w:val="50"/>
                <w:sz w:val="22"/>
                <w:szCs w:val="22"/>
              </w:rPr>
            </w:pPr>
          </w:p>
        </w:tc>
        <w:tc>
          <w:tcPr>
            <w:tcW w:w="1411" w:type="dxa"/>
            <w:tcBorders>
              <w:right w:val="single" w:color="auto" w:sz="12" w:space="0"/>
            </w:tcBorders>
            <w:vAlign w:val="center"/>
          </w:tcPr>
          <w:p w14:paraId="57683A17">
            <w:pPr>
              <w:jc w:val="center"/>
              <w:rPr>
                <w:rFonts w:ascii="宋体"/>
                <w:spacing w:val="50"/>
                <w:sz w:val="22"/>
                <w:szCs w:val="22"/>
              </w:rPr>
            </w:pPr>
          </w:p>
        </w:tc>
      </w:tr>
      <w:tr w14:paraId="44474C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08E64E7D">
            <w:pPr>
              <w:jc w:val="center"/>
              <w:rPr>
                <w:rFonts w:ascii="宋体"/>
                <w:spacing w:val="50"/>
                <w:sz w:val="22"/>
                <w:szCs w:val="22"/>
              </w:rPr>
            </w:pPr>
            <w:r>
              <w:rPr>
                <w:rFonts w:hint="eastAsia" w:ascii="宋体"/>
                <w:spacing w:val="50"/>
                <w:sz w:val="22"/>
                <w:szCs w:val="22"/>
              </w:rPr>
              <w:t>份数</w:t>
            </w:r>
          </w:p>
        </w:tc>
        <w:tc>
          <w:tcPr>
            <w:tcW w:w="1037" w:type="dxa"/>
            <w:gridSpan w:val="2"/>
            <w:vAlign w:val="center"/>
          </w:tcPr>
          <w:p w14:paraId="42F40C51">
            <w:pPr>
              <w:jc w:val="center"/>
              <w:rPr>
                <w:rFonts w:ascii="宋体"/>
                <w:spacing w:val="50"/>
                <w:sz w:val="22"/>
                <w:szCs w:val="22"/>
              </w:rPr>
            </w:pPr>
          </w:p>
        </w:tc>
        <w:tc>
          <w:tcPr>
            <w:tcW w:w="1295" w:type="dxa"/>
            <w:gridSpan w:val="2"/>
            <w:vAlign w:val="center"/>
          </w:tcPr>
          <w:p w14:paraId="0AE031AA">
            <w:pPr>
              <w:jc w:val="center"/>
              <w:rPr>
                <w:rFonts w:ascii="宋体"/>
                <w:spacing w:val="50"/>
                <w:sz w:val="22"/>
                <w:szCs w:val="22"/>
              </w:rPr>
            </w:pPr>
          </w:p>
        </w:tc>
        <w:tc>
          <w:tcPr>
            <w:tcW w:w="1050" w:type="dxa"/>
            <w:vAlign w:val="center"/>
          </w:tcPr>
          <w:p w14:paraId="3A4E1653">
            <w:pPr>
              <w:jc w:val="center"/>
              <w:rPr>
                <w:rFonts w:ascii="宋体"/>
                <w:spacing w:val="50"/>
                <w:sz w:val="22"/>
                <w:szCs w:val="22"/>
              </w:rPr>
            </w:pPr>
          </w:p>
        </w:tc>
        <w:tc>
          <w:tcPr>
            <w:tcW w:w="1064" w:type="dxa"/>
            <w:gridSpan w:val="2"/>
            <w:vAlign w:val="center"/>
          </w:tcPr>
          <w:p w14:paraId="45E736E7">
            <w:pPr>
              <w:jc w:val="center"/>
              <w:rPr>
                <w:rFonts w:ascii="宋体"/>
                <w:spacing w:val="50"/>
                <w:sz w:val="22"/>
                <w:szCs w:val="22"/>
              </w:rPr>
            </w:pPr>
          </w:p>
        </w:tc>
        <w:tc>
          <w:tcPr>
            <w:tcW w:w="1050" w:type="dxa"/>
            <w:gridSpan w:val="2"/>
            <w:vAlign w:val="center"/>
          </w:tcPr>
          <w:p w14:paraId="4230520A">
            <w:pPr>
              <w:jc w:val="center"/>
              <w:rPr>
                <w:rFonts w:ascii="宋体"/>
                <w:spacing w:val="50"/>
                <w:sz w:val="22"/>
                <w:szCs w:val="22"/>
              </w:rPr>
            </w:pPr>
          </w:p>
        </w:tc>
        <w:tc>
          <w:tcPr>
            <w:tcW w:w="1036" w:type="dxa"/>
            <w:vAlign w:val="center"/>
          </w:tcPr>
          <w:p w14:paraId="56215002">
            <w:pPr>
              <w:jc w:val="center"/>
              <w:rPr>
                <w:rFonts w:ascii="宋体"/>
                <w:spacing w:val="50"/>
                <w:sz w:val="22"/>
                <w:szCs w:val="22"/>
              </w:rPr>
            </w:pPr>
          </w:p>
        </w:tc>
        <w:tc>
          <w:tcPr>
            <w:tcW w:w="1064" w:type="dxa"/>
            <w:gridSpan w:val="2"/>
            <w:vAlign w:val="center"/>
          </w:tcPr>
          <w:p w14:paraId="08A01926">
            <w:pPr>
              <w:jc w:val="center"/>
              <w:rPr>
                <w:rFonts w:ascii="宋体"/>
                <w:spacing w:val="50"/>
                <w:sz w:val="22"/>
                <w:szCs w:val="22"/>
              </w:rPr>
            </w:pPr>
          </w:p>
        </w:tc>
        <w:tc>
          <w:tcPr>
            <w:tcW w:w="1411" w:type="dxa"/>
            <w:tcBorders>
              <w:right w:val="single" w:color="auto" w:sz="12" w:space="0"/>
            </w:tcBorders>
            <w:vAlign w:val="center"/>
          </w:tcPr>
          <w:p w14:paraId="4485DB32">
            <w:pPr>
              <w:jc w:val="center"/>
              <w:rPr>
                <w:rFonts w:ascii="宋体"/>
                <w:spacing w:val="50"/>
                <w:sz w:val="22"/>
                <w:szCs w:val="22"/>
              </w:rPr>
            </w:pPr>
          </w:p>
        </w:tc>
      </w:tr>
      <w:tr w14:paraId="6D6050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8" w:hRule="atLeast"/>
          <w:jc w:val="center"/>
        </w:trPr>
        <w:tc>
          <w:tcPr>
            <w:tcW w:w="1607" w:type="dxa"/>
            <w:gridSpan w:val="2"/>
            <w:tcBorders>
              <w:top w:val="single" w:color="auto" w:sz="6" w:space="0"/>
              <w:left w:val="single" w:color="auto" w:sz="12" w:space="0"/>
              <w:bottom w:val="single" w:color="auto" w:sz="6" w:space="0"/>
              <w:right w:val="single" w:color="auto" w:sz="4" w:space="0"/>
            </w:tcBorders>
            <w:vAlign w:val="center"/>
          </w:tcPr>
          <w:p w14:paraId="50AEB0CD">
            <w:pPr>
              <w:jc w:val="center"/>
              <w:rPr>
                <w:rFonts w:ascii="宋体"/>
                <w:spacing w:val="100"/>
                <w:sz w:val="24"/>
              </w:rPr>
            </w:pPr>
            <w:r>
              <w:rPr>
                <w:rFonts w:hint="eastAsia" w:ascii="宋体"/>
                <w:spacing w:val="100"/>
                <w:sz w:val="24"/>
              </w:rPr>
              <w:t>编制</w:t>
            </w:r>
          </w:p>
        </w:tc>
        <w:tc>
          <w:tcPr>
            <w:tcW w:w="1438" w:type="dxa"/>
            <w:gridSpan w:val="3"/>
            <w:tcBorders>
              <w:top w:val="single" w:color="auto" w:sz="6" w:space="0"/>
              <w:left w:val="single" w:color="auto" w:sz="4" w:space="0"/>
              <w:bottom w:val="single" w:color="auto" w:sz="6" w:space="0"/>
              <w:right w:val="single" w:color="auto" w:sz="6" w:space="0"/>
            </w:tcBorders>
            <w:vAlign w:val="center"/>
          </w:tcPr>
          <w:p w14:paraId="66EA131C">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7E8E6CF7">
            <w:pPr>
              <w:jc w:val="center"/>
              <w:rPr>
                <w:rFonts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6C6414E">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200BE340">
            <w:pPr>
              <w:jc w:val="center"/>
              <w:rPr>
                <w:rFonts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23D483A">
            <w:pPr>
              <w:jc w:val="center"/>
              <w:rPr>
                <w:rFonts w:ascii="宋体"/>
                <w:spacing w:val="100"/>
                <w:sz w:val="24"/>
              </w:rPr>
            </w:pPr>
          </w:p>
        </w:tc>
      </w:tr>
      <w:tr w14:paraId="03A47C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607" w:type="dxa"/>
            <w:gridSpan w:val="2"/>
            <w:tcBorders>
              <w:top w:val="single" w:color="auto" w:sz="6" w:space="0"/>
              <w:left w:val="single" w:color="auto" w:sz="12" w:space="0"/>
              <w:bottom w:val="single" w:color="auto" w:sz="6" w:space="0"/>
              <w:right w:val="single" w:color="auto" w:sz="4" w:space="0"/>
            </w:tcBorders>
            <w:vAlign w:val="center"/>
          </w:tcPr>
          <w:p w14:paraId="777871A0">
            <w:pPr>
              <w:jc w:val="center"/>
              <w:rPr>
                <w:rFonts w:ascii="宋体"/>
                <w:spacing w:val="100"/>
                <w:sz w:val="24"/>
              </w:rPr>
            </w:pPr>
            <w:r>
              <w:rPr>
                <w:rFonts w:hint="eastAsia" w:ascii="宋体"/>
                <w:spacing w:val="100"/>
                <w:sz w:val="24"/>
              </w:rPr>
              <w:t>标准化</w:t>
            </w:r>
          </w:p>
        </w:tc>
        <w:tc>
          <w:tcPr>
            <w:tcW w:w="1438" w:type="dxa"/>
            <w:gridSpan w:val="3"/>
            <w:tcBorders>
              <w:top w:val="single" w:color="auto" w:sz="6" w:space="0"/>
              <w:left w:val="single" w:color="auto" w:sz="4" w:space="0"/>
              <w:bottom w:val="single" w:color="auto" w:sz="6" w:space="0"/>
              <w:right w:val="single" w:color="auto" w:sz="6" w:space="0"/>
            </w:tcBorders>
            <w:vAlign w:val="center"/>
          </w:tcPr>
          <w:p w14:paraId="63BF68D2">
            <w:pPr>
              <w:jc w:val="center"/>
              <w:rPr>
                <w:rFonts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21362406">
            <w:pPr>
              <w:jc w:val="center"/>
              <w:rPr>
                <w:rFonts w:ascii="宋体"/>
                <w:spacing w:val="100"/>
                <w:sz w:val="24"/>
              </w:rPr>
            </w:pPr>
            <w:r>
              <w:rPr>
                <w:rFonts w:hint="eastAsia" w:ascii="宋体"/>
                <w:spacing w:val="100"/>
                <w:sz w:val="24"/>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AF96D32">
            <w:pPr>
              <w:jc w:val="center"/>
              <w:rPr>
                <w:rFonts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4FEF4733">
            <w:pPr>
              <w:jc w:val="center"/>
              <w:rPr>
                <w:rFonts w:ascii="宋体"/>
                <w:spacing w:val="100"/>
                <w:sz w:val="24"/>
              </w:rPr>
            </w:pPr>
            <w:r>
              <w:rPr>
                <w:rFonts w:hint="eastAsia" w:ascii="宋体"/>
                <w:spacing w:val="100"/>
                <w:sz w:val="24"/>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0E46FE82">
            <w:pPr>
              <w:jc w:val="center"/>
              <w:rPr>
                <w:rFonts w:ascii="宋体"/>
                <w:spacing w:val="100"/>
                <w:sz w:val="24"/>
              </w:rPr>
            </w:pPr>
          </w:p>
        </w:tc>
      </w:tr>
      <w:tr w14:paraId="3C6770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607" w:type="dxa"/>
            <w:gridSpan w:val="2"/>
            <w:tcBorders>
              <w:top w:val="single" w:color="auto" w:sz="6" w:space="0"/>
              <w:left w:val="single" w:color="auto" w:sz="12" w:space="0"/>
              <w:bottom w:val="single" w:color="auto" w:sz="12" w:space="0"/>
              <w:right w:val="single" w:color="auto" w:sz="4" w:space="0"/>
            </w:tcBorders>
            <w:vAlign w:val="center"/>
          </w:tcPr>
          <w:p w14:paraId="58F11AA1">
            <w:pPr>
              <w:jc w:val="center"/>
              <w:rPr>
                <w:rFonts w:hint="eastAsia" w:ascii="宋体" w:eastAsia="宋体"/>
                <w:spacing w:val="100"/>
                <w:sz w:val="24"/>
                <w:lang w:val="en-US" w:eastAsia="zh-CN"/>
              </w:rPr>
            </w:pPr>
            <w:r>
              <w:rPr>
                <w:rFonts w:hint="eastAsia" w:ascii="宋体"/>
                <w:spacing w:val="100"/>
                <w:sz w:val="24"/>
              </w:rPr>
              <w:t>会签</w:t>
            </w:r>
          </w:p>
        </w:tc>
        <w:tc>
          <w:tcPr>
            <w:tcW w:w="8113" w:type="dxa"/>
            <w:gridSpan w:val="12"/>
            <w:tcBorders>
              <w:top w:val="single" w:color="auto" w:sz="6" w:space="0"/>
              <w:left w:val="single" w:color="auto" w:sz="4" w:space="0"/>
              <w:bottom w:val="single" w:color="auto" w:sz="12" w:space="0"/>
              <w:right w:val="single" w:color="auto" w:sz="12" w:space="0"/>
            </w:tcBorders>
            <w:vAlign w:val="center"/>
          </w:tcPr>
          <w:p w14:paraId="3CA9F0ED">
            <w:pPr>
              <w:jc w:val="center"/>
              <w:rPr>
                <w:rFonts w:ascii="宋体"/>
                <w:spacing w:val="100"/>
                <w:sz w:val="24"/>
              </w:rPr>
            </w:pPr>
          </w:p>
        </w:tc>
      </w:tr>
    </w:tbl>
    <w:p w14:paraId="1102E4AF">
      <w:pPr>
        <w:widowControl w:val="0"/>
        <w:spacing w:before="312" w:beforeLines="100" w:after="312" w:afterLines="100" w:line="440" w:lineRule="exact"/>
        <w:jc w:val="left"/>
        <w:rPr>
          <w:rFonts w:hint="eastAsia" w:ascii="黑体" w:hAnsi="黑体" w:eastAsia="黑体" w:cs="黑体"/>
          <w:kern w:val="2"/>
          <w:sz w:val="28"/>
          <w:lang w:eastAsia="zh-CN" w:bidi="ar-SA"/>
        </w:rPr>
        <w:sectPr>
          <w:headerReference r:id="rId3" w:type="default"/>
          <w:type w:val="continuous"/>
          <w:pgSz w:w="11906" w:h="16838"/>
          <w:pgMar w:top="1440" w:right="1797" w:bottom="1440" w:left="1797" w:header="0" w:footer="668" w:gutter="0"/>
          <w:cols w:space="720" w:num="1"/>
          <w:docGrid w:type="lines" w:linePitch="326" w:charSpace="0"/>
        </w:sectPr>
      </w:pPr>
    </w:p>
    <w:p w14:paraId="4A5262DF">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4B8129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本程序旨在建立工装全生命周期内各类信息的管理系统。不符合信息管理要求的工装实体，将被视为不合格工装。</w:t>
      </w:r>
    </w:p>
    <w:p w14:paraId="250BB823">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1E3FC43A">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包括工装的数模归档、验收、出入库、定检、定查、返修、封存、出借、报废及其他可能涉及的业务。基本形式为数字化账目、数字孪生体与实物管理。</w:t>
      </w:r>
    </w:p>
    <w:p w14:paraId="7006604D">
      <w:pPr>
        <w:spacing w:before="312" w:beforeLines="100" w:after="312" w:afterLines="100" w:line="440" w:lineRule="exact"/>
        <w:jc w:val="left"/>
        <w:rPr>
          <w:rFonts w:hint="eastAsia" w:ascii="黑体" w:hAnsi="黑体" w:eastAsia="黑体" w:cs="黑体"/>
          <w:kern w:val="2"/>
          <w:sz w:val="28"/>
          <w:lang w:eastAsia="zh-CN" w:bidi="ar-SA"/>
        </w:rPr>
      </w:pPr>
      <w:r>
        <w:rPr>
          <w:rFonts w:hint="eastAsia" w:ascii="黑体" w:hAnsi="黑体" w:eastAsia="黑体" w:cs="黑体"/>
          <w:sz w:val="28"/>
          <w:lang w:val="en-US" w:eastAsia="zh-CN"/>
        </w:rPr>
        <w:t>3 术语和定义</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6506"/>
      </w:tblGrid>
      <w:tr w14:paraId="7E71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58008E1F">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术语</w:t>
            </w:r>
          </w:p>
        </w:tc>
        <w:tc>
          <w:tcPr>
            <w:tcW w:w="3815" w:type="pct"/>
          </w:tcPr>
          <w:p w14:paraId="285921C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       义</w:t>
            </w:r>
          </w:p>
        </w:tc>
      </w:tr>
      <w:tr w14:paraId="3D0E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0235E788">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数模</w:t>
            </w:r>
          </w:p>
        </w:tc>
        <w:tc>
          <w:tcPr>
            <w:tcW w:w="3815" w:type="pct"/>
          </w:tcPr>
          <w:p w14:paraId="68FFEC06">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指工装的3D数模、2D图纸。</w:t>
            </w:r>
          </w:p>
        </w:tc>
      </w:tr>
      <w:tr w14:paraId="629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7BCF3D93">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数据控制单</w:t>
            </w:r>
          </w:p>
        </w:tc>
        <w:tc>
          <w:tcPr>
            <w:tcW w:w="3815" w:type="pct"/>
          </w:tcPr>
          <w:p w14:paraId="587A3001">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指工艺装备申请单、工装返工申请单、数据管理单、数据更改单等。表单用以确定工装在制造、非升版性返修、构型更改、工艺改进时设计依据与结果。</w:t>
            </w:r>
          </w:p>
        </w:tc>
      </w:tr>
      <w:tr w14:paraId="29F5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2E2E2EE6">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偏差控制单</w:t>
            </w:r>
          </w:p>
        </w:tc>
        <w:tc>
          <w:tcPr>
            <w:tcW w:w="3815" w:type="pct"/>
          </w:tcPr>
          <w:p w14:paraId="3CC9EF7E">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指不合格工装通知单、不合格工装审理单等。表单用以在工装验收或使用阶段时出现不合格内容时对来自质检、工艺部门的结论进行记录，且作为下一步行动的依据。</w:t>
            </w:r>
          </w:p>
        </w:tc>
      </w:tr>
      <w:tr w14:paraId="760B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140D57E5">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工装验收</w:t>
            </w:r>
          </w:p>
        </w:tc>
        <w:tc>
          <w:tcPr>
            <w:tcW w:w="3815" w:type="pct"/>
          </w:tcPr>
          <w:p w14:paraId="5EF19C72">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指工装有效性文件及工装实物的入厂检验，完成工装验收的工装视为合格工装。</w:t>
            </w:r>
          </w:p>
        </w:tc>
      </w:tr>
      <w:tr w14:paraId="3CB0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58E005F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验收技术要求单</w:t>
            </w:r>
          </w:p>
        </w:tc>
        <w:tc>
          <w:tcPr>
            <w:tcW w:w="3815" w:type="pct"/>
          </w:tcPr>
          <w:p w14:paraId="2551582E">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指工装在实物验收阶段，由</w:t>
            </w:r>
            <w:r>
              <w:rPr>
                <w:rFonts w:hint="eastAsia" w:asciiTheme="minorEastAsia" w:hAnsiTheme="minorEastAsia" w:eastAsiaTheme="minorEastAsia"/>
                <w:highlight w:val="none"/>
                <w:lang w:eastAsia="zh-CN"/>
              </w:rPr>
              <w:t>技术部门（工程技术部或工装设计人员）出具</w:t>
            </w:r>
            <w:r>
              <w:rPr>
                <w:rFonts w:hint="eastAsia" w:asciiTheme="minorEastAsia" w:hAnsiTheme="minorEastAsia" w:eastAsiaTheme="minorEastAsia"/>
                <w:lang w:eastAsia="zh-CN"/>
              </w:rPr>
              <w:t>的验收要求。工装验收人员在验收实物时，首先以该表单为基本验收项目。</w:t>
            </w:r>
          </w:p>
        </w:tc>
      </w:tr>
      <w:tr w14:paraId="4AF9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4D5226BD">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工装有效性文件</w:t>
            </w:r>
          </w:p>
        </w:tc>
        <w:tc>
          <w:tcPr>
            <w:tcW w:w="3815" w:type="pct"/>
          </w:tcPr>
          <w:p w14:paraId="63A4F939">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供应商提供的工装合格证、工装交检申请表、交检文件目录、工装使用说明书、工装质保记录、测量计划、三坐标或激光跟踪仪测量报告、气密试验记录、热处理记录、表面处理记录、载荷试验记录、工装制造大纲、原材料材质单、成品件合格证、可拆卸件目录等文件。文件用以说明工装的使用方法、制造过程及符合测量特征的测量结果。</w:t>
            </w:r>
          </w:p>
        </w:tc>
      </w:tr>
      <w:tr w14:paraId="760F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6008426A">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出入库</w:t>
            </w:r>
          </w:p>
        </w:tc>
        <w:tc>
          <w:tcPr>
            <w:tcW w:w="3815" w:type="pct"/>
          </w:tcPr>
          <w:p w14:paraId="37E8B90C">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指工装在使用者与保管者之间发生的交接业务。仅包括工装出库后及入库前的状态确认、工装入库后的库位登记。</w:t>
            </w:r>
          </w:p>
        </w:tc>
      </w:tr>
      <w:tr w14:paraId="2BDB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2A449AB7">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定检</w:t>
            </w:r>
          </w:p>
        </w:tc>
        <w:tc>
          <w:tcPr>
            <w:tcW w:w="3815" w:type="pct"/>
          </w:tcPr>
          <w:p w14:paraId="24F02584">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指工装的定期检验。执行定检时应按照定检技术要求单的规定内容进行测量，且应当按照图纸核对功能性组件是否可用。</w:t>
            </w:r>
          </w:p>
        </w:tc>
      </w:tr>
      <w:tr w14:paraId="7810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624CC17C">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定检技术要求单</w:t>
            </w:r>
          </w:p>
        </w:tc>
        <w:tc>
          <w:tcPr>
            <w:tcW w:w="3815" w:type="pct"/>
          </w:tcPr>
          <w:p w14:paraId="35A78E6F">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指工装在定检时，必须使用的表单。该表单应明确需要测量的工装关键特征。</w:t>
            </w:r>
          </w:p>
        </w:tc>
      </w:tr>
      <w:tr w14:paraId="5758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27F7F601">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定查</w:t>
            </w:r>
          </w:p>
        </w:tc>
        <w:tc>
          <w:tcPr>
            <w:tcW w:w="3815" w:type="pct"/>
          </w:tcPr>
          <w:p w14:paraId="6EA55270">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指工装的定期检查。区别于工装定检，定查的主要内容为目视检测，目的为识别工装的表面状态及功能性组件是否齐全。</w:t>
            </w:r>
          </w:p>
        </w:tc>
      </w:tr>
      <w:tr w14:paraId="158F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401262A7">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返修</w:t>
            </w:r>
          </w:p>
        </w:tc>
        <w:tc>
          <w:tcPr>
            <w:tcW w:w="3815" w:type="pct"/>
          </w:tcPr>
          <w:p w14:paraId="1C5F781D">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指工装的各类返修。一般包括非升版性返修以及因产品构型更改或产品工艺改进而进行的工装改造。</w:t>
            </w:r>
          </w:p>
        </w:tc>
      </w:tr>
      <w:tr w14:paraId="794B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235C29A7">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封存</w:t>
            </w:r>
          </w:p>
        </w:tc>
        <w:tc>
          <w:tcPr>
            <w:tcW w:w="3815" w:type="pct"/>
          </w:tcPr>
          <w:p w14:paraId="21B6B506">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指工装封存。因订单、零件状态表的变更或工装状态暂不满足使用需求，工装的使用状态会变更为封存。处于封存状态的工装，管理等级为丙级。</w:t>
            </w:r>
          </w:p>
        </w:tc>
      </w:tr>
      <w:tr w14:paraId="445B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0847576A">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报废</w:t>
            </w:r>
          </w:p>
        </w:tc>
        <w:tc>
          <w:tcPr>
            <w:tcW w:w="3815" w:type="pct"/>
          </w:tcPr>
          <w:p w14:paraId="33F11FC0">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指工装报废。对产品不再生产，或工装不能满足使用需求且不具有返修价值的工装进行报废处理。</w:t>
            </w:r>
          </w:p>
        </w:tc>
      </w:tr>
      <w:tr w14:paraId="4F07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014C01E4">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管理等级</w:t>
            </w:r>
          </w:p>
        </w:tc>
        <w:tc>
          <w:tcPr>
            <w:tcW w:w="3815" w:type="pct"/>
          </w:tcPr>
          <w:p w14:paraId="5BF13190">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指工装的管理等级。分为甲、乙、丙三级，进行工装管理时，所需投入的管理资源依等级降低。</w:t>
            </w:r>
          </w:p>
        </w:tc>
      </w:tr>
      <w:tr w14:paraId="74EF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767965F9">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数字化账目</w:t>
            </w:r>
          </w:p>
        </w:tc>
        <w:tc>
          <w:tcPr>
            <w:tcW w:w="3815" w:type="pct"/>
          </w:tcPr>
          <w:p w14:paraId="2A4A06AE">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信息记录的数字化。数字化账目保存在生产管理系统中，公司成员均可查阅。账目的生成、变更、删除均具备相应的流程。内容包括数模、定检技术要求（按需）、验收技术要求单、主体材质、封存方式；工装使用说明书、最初及最终测量结果的源文件；产权人、制造商、飞机型号或项目编号、工装序列号、工装图号、工装名称、制造版次、当前版次、组件号、制造派工号、设计类型、验收及验证状态；重量、尺寸、装卸及运输方式、可拆卸件清单；返修及定检记录、库位；偏差的审理结果。</w:t>
            </w:r>
          </w:p>
        </w:tc>
      </w:tr>
      <w:tr w14:paraId="4387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7EBC1D6A">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数字孪生体</w:t>
            </w:r>
          </w:p>
        </w:tc>
        <w:tc>
          <w:tcPr>
            <w:tcW w:w="3815" w:type="pct"/>
          </w:tcPr>
          <w:p w14:paraId="11C1668B">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指反映工装在库房、现场确切位置的1:1静态数模。</w:t>
            </w:r>
          </w:p>
        </w:tc>
      </w:tr>
      <w:tr w14:paraId="0627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7B244615">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验收账目</w:t>
            </w:r>
          </w:p>
        </w:tc>
        <w:tc>
          <w:tcPr>
            <w:tcW w:w="3815" w:type="pct"/>
          </w:tcPr>
          <w:p w14:paraId="39A1903C">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指在验收工装前编制的账目，记录工装的到货日期、有效性文件是否齐全，将工装验收技术要求单与账目进行绑定。完成以上账目，且不存在未解决问题后，该账目将转为验收申请。</w:t>
            </w:r>
          </w:p>
        </w:tc>
      </w:tr>
      <w:tr w14:paraId="26BE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4" w:type="pct"/>
          </w:tcPr>
          <w:p w14:paraId="5C851800">
            <w:pPr>
              <w:widowControl w:val="0"/>
              <w:jc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实物信息</w:t>
            </w:r>
          </w:p>
        </w:tc>
        <w:tc>
          <w:tcPr>
            <w:tcW w:w="3815" w:type="pct"/>
          </w:tcPr>
          <w:p w14:paraId="78F694FC">
            <w:pPr>
              <w:widowControl w:val="0"/>
              <w:rPr>
                <w:rFonts w:hint="eastAsia" w:asciiTheme="minorEastAsia" w:hAnsiTheme="minorEastAsia" w:eastAsiaTheme="minorEastAsia"/>
                <w:lang w:eastAsia="zh-CN"/>
              </w:rPr>
            </w:pPr>
            <w:r>
              <w:rPr>
                <w:rFonts w:hint="eastAsia" w:asciiTheme="minorEastAsia" w:hAnsiTheme="minorEastAsia" w:eastAsiaTheme="minorEastAsia"/>
                <w:lang w:eastAsia="zh-CN"/>
              </w:rPr>
              <w:t>指工装实物上应当体现的各项基本信息。包括工装标牌、靶标值，实物信息应当与数字化账目内容保持一致。</w:t>
            </w:r>
          </w:p>
        </w:tc>
      </w:tr>
    </w:tbl>
    <w:p w14:paraId="362D5FD7">
      <w:pPr>
        <w:widowControl w:val="0"/>
        <w:spacing w:before="312" w:beforeLines="100" w:after="312" w:afterLines="100" w:line="440" w:lineRule="exact"/>
        <w:jc w:val="left"/>
        <w:rPr>
          <w:rFonts w:hint="eastAsia" w:ascii="黑体" w:hAnsi="黑体" w:eastAsia="黑体" w:cs="黑体"/>
          <w:kern w:val="2"/>
          <w:sz w:val="28"/>
          <w:lang w:val="en-US" w:eastAsia="zh-CN" w:bidi="ar-SA"/>
        </w:rPr>
      </w:pPr>
      <w:r>
        <w:rPr>
          <w:rFonts w:hint="eastAsia" w:ascii="黑体" w:hAnsi="黑体" w:eastAsia="黑体" w:cs="黑体"/>
          <w:kern w:val="2"/>
          <w:sz w:val="28"/>
          <w:lang w:val="en-US" w:eastAsia="zh-CN" w:bidi="ar-SA"/>
        </w:rPr>
        <w:t>4 职责和权限</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301"/>
        <w:gridCol w:w="4703"/>
      </w:tblGrid>
      <w:tr w14:paraId="5519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892" w:type="pct"/>
            <w:vAlign w:val="center"/>
          </w:tcPr>
          <w:p w14:paraId="05C27960">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部</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门</w:t>
            </w:r>
          </w:p>
        </w:tc>
        <w:tc>
          <w:tcPr>
            <w:tcW w:w="1349" w:type="pct"/>
            <w:vAlign w:val="center"/>
          </w:tcPr>
          <w:p w14:paraId="10B7092E">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主</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要</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职</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责</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描</w:t>
            </w:r>
            <w:r>
              <w:rPr>
                <w:rFonts w:hint="eastAsia" w:asciiTheme="minorEastAsia" w:hAnsiTheme="minorEastAsia" w:eastAsiaTheme="minorEastAsia"/>
                <w:color w:val="000000"/>
                <w:lang w:eastAsia="zh-CN"/>
              </w:rPr>
              <w:t xml:space="preserve"> </w:t>
            </w:r>
            <w:r>
              <w:rPr>
                <w:rFonts w:hint="eastAsia" w:asciiTheme="minorEastAsia" w:hAnsiTheme="minorEastAsia" w:eastAsiaTheme="minorEastAsia"/>
                <w:color w:val="000000"/>
              </w:rPr>
              <w:t>述</w:t>
            </w:r>
          </w:p>
        </w:tc>
        <w:tc>
          <w:tcPr>
            <w:tcW w:w="2758" w:type="pct"/>
            <w:vAlign w:val="center"/>
          </w:tcPr>
          <w:p w14:paraId="58E7F11E">
            <w:pPr>
              <w:adjustRightInd w:val="0"/>
              <w:snapToGrid w:val="0"/>
              <w:jc w:val="center"/>
              <w:rPr>
                <w:rFonts w:hint="eastAsia" w:asciiTheme="minorEastAsia" w:hAnsiTheme="minorEastAsia" w:eastAsiaTheme="minorEastAsia"/>
                <w:color w:val="000000"/>
              </w:rPr>
            </w:pPr>
            <w:r>
              <w:rPr>
                <w:rFonts w:hint="eastAsia" w:asciiTheme="minorEastAsia" w:hAnsiTheme="minorEastAsia" w:eastAsiaTheme="minorEastAsia"/>
                <w:color w:val="000000"/>
              </w:rPr>
              <w:t>对应活动</w:t>
            </w:r>
          </w:p>
        </w:tc>
      </w:tr>
      <w:tr w14:paraId="3354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5E27AE7A">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工程技术部</w:t>
            </w:r>
          </w:p>
        </w:tc>
        <w:tc>
          <w:tcPr>
            <w:tcW w:w="1349" w:type="pct"/>
            <w:vAlign w:val="center"/>
          </w:tcPr>
          <w:p w14:paraId="0E7F521A">
            <w:pPr>
              <w:adjustRightInd w:val="0"/>
              <w:snapToGrid w:val="0"/>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技术员：</w:t>
            </w:r>
          </w:p>
          <w:p w14:paraId="6B160F70">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1.输入工装信息管理的根信息；</w:t>
            </w:r>
          </w:p>
          <w:p w14:paraId="4A48A96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2.审理工装偏差；</w:t>
            </w:r>
          </w:p>
          <w:p w14:paraId="1D94E323">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3.决定工装的封存与报废；</w:t>
            </w:r>
          </w:p>
          <w:p w14:paraId="7BBAF0BB">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4.输入工装验证申请；</w:t>
            </w:r>
          </w:p>
          <w:p w14:paraId="7E65511B">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5.验收工装实物；</w:t>
            </w:r>
          </w:p>
          <w:p w14:paraId="335D637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6.外协返修的现场说明。</w:t>
            </w:r>
          </w:p>
        </w:tc>
        <w:tc>
          <w:tcPr>
            <w:tcW w:w="2758" w:type="pct"/>
            <w:vAlign w:val="center"/>
          </w:tcPr>
          <w:p w14:paraId="3A1D7544">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23FD4640">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1.输入工艺装备申请单、工装返工申请单；</w:t>
            </w:r>
          </w:p>
          <w:p w14:paraId="77D67D64">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2.输入工装数模、图纸、数据控制单；</w:t>
            </w:r>
          </w:p>
          <w:p w14:paraId="3EBFCB5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2.输入工装数字化账目中工装物理信息；</w:t>
            </w:r>
          </w:p>
          <w:p w14:paraId="02602983">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3.输入工装验收技术要求、定检技术要求；</w:t>
            </w:r>
          </w:p>
          <w:p w14:paraId="2377D07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4.输入不合格工装审理单的审理结果；</w:t>
            </w:r>
          </w:p>
          <w:p w14:paraId="321DD34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5.输入工装封存指令；</w:t>
            </w:r>
          </w:p>
          <w:p w14:paraId="4612A0E5">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6.输入工装报废指令；</w:t>
            </w:r>
          </w:p>
          <w:p w14:paraId="36C24C98">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7.输入工装数字化测量申请；</w:t>
            </w:r>
          </w:p>
          <w:p w14:paraId="0A7C4E61">
            <w:pPr>
              <w:adjustRightInd w:val="0"/>
              <w:snapToGrid w:val="0"/>
              <w:rPr>
                <w:rFonts w:hint="eastAsia" w:asciiTheme="minorEastAsia" w:hAnsiTheme="minorEastAsia" w:eastAsiaTheme="minorEastAsia"/>
                <w:color w:val="000000"/>
                <w:lang w:eastAsia="zh-CN"/>
              </w:rPr>
            </w:pPr>
          </w:p>
          <w:p w14:paraId="48B12C7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在库房现场：</w:t>
            </w:r>
          </w:p>
          <w:p w14:paraId="4C44FFF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1.依据工装验收技术要求单，配合工装验收人员对工装实物进行验收，并将验收结果输入工装验收账目；</w:t>
            </w:r>
          </w:p>
          <w:p w14:paraId="20BDFB0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2.工装外协返修时，对经营发展部定价员进行现场说明。</w:t>
            </w:r>
          </w:p>
        </w:tc>
      </w:tr>
      <w:tr w14:paraId="1A1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4BAE4B05">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物资保障部</w:t>
            </w:r>
          </w:p>
        </w:tc>
        <w:tc>
          <w:tcPr>
            <w:tcW w:w="1349" w:type="pct"/>
            <w:vAlign w:val="center"/>
          </w:tcPr>
          <w:p w14:paraId="34DEC8BA">
            <w:pPr>
              <w:adjustRightInd w:val="0"/>
              <w:snapToGrid w:val="0"/>
              <w:rPr>
                <w:rFonts w:hint="eastAsia"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计划员：</w:t>
            </w:r>
          </w:p>
          <w:p w14:paraId="51610B9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1.根据工装的根信息建立工装身份卡；</w:t>
            </w:r>
          </w:p>
          <w:p w14:paraId="7166F685">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2.传递工装偏差信息，并追踪处理结果；</w:t>
            </w:r>
          </w:p>
          <w:p w14:paraId="3A15E96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3.发布定检、定查计划；</w:t>
            </w:r>
          </w:p>
          <w:p w14:paraId="7F9B1862">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4.工装定检、返修的派工及完成确认；</w:t>
            </w:r>
          </w:p>
          <w:p w14:paraId="5A06B4E8">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5.定期更新数字孪生体。</w:t>
            </w:r>
          </w:p>
          <w:p w14:paraId="547ED991">
            <w:pPr>
              <w:adjustRightInd w:val="0"/>
              <w:snapToGrid w:val="0"/>
              <w:rPr>
                <w:rFonts w:hint="eastAsia" w:asciiTheme="minorEastAsia" w:hAnsiTheme="minorEastAsia" w:eastAsiaTheme="minorEastAsia"/>
                <w:color w:val="000000"/>
                <w:lang w:eastAsia="zh-CN"/>
              </w:rPr>
            </w:pPr>
          </w:p>
          <w:p w14:paraId="6D7E76AA">
            <w:pPr>
              <w:adjustRightInd w:val="0"/>
              <w:snapToGrid w:val="0"/>
              <w:rPr>
                <w:rFonts w:hint="eastAsia"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保管员：</w:t>
            </w:r>
          </w:p>
          <w:p w14:paraId="492DF73D">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1.工装库房实物盘点；</w:t>
            </w:r>
          </w:p>
          <w:p w14:paraId="6D07B7F1">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2.执行工装出入库工作并更新工装状态。</w:t>
            </w:r>
          </w:p>
          <w:p w14:paraId="7880CFE3">
            <w:pPr>
              <w:adjustRightInd w:val="0"/>
              <w:snapToGrid w:val="0"/>
              <w:rPr>
                <w:rFonts w:hint="eastAsia" w:asciiTheme="minorEastAsia" w:hAnsiTheme="minorEastAsia" w:eastAsiaTheme="minorEastAsia"/>
                <w:color w:val="000000"/>
                <w:lang w:eastAsia="zh-CN"/>
              </w:rPr>
            </w:pPr>
          </w:p>
        </w:tc>
        <w:tc>
          <w:tcPr>
            <w:tcW w:w="2758" w:type="pct"/>
            <w:vAlign w:val="center"/>
          </w:tcPr>
          <w:p w14:paraId="0D3E366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0CD570B8">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1.根据工艺装备申请单、工装返工申请单进行计划确认，并编制验收账目；</w:t>
            </w:r>
          </w:p>
          <w:p w14:paraId="12A816AE">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2.根据不合格工装通知单，梳理问题项后传递至工装供应商，并根据处理进度，更新通知单的关闭进度；</w:t>
            </w:r>
          </w:p>
          <w:p w14:paraId="41E7498B">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3.根据工装定检有效期、定检周期，结合生产计划，发布定检计划，并对项目管理部进行定检派工。定检完成后更新工装定检信息；</w:t>
            </w:r>
          </w:p>
          <w:p w14:paraId="052FDD0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3.根据工装返工申请单（快速返修），对已完成实际工作的派工进行确认；</w:t>
            </w:r>
          </w:p>
          <w:p w14:paraId="538166A9">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4.根据工装定查有效期、定查周期、管理等级，发布定查计划，并对物资保障部保管员进行定查派工。</w:t>
            </w:r>
          </w:p>
          <w:p w14:paraId="01AD1EE4">
            <w:pPr>
              <w:adjustRightInd w:val="0"/>
              <w:snapToGrid w:val="0"/>
              <w:rPr>
                <w:rFonts w:hint="eastAsia" w:asciiTheme="minorEastAsia" w:hAnsiTheme="minorEastAsia" w:eastAsiaTheme="minorEastAsia"/>
                <w:color w:val="000000"/>
                <w:lang w:eastAsia="zh-CN"/>
              </w:rPr>
            </w:pPr>
          </w:p>
          <w:p w14:paraId="102BFCC7">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在可视化系统中：</w:t>
            </w:r>
          </w:p>
          <w:p w14:paraId="17D637EB">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1.每周更新库房工装数字孪生体。</w:t>
            </w:r>
          </w:p>
          <w:p w14:paraId="1992890A">
            <w:pPr>
              <w:adjustRightInd w:val="0"/>
              <w:snapToGrid w:val="0"/>
              <w:rPr>
                <w:rFonts w:hint="eastAsia" w:asciiTheme="minorEastAsia" w:hAnsiTheme="minorEastAsia" w:eastAsiaTheme="minorEastAsia"/>
                <w:color w:val="000000"/>
                <w:lang w:eastAsia="zh-CN"/>
              </w:rPr>
            </w:pPr>
          </w:p>
          <w:p w14:paraId="53FC09AD">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在现场：</w:t>
            </w:r>
          </w:p>
          <w:p w14:paraId="411032C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1.根据生产计划，对项目管理部物流组进行工装调用派工，并输入本次工装出入库登记账；</w:t>
            </w:r>
          </w:p>
          <w:p w14:paraId="00B425D7">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2.按照定查计划对工装进行定期检查，定查完成后更新工装定查信息。</w:t>
            </w:r>
          </w:p>
        </w:tc>
      </w:tr>
      <w:tr w14:paraId="7517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4A8EEF07">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经营发展部</w:t>
            </w:r>
          </w:p>
        </w:tc>
        <w:tc>
          <w:tcPr>
            <w:tcW w:w="1349" w:type="pct"/>
            <w:vAlign w:val="center"/>
          </w:tcPr>
          <w:p w14:paraId="4D4C1387">
            <w:pPr>
              <w:adjustRightInd w:val="0"/>
              <w:snapToGrid w:val="0"/>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定额员：</w:t>
            </w:r>
          </w:p>
          <w:p w14:paraId="6874CF12">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1.对工装委外返修进行定价及审核。</w:t>
            </w:r>
          </w:p>
        </w:tc>
        <w:tc>
          <w:tcPr>
            <w:tcW w:w="2758" w:type="pct"/>
            <w:vAlign w:val="center"/>
          </w:tcPr>
          <w:p w14:paraId="4A3A363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70F3671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1.根据工装委外定价单，进行委外返修的定价，并将结果输入管理系统；</w:t>
            </w:r>
          </w:p>
          <w:p w14:paraId="6438E0DF">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2.根据定价结果，给出定价单审核意见，并将结果输入管理系统。</w:t>
            </w:r>
          </w:p>
        </w:tc>
      </w:tr>
      <w:tr w14:paraId="363D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0E9BA843">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质量安环部</w:t>
            </w:r>
          </w:p>
        </w:tc>
        <w:tc>
          <w:tcPr>
            <w:tcW w:w="1349" w:type="pct"/>
            <w:vAlign w:val="center"/>
          </w:tcPr>
          <w:p w14:paraId="0B26E4FD">
            <w:pPr>
              <w:adjustRightInd w:val="0"/>
              <w:snapToGrid w:val="0"/>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检验员、技术员：</w:t>
            </w:r>
          </w:p>
          <w:p w14:paraId="08B44DF9">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1.输入工装验收结果信息；</w:t>
            </w:r>
          </w:p>
          <w:p w14:paraId="2FB47BCF">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2.输入不合格工装通知单。</w:t>
            </w:r>
          </w:p>
          <w:p w14:paraId="6FEF7C86">
            <w:pPr>
              <w:adjustRightInd w:val="0"/>
              <w:snapToGrid w:val="0"/>
              <w:rPr>
                <w:rFonts w:hint="eastAsia" w:asciiTheme="minorEastAsia" w:hAnsiTheme="minorEastAsia" w:eastAsiaTheme="minorEastAsia"/>
                <w:color w:val="000000"/>
                <w:lang w:eastAsia="zh-CN"/>
              </w:rPr>
            </w:pPr>
          </w:p>
          <w:p w14:paraId="589AF9E5">
            <w:pPr>
              <w:adjustRightInd w:val="0"/>
              <w:snapToGrid w:val="0"/>
              <w:rPr>
                <w:rFonts w:hint="eastAsia"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检验工：</w:t>
            </w:r>
          </w:p>
          <w:p w14:paraId="7CC8B0AA">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1.领用检验工装后在生产管理系统中确认；</w:t>
            </w:r>
          </w:p>
          <w:p w14:paraId="0492BD6D">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 上报工装异常。</w:t>
            </w:r>
          </w:p>
        </w:tc>
        <w:tc>
          <w:tcPr>
            <w:tcW w:w="2758" w:type="pct"/>
            <w:vAlign w:val="center"/>
          </w:tcPr>
          <w:p w14:paraId="163C3110">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6541360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1.工装验收合格后，输入工装验收结果；</w:t>
            </w:r>
          </w:p>
          <w:p w14:paraId="531AEF63">
            <w:pPr>
              <w:adjustRightInd w:val="0"/>
              <w:snapToGrid w:val="0"/>
              <w:rPr>
                <w:rFonts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2.工装验收不合格时，编制不合格工装通知单；</w:t>
            </w:r>
          </w:p>
          <w:p w14:paraId="79E2881E">
            <w:pPr>
              <w:adjustRightInd w:val="0"/>
              <w:snapToGrid w:val="0"/>
              <w:rPr>
                <w:rFonts w:hint="eastAsia" w:asciiTheme="minorEastAsia" w:hAnsiTheme="minorEastAsia" w:eastAsiaTheme="minorEastAsia"/>
                <w:color w:val="000000"/>
                <w:lang w:eastAsia="zh-CN"/>
              </w:rPr>
            </w:pPr>
          </w:p>
          <w:p w14:paraId="66E2EA10">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在现场：</w:t>
            </w:r>
          </w:p>
          <w:p w14:paraId="7D165FCD">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1.领用检验工装后，在工装出入库登记表中确认；</w:t>
            </w:r>
          </w:p>
          <w:p w14:paraId="0C79C316">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2.发现工装异常时，在勤哲系统中填写</w:t>
            </w:r>
            <w:bookmarkStart w:id="0" w:name="OLE_LINK2"/>
            <w:r>
              <w:rPr>
                <w:rFonts w:hint="eastAsia" w:asciiTheme="minorEastAsia" w:hAnsiTheme="minorEastAsia" w:eastAsiaTheme="minorEastAsia"/>
                <w:color w:val="000000"/>
                <w:lang w:eastAsia="zh-CN"/>
              </w:rPr>
              <w:t>工装问题单</w:t>
            </w:r>
            <w:bookmarkEnd w:id="0"/>
            <w:r>
              <w:rPr>
                <w:rFonts w:hint="eastAsia" w:asciiTheme="minorEastAsia" w:hAnsiTheme="minorEastAsia" w:eastAsiaTheme="minorEastAsia"/>
                <w:color w:val="000000"/>
                <w:lang w:eastAsia="zh-CN"/>
              </w:rPr>
              <w:t>，提交给工艺员处理。</w:t>
            </w:r>
          </w:p>
        </w:tc>
      </w:tr>
      <w:tr w14:paraId="776B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92" w:type="pct"/>
            <w:vAlign w:val="center"/>
          </w:tcPr>
          <w:p w14:paraId="69FD1357">
            <w:pPr>
              <w:adjustRightInd w:val="0"/>
              <w:snapToGrid w:val="0"/>
              <w:jc w:val="center"/>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复材车间</w:t>
            </w:r>
          </w:p>
        </w:tc>
        <w:tc>
          <w:tcPr>
            <w:tcW w:w="1349" w:type="pct"/>
            <w:vAlign w:val="center"/>
          </w:tcPr>
          <w:p w14:paraId="2AFFF845">
            <w:pPr>
              <w:adjustRightInd w:val="0"/>
              <w:snapToGrid w:val="0"/>
              <w:rPr>
                <w:rFonts w:asciiTheme="minorEastAsia" w:hAnsiTheme="minorEastAsia" w:eastAsiaTheme="minorEastAsia"/>
                <w:color w:val="000000"/>
                <w:highlight w:val="none"/>
                <w:lang w:eastAsia="zh-CN"/>
              </w:rPr>
            </w:pPr>
            <w:r>
              <w:rPr>
                <w:rFonts w:hint="eastAsia" w:asciiTheme="minorEastAsia" w:hAnsiTheme="minorEastAsia" w:eastAsiaTheme="minorEastAsia"/>
                <w:color w:val="000000"/>
                <w:highlight w:val="none"/>
                <w:lang w:eastAsia="zh-CN"/>
              </w:rPr>
              <w:t>助理、班组长：</w:t>
            </w:r>
          </w:p>
          <w:p w14:paraId="67441316">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1.领用工装后在生产管理系统中确认；</w:t>
            </w:r>
          </w:p>
          <w:p w14:paraId="2CDBF215">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2.上报工装异常；</w:t>
            </w:r>
          </w:p>
        </w:tc>
        <w:tc>
          <w:tcPr>
            <w:tcW w:w="2758" w:type="pct"/>
            <w:vAlign w:val="center"/>
          </w:tcPr>
          <w:p w14:paraId="4C8621EC">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在生产管理系统中：</w:t>
            </w:r>
          </w:p>
          <w:p w14:paraId="654173CB">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1.领用成型、铣切工装后，在工装出入库登记表中确认；</w:t>
            </w:r>
          </w:p>
          <w:p w14:paraId="0CE2E4AD">
            <w:pPr>
              <w:adjustRightInd w:val="0"/>
              <w:snapToGrid w:val="0"/>
              <w:rPr>
                <w:rFonts w:hint="eastAsia" w:asciiTheme="minorEastAsia" w:hAnsiTheme="minorEastAsia" w:eastAsiaTheme="minorEastAsia"/>
                <w:color w:val="000000"/>
                <w:lang w:eastAsia="zh-CN"/>
              </w:rPr>
            </w:pPr>
            <w:r>
              <w:rPr>
                <w:rFonts w:hint="eastAsia" w:asciiTheme="minorEastAsia" w:hAnsiTheme="minorEastAsia" w:eastAsiaTheme="minorEastAsia"/>
                <w:color w:val="000000"/>
                <w:lang w:eastAsia="zh-CN"/>
              </w:rPr>
              <w:t>2.发现工装异常时，填写工装问题单，等待工艺员处理。</w:t>
            </w:r>
          </w:p>
        </w:tc>
      </w:tr>
    </w:tbl>
    <w:p w14:paraId="63C33604">
      <w:pPr>
        <w:widowControl w:val="0"/>
        <w:spacing w:before="312" w:beforeLines="100" w:after="312" w:afterLines="100" w:line="440" w:lineRule="exact"/>
        <w:jc w:val="left"/>
        <w:rPr>
          <w:rFonts w:hint="eastAsia" w:ascii="黑体" w:hAnsi="黑体" w:eastAsia="黑体" w:cs="黑体"/>
          <w:kern w:val="2"/>
          <w:sz w:val="28"/>
          <w:lang w:eastAsia="zh-CN" w:bidi="ar-SA"/>
        </w:rPr>
      </w:pPr>
      <w:r>
        <w:rPr>
          <w:rFonts w:hint="eastAsia" w:ascii="黑体" w:hAnsi="黑体" w:eastAsia="黑体" w:cs="黑体"/>
          <w:kern w:val="2"/>
          <w:sz w:val="28"/>
          <w:lang w:val="en-US" w:eastAsia="zh-CN" w:bidi="ar-SA"/>
        </w:rPr>
        <w:t xml:space="preserve">5 </w:t>
      </w:r>
      <w:r>
        <w:rPr>
          <w:rFonts w:hint="eastAsia" w:ascii="黑体" w:hAnsi="黑体" w:eastAsia="黑体" w:cs="黑体"/>
          <w:kern w:val="2"/>
          <w:sz w:val="28"/>
          <w:lang w:eastAsia="zh-CN" w:bidi="ar-SA"/>
        </w:rPr>
        <w:t>工作程序</w:t>
      </w:r>
    </w:p>
    <w:p w14:paraId="31C9AB3F">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 新制工装的信息管理</w:t>
      </w:r>
    </w:p>
    <w:p w14:paraId="52FC21ED">
      <w:pPr>
        <w:widowControl w:val="0"/>
        <w:spacing w:line="440" w:lineRule="exact"/>
        <w:ind w:left="0" w:leftChars="0" w:firstLine="638" w:firstLineChars="228"/>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 导入《工艺装备申请单》</w:t>
      </w:r>
    </w:p>
    <w:p w14:paraId="2161CC10">
      <w:pPr>
        <w:widowControl w:val="0"/>
        <w:spacing w:line="440" w:lineRule="exact"/>
        <w:ind w:left="0" w:leftChars="0" w:firstLine="638" w:firstLineChars="228"/>
        <w:jc w:val="left"/>
        <w:rPr>
          <w:rFonts w:hint="eastAsia" w:ascii="Times New Roman" w:hAnsi="Times New Roman" w:eastAsia="宋体" w:cs="Times New Roman"/>
          <w:kern w:val="2"/>
          <w:sz w:val="28"/>
          <w:szCs w:val="28"/>
          <w:lang w:eastAsia="zh-CN" w:bidi="ar-SA"/>
        </w:rPr>
      </w:pPr>
      <w:r>
        <w:rPr>
          <w:rFonts w:hint="eastAsia" w:ascii="宋体" w:hAnsi="宋体" w:eastAsia="宋体" w:cs="宋体"/>
          <w:kern w:val="2"/>
          <w:sz w:val="28"/>
          <w:szCs w:val="24"/>
          <w:lang w:val="en-US" w:eastAsia="zh-CN" w:bidi="ar-SA"/>
        </w:rPr>
        <w:t>作为工装信息管理的基础依据之一，</w:t>
      </w:r>
      <w:r>
        <w:rPr>
          <w:rFonts w:hint="eastAsia" w:ascii="Times New Roman" w:hAnsi="Times New Roman" w:eastAsia="宋体" w:cs="Times New Roman"/>
          <w:kern w:val="2"/>
          <w:sz w:val="28"/>
          <w:szCs w:val="28"/>
          <w:lang w:eastAsia="zh-CN" w:bidi="ar-SA"/>
        </w:rPr>
        <w:t>工程技术部技术员须在生产管理系统中导入《工艺装备申请单》。《申请单》源自于OA系统，在导入生产管理系统时，增加了目标版次和序列号的字段。由物资保障部计划员填写工装序列号，而后系统会自动生成如下表单的编制任务：</w:t>
      </w:r>
    </w:p>
    <w:p w14:paraId="683EBFB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a)</w:t>
      </w:r>
      <w:r>
        <w:rPr>
          <w:rFonts w:hint="eastAsia" w:ascii="Times New Roman" w:hAnsi="Times New Roman" w:eastAsia="宋体" w:cs="Times New Roman"/>
          <w:kern w:val="2"/>
          <w:sz w:val="28"/>
          <w:szCs w:val="28"/>
          <w:lang w:eastAsia="zh-CN" w:bidi="ar-SA"/>
        </w:rPr>
        <w:t>《工装验收账目》（暂名）的编制</w:t>
      </w:r>
    </w:p>
    <w:p w14:paraId="0791B01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此表单由物资保障部计划员编制，该编制分为三个阶段：首先，计划员从已导入的《工艺装备申请单》处得知“即将有工装等待验收”这一情况。</w:t>
      </w:r>
    </w:p>
    <w:p w14:paraId="105A994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而后，工装计划员对从任务执行方处获得工装交检资料的扫描件或电子档案进行预审。预审的形式为——根据工装类型和应用场景来审查交检资料的门类是否齐全，并在验收账目中进行登记。</w:t>
      </w:r>
    </w:p>
    <w:p w14:paraId="1A668F5C">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最后，计划员给出预审合格结论后，在《工装验收账目》表中引用工程技术部技术员出具的《工装验收要求技术单》从而完成账目的编制。完成编制的《工装验收账目》视为检验申请。系统将自动向工装保管员分配工装验收的组织任务。</w:t>
      </w:r>
    </w:p>
    <w:p w14:paraId="375411A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b)</w:t>
      </w:r>
      <w:r>
        <w:rPr>
          <w:rFonts w:hint="eastAsia" w:ascii="Times New Roman" w:hAnsi="Times New Roman" w:eastAsia="宋体" w:cs="Times New Roman"/>
          <w:kern w:val="2"/>
          <w:sz w:val="28"/>
          <w:szCs w:val="28"/>
          <w:lang w:eastAsia="zh-CN" w:bidi="ar-SA"/>
        </w:rPr>
        <w:t>《工装验收技术要求单》的发布</w:t>
      </w:r>
    </w:p>
    <w:p w14:paraId="3238E3B8">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此表单由工程技术部技术员编制，部长或副主任师批准发布。基本信息已从《工艺装备申请单》传递，技术员应当填写工装验收时需要检验的关键测量特征和功能要点。</w:t>
      </w:r>
    </w:p>
    <w:p w14:paraId="43CBFDB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default" w:ascii="Times New Roman" w:hAnsi="Times New Roman" w:eastAsia="宋体" w:cs="Times New Roman"/>
          <w:kern w:val="2"/>
          <w:sz w:val="28"/>
          <w:szCs w:val="28"/>
          <w:lang w:val="en-US" w:eastAsia="zh-CN" w:bidi="ar-SA"/>
        </w:rPr>
        <w:t>c)</w:t>
      </w:r>
      <w:r>
        <w:rPr>
          <w:rFonts w:hint="eastAsia" w:ascii="Times New Roman" w:hAnsi="Times New Roman" w:eastAsia="宋体" w:cs="Times New Roman"/>
          <w:kern w:val="2"/>
          <w:sz w:val="28"/>
          <w:szCs w:val="28"/>
          <w:lang w:eastAsia="zh-CN" w:bidi="ar-SA"/>
        </w:rPr>
        <w:t>《工装定检技术要求》的发布</w:t>
      </w:r>
    </w:p>
    <w:p w14:paraId="7D6EAAD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当《工艺装备申请单》中声明该工装“具备检验功能”时，《工装定检技术要求》的编制任务将自动生成。工程技术部技术员负责编制、校对，部长或副主任师进行批准，而后由质量安环部检验员或部长会签发布。</w:t>
      </w:r>
    </w:p>
    <w:p w14:paraId="191A4B0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宋体" w:hAnsi="宋体" w:eastAsia="宋体" w:cs="宋体"/>
          <w:kern w:val="2"/>
          <w:sz w:val="28"/>
          <w:szCs w:val="24"/>
          <w:lang w:val="en-US" w:eastAsia="zh-CN" w:bidi="ar-SA"/>
        </w:rPr>
        <w:t>5.1.2 新制工装的验收信息管理</w:t>
      </w:r>
    </w:p>
    <w:p w14:paraId="1C93376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工装验收账目》编制完成后，工装保管员组织工程技术部技术员和工装检验员在现场按照《工装验收技术要求单》对工装实物进行验收。技术员在确认工装满足使用条件后，在《账目》中确认“工艺员验收”。检验员在确认工装有效性文件合规，且文实相符后，在《账目》中确认“检验员验收”。此时工装即为合格工装。通过验收的《工装验收账目》将自动生成《工装身份卡》的编制任务。</w:t>
      </w:r>
    </w:p>
    <w:p w14:paraId="3DE9430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5.1.3 工装全生命周期信息管理</w:t>
      </w:r>
    </w:p>
    <w:p w14:paraId="6FFE6684">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工装身份卡》由工装计划员或工装保管员编制，另一人负责校对，基本信息已从《工艺装备申请单》中传递。编制人员在《身份卡》中登记工装的附属信息。附属信息包括库位、原工装序列号（如有）、组件号（组件属于同一工装图号，但因某些原因，分体组件被视为另一工装时）、制造商、制造派工号、制造日期、定检周期、靶标点值（如有）及《工装使用说明书》。以上信息完成编制后，由工程技术部技术员进行工装特种信息的录入。特种信息包括数模存放位置、工装简图、重量、尺寸、运输方式、可拆卸组件及《工装定检技术要求》。</w:t>
      </w:r>
    </w:p>
    <w:p w14:paraId="56D6710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5.1.4 验收时不合格工装的处理</w:t>
      </w:r>
    </w:p>
    <w:p w14:paraId="6C17ED4A">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在验收阶段，工程技术部技术员、质量安环部工装检验员发现工装实物或有效性文件存在问题项时，检验员应发起《不合格工装通知单》，该通知单将生成《待交付工装问题解决》的追踪任务。物资保障部工装计划员应按照《工艺装备申请单》中声明的工装需求时间和问题严重性来设计追踪节点。在工装计划员收到相关方解决全部问题的证据和实物结果后，关闭追踪任务，并将处理结果登记在《工装验收账目》中，通知工装保管员提检。保管员组织技术员和检验员核查登记结果，视结果完成验收。如工装仍存在问题，重新进行《不合格工装通知单》及后续流程。</w:t>
      </w:r>
    </w:p>
    <w:p w14:paraId="1587537E">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5.2 工装库位的信息管理</w:t>
      </w:r>
    </w:p>
    <w:p w14:paraId="1B2575C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5.2.1 工装库位的设计——数字孪生体</w:t>
      </w:r>
    </w:p>
    <w:p w14:paraId="5F1B12E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物资保障部工装计划员负责根据工装属性进行库位的分区设计，并按照工装数模、尺寸、重量及装卸方式设计库位，结果应体现为装配体文件。文件中必须包含工装库位的编号。</w:t>
      </w:r>
    </w:p>
    <w:p w14:paraId="302D4FB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5.2.2 工装库位信息建立</w:t>
      </w:r>
    </w:p>
    <w:p w14:paraId="33F5399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项目管理部负责按照工装库房的数字孪生体放置工装，并结合实际情况向物资保障部反馈工装落位情况。工装计划员负责对实物落位的工装进行库位登记，并更新在《工装身份卡》中。不能满足孪生体库位设计的工装，项目管理部有义务配合物资保障部更新孪生体的设计。</w:t>
      </w:r>
    </w:p>
    <w:p w14:paraId="5995890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5.2.3 产品制造大纲与工装的关联建立</w:t>
      </w:r>
    </w:p>
    <w:p w14:paraId="751864C8">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工程技术部技术员负责建立《产品制造大纲》与所需工装的关联，数据取自《工装身份卡》。</w:t>
      </w:r>
    </w:p>
    <w:p w14:paraId="04BB93A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5.2.4 工装出入库信息管理</w:t>
      </w:r>
    </w:p>
    <w:p w14:paraId="14488A8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当《产品制造大纲》被项目管理部下发后，系统将根据工装库位状态自动生成或不生成工装出库的派工。工装离开库房后，工装保管员负责在《工装身份卡》中登记工装的出库状态。如在此期间发现工装存在功能性组件缺失或型面损伤等偏差时，工装保管员应中断出库任务，并组织质量安环部检验员、工程技术部技术员现场评估此偏差。检验员负责编制《不合格工装审理单》，技术员负责填写处理意见。具体流程详见《工装使用管理程序》。工装计划员根据审理结果，变更工装可用状态，并在工装进入隔离区或标记隔离后变更库位信息。</w:t>
      </w:r>
    </w:p>
    <w:p w14:paraId="2A88717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对于已出库的工装，当不存在引用该工装的《产品制造大纲》（不排除连续制造的产品计划，但不含通用工装）时，系统将根据产品制造状态自动生成或不生成工装入库的派工。工装进入库房后，工装保管员负责在《工装身份卡》中登记工装的入库状态。偏差处理同上。</w:t>
      </w:r>
    </w:p>
    <w:p w14:paraId="75126D12">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5.3 工装定检、定查信息管理</w:t>
      </w:r>
    </w:p>
    <w:p w14:paraId="753F9126">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5.3.1 工装定检计划及派工管理</w:t>
      </w:r>
    </w:p>
    <w:p w14:paraId="5FC5D27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在生产管理系统中，根据工装定检剩余有效期、产品制造计划，制定次月工装定检计划，并在系统中对项目管理部进行定检派工。此派工将引用《工装定检技术要求》。派工生成后，系统将自动生成《工装验收账目》编制任务，任务流程同5.1.1。工装检验员验收定检结果后，工装定检剩余有效期将根据定检周期重新计算。</w:t>
      </w:r>
    </w:p>
    <w:p w14:paraId="5650BC8F">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工装计划员根据在库工装定查剩余有效期，制定次月工装定查计划，并在系统中对物资保障部工装保管员进行定查派工。</w:t>
      </w:r>
    </w:p>
    <w:p w14:paraId="71D9ABD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5.3.2 工装定检、定查异常时的信息处理</w:t>
      </w:r>
    </w:p>
    <w:p w14:paraId="5CA78F5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当工装定检剩余有效期为零，且工装的定检派工仍未完成时，工装将自动被标记为“定检超期”，可用状态为“禁用”。工装在《产品制造大纲》中变为“不可引用”。定检超期的处理流程，见《工装定检管理程序》。</w:t>
      </w:r>
    </w:p>
    <w:p w14:paraId="039AB71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当定检定查结果出现偏差，对应的《不合格工装审理单》给出“不可使用”的结论后。工装将自动被标记为“禁用”。</w:t>
      </w:r>
    </w:p>
    <w:p w14:paraId="411AD5E8">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5.4 工装返修的信息管理</w:t>
      </w:r>
    </w:p>
    <w:p w14:paraId="7BE8788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5.4.1 导入《工装返工申请单》</w:t>
      </w:r>
    </w:p>
    <w:p w14:paraId="20645C7C">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作为工装信息管理的基础依据之一，工程技术部技术员须在生产管理系统中导入《工装返工申请单》。《申请单》源自于OA系统，在导入生产管理系统时，增加了目标版次的字段。而后系统会自动生成如下表单的编制任务：</w:t>
      </w:r>
    </w:p>
    <w:p w14:paraId="241102CB">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a)《工装验收卡》（暂名）的编制</w:t>
      </w:r>
    </w:p>
    <w:p w14:paraId="41980A1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b)《工装验收技术要求单》的发布</w:t>
      </w:r>
    </w:p>
    <w:p w14:paraId="06B17A0E">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5.4.2 返修工装的验收信息管理</w:t>
      </w:r>
    </w:p>
    <w:p w14:paraId="61A41B1D">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装验收账目》编制完成后，工装保管员组织工程技术部技术员和工装检验员在现场按照《工装验收技术要求单》对工装实物进行验收。技术员在确认工装满足使用条件后，在《账目》中确认“工艺员验收”。检验员在确认工装有效性文件合规，且文实相符后，在《账目》中确认“检验员验收”。此时工装即为合格工装。通过验收的《工装验收账目》将自动生成《工装身份卡》的编制任务。</w:t>
      </w:r>
    </w:p>
    <w:p w14:paraId="0257374D">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5.4.3 返修验收后的信息管理</w:t>
      </w:r>
    </w:p>
    <w:p w14:paraId="528EAB5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物资保障部工装计划员负责在《工装身份卡》对工装返修结果进行登记及信息补充，补充内容包括图纸页次、工装数据管理单、工装数据更改单。</w:t>
      </w:r>
    </w:p>
    <w:p w14:paraId="077B678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5.4.4 验收时不合格工装的处理</w:t>
      </w:r>
    </w:p>
    <w:p w14:paraId="66F1345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在验收阶段，工程技术部技术员、质量安环部工装检验员发现工装实物或有效性文件存在问题项时，检验员应发起《不合格工装通知单》，该通知单将生成《待交付工装问题解决》的追踪任务。物资保障部工装计划员应按照《工艺装备申请单》中声明的工装需求时间和问题严重性来设计追踪节点。在工装计划员收到相关方解决全部问题的证据和实物结果后，关闭追踪任务，并将处理结果登记在《工装验收账目》中，通知工装保管员提检。保管员组织技术员和检验员核查登记结果，视结果完成验收。如工装仍存在问题，重新进行《不合格工装通知单》及后续流程。</w:t>
      </w:r>
    </w:p>
    <w:p w14:paraId="110704AC">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5.5 工装的封存信息管理</w:t>
      </w:r>
    </w:p>
    <w:p w14:paraId="26A47DC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5.5.1 工装封存后的信息变更</w:t>
      </w:r>
    </w:p>
    <w:p w14:paraId="6BB3A5D0">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当工装长期没有使用需求，工程技术部技术员应当编制《工装封存目录》，通过审批的封存目录，其声明的工装将在生产管理系统中标记“封存”。封存后的工装不会触发定检定查计划提醒，且定检定查剩余有效期为零时，不再触发工装禁用。</w:t>
      </w:r>
    </w:p>
    <w:p w14:paraId="73EB4A82">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5.5.2 工装封存的任务发起与执行</w:t>
      </w:r>
    </w:p>
    <w:p w14:paraId="36239CE6">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如《工装封存目录》中规定某工装使用“放置”以外的封存方式，则系统会自动生成《工装封存处置》派工，由项目管理部负责执行，由工装保管员负责确认完成。</w:t>
      </w:r>
    </w:p>
    <w:p w14:paraId="2314662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5.5.3 工装启封的信息变更</w:t>
      </w:r>
    </w:p>
    <w:p w14:paraId="25FAD3DE">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当工装重新启用时，工程技术部技术员应当起草《工装启封申请》。启封申请提出后，如工装为定检工装，申请视为向项目管理部的定检派工（见6.3.1）。反之则视为向物资保障部的定查派工。完成以上派工的工装，其可用状态将变为“可用”。</w:t>
      </w:r>
    </w:p>
    <w:p w14:paraId="00094E1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5.5.4 长期不使用但并未办理封存手续的工装信息管理</w:t>
      </w:r>
    </w:p>
    <w:p w14:paraId="126CED3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生产管理系统每月1日汇总库龄超过6个月且无封存手续的工装，并标记工装存放状态为“库龄过长”。物资保障部将对此类工装发生的定检、定查工作进行记录。</w:t>
      </w:r>
    </w:p>
    <w:p w14:paraId="3B7ED291">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5.6 工装的出借、接收的信息管理</w:t>
      </w:r>
    </w:p>
    <w:p w14:paraId="5B495A5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5.6.1 工装出借的信息管理</w:t>
      </w:r>
    </w:p>
    <w:p w14:paraId="01AA54C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程技术部、项目管理部可以发起工装的出借，在生产管理系统中需要进行《工装出借申请》。该申请由部门发起后，由物资保障部工装计划员、工装保管员会同工程技术部技术员前往工装实物处核验工装是否满足使用条件。确认满足使用条件后，由工装计划员负责接洽发货事宜。工装发货前，由工装保管员、发起人共同确认工装状态，并由发起人完成出借申请的确认，工装可用状态将被标记为“借出”。</w:t>
      </w:r>
    </w:p>
    <w:p w14:paraId="6AE7A01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5.6.2 工装接收时的信息管理</w:t>
      </w:r>
    </w:p>
    <w:p w14:paraId="5E2BDE98">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工装计划员在接到借方或出借申请人的通知，明确知晓工装即将到货时，编制《工装验收账目》，验收标准参照5.4.2与5.4.4。验收后的工装可用状态将被恢复到发货前的状态。</w:t>
      </w:r>
    </w:p>
    <w:p w14:paraId="39A1F511">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5.7 工装的报废信息管理</w:t>
      </w:r>
    </w:p>
    <w:p w14:paraId="5BA0E04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5.7.1 导入《工艺装备报废申请单》</w:t>
      </w:r>
    </w:p>
    <w:p w14:paraId="4C014D0E">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工程技术部技术员负责导入该表单。表单导入后，工装将被标记“已报废等待处理”，系统将自动生成工装报废派工。</w:t>
      </w:r>
    </w:p>
    <w:p w14:paraId="332F34EE">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5.7.2 工装报废时的信息变更、实物记录及隔离派工</w:t>
      </w:r>
    </w:p>
    <w:p w14:paraId="08605B24">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该派工首先由物资保障部工装计划员执行，删除库位信息，从数字孪生体中移除该工装。工装保管员对工装实物进行摄像，并将视频保存至物资保障部发放区。项目管理部负责将工装隔离至适当场所，等待产权方或经营发展部进行进一步处理。</w:t>
      </w:r>
    </w:p>
    <w:p w14:paraId="7E8A8AEF">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5.8 客供、外厂转移工装的信息管理</w:t>
      </w:r>
    </w:p>
    <w:p w14:paraId="54FF13B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5.8.1 客供、外厂转移工装基础信息的确认</w:t>
      </w:r>
    </w:p>
    <w:p w14:paraId="13C7E9E7">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物资保障部工装计划员负责确认属于此类型的工装。由于存在历史遗留问题，这些工装的基本信息可能存在错误和有效性文件缺失，因此，建立账目前，工装计划员应将确认的清单传递至工程技术部，由技术员以《工艺装备申请单》的数据标准确认此类工装的基本信息。</w:t>
      </w:r>
    </w:p>
    <w:p w14:paraId="60202FB5">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5.8.2 工装身份卡的建立</w:t>
      </w:r>
    </w:p>
    <w:p w14:paraId="4011587F">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经过技术员确认基本信息后的工装，将由工装计划员起草《工装身份卡》，后续流程参照5.1.3。</w:t>
      </w:r>
    </w:p>
    <w:p w14:paraId="08FE91A1">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5.9 本程序发布前的新制工装信息管理</w:t>
      </w:r>
    </w:p>
    <w:p w14:paraId="3E360CF1">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5.9.1 导入《工艺装备申请单》</w:t>
      </w:r>
    </w:p>
    <w:p w14:paraId="4068BB9A">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工程技术部技术员负责导入这一部分工装的申请单。工装计划员填写序列号后，终止已经开具合格证工装的验收流程。</w:t>
      </w:r>
    </w:p>
    <w:p w14:paraId="4F27E72F">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5.9.2 验收尚未开具合格证的工装</w:t>
      </w:r>
    </w:p>
    <w:p w14:paraId="6D5641E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尚未开具合格证的工装按6.1流程验收。</w:t>
      </w:r>
    </w:p>
    <w:p w14:paraId="0B54C864">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5.10 基材为复合材料的均压板、控厚块及其它有次数寿命工装的信息管理</w:t>
      </w:r>
    </w:p>
    <w:p w14:paraId="73173453">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5.10.1 本节需要物资保障部、工程技术部、质量安环部、项目管理部四方沟通后方可编制。</w:t>
      </w:r>
    </w:p>
    <w:p w14:paraId="4C545484">
      <w:pPr>
        <w:widowControl w:val="0"/>
        <w:spacing w:beforeLines="50" w:afterLines="50" w:line="440" w:lineRule="exact"/>
        <w:ind w:firstLine="0" w:firstLineChars="0"/>
        <w:jc w:val="both"/>
        <w:rPr>
          <w:rFonts w:hint="eastAsia" w:ascii="宋体" w:hAnsi="宋体" w:eastAsia="宋体" w:cs="宋体"/>
          <w:kern w:val="2"/>
          <w:sz w:val="28"/>
          <w:lang w:val="en-US" w:eastAsia="zh-CN" w:bidi="ar-SA"/>
        </w:rPr>
      </w:pPr>
      <w:r>
        <w:rPr>
          <w:rFonts w:hint="eastAsia" w:ascii="宋体" w:hAnsi="宋体" w:eastAsia="宋体" w:cs="宋体"/>
          <w:kern w:val="2"/>
          <w:sz w:val="28"/>
          <w:lang w:val="en-US" w:eastAsia="zh-CN" w:bidi="ar-SA"/>
        </w:rPr>
        <w:t>5.11 工装信息管理等级的划分</w:t>
      </w:r>
    </w:p>
    <w:p w14:paraId="5684EE76">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5.11.1 工装信息管理等级分为三级，一级对应批产件工装，二级对应研制件工装，三级对应封存工装。</w:t>
      </w:r>
    </w:p>
    <w:p w14:paraId="616E5DD8">
      <w:pPr>
        <w:widowControl w:val="0"/>
        <w:spacing w:line="440" w:lineRule="exact"/>
        <w:ind w:firstLine="560" w:firstLineChars="200"/>
        <w:jc w:val="left"/>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5.11.2 一级工装的定查周期为入库之日起3个月，二级工装为1年。</w:t>
      </w:r>
    </w:p>
    <w:p w14:paraId="79737634">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6 流程</w:t>
      </w:r>
    </w:p>
    <w:p w14:paraId="40D3465E">
      <w:pPr>
        <w:adjustRightInd w:val="0"/>
        <w:snapToGrid w:val="0"/>
        <w:spacing w:before="326" w:beforeLines="100"/>
        <w:outlineLvl w:val="0"/>
        <w:rPr>
          <w:rFonts w:asciiTheme="minorEastAsia" w:hAnsiTheme="minorEastAsia" w:eastAsiaTheme="minorEastAsia"/>
        </w:rPr>
      </w:pPr>
      <w:r>
        <w:rPr>
          <w:rFonts w:asciiTheme="minorEastAsia" w:hAnsiTheme="minorEastAsia" w:eastAsiaTheme="minorEastAsia"/>
        </w:rPr>
        <w:object>
          <v:shape id="_x0000_i1025" o:spt="75" type="#_x0000_t75" style="height:283.35pt;width:415.2pt;" o:ole="t" filled="f" o:preferrelative="t" stroked="f" coordsize="21600,21600">
            <v:path/>
            <v:fill on="f" focussize="0,0"/>
            <v:stroke on="f"/>
            <v:imagedata r:id="rId7" o:title=""/>
            <o:lock v:ext="edit" aspectratio="f"/>
            <w10:wrap type="none"/>
            <w10:anchorlock/>
          </v:shape>
          <o:OLEObject Type="Embed" ProgID="Visio.Drawing.15" ShapeID="_x0000_i1025" DrawAspect="Content" ObjectID="_1468075725" r:id="rId6">
            <o:LockedField>false</o:LockedField>
          </o:OLEObject>
        </w:object>
      </w:r>
    </w:p>
    <w:p w14:paraId="3999EA93">
      <w:pPr>
        <w:adjustRightInd w:val="0"/>
        <w:snapToGrid w:val="0"/>
        <w:spacing w:before="326" w:beforeLines="100"/>
        <w:outlineLvl w:val="0"/>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275580" cy="4140200"/>
            <wp:effectExtent l="0" t="0" r="1270" b="12700"/>
            <wp:docPr id="2" name="图片 2" descr="bf5c59089a0f5c8d6d6013bf687f4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5c59089a0f5c8d6d6013bf687f4a3e"/>
                    <pic:cNvPicPr>
                      <a:picLocks noChangeAspect="1"/>
                    </pic:cNvPicPr>
                  </pic:nvPicPr>
                  <pic:blipFill>
                    <a:blip r:embed="rId8"/>
                    <a:stretch>
                      <a:fillRect/>
                    </a:stretch>
                  </pic:blipFill>
                  <pic:spPr>
                    <a:xfrm>
                      <a:off x="0" y="0"/>
                      <a:ext cx="5275580" cy="4140200"/>
                    </a:xfrm>
                    <a:prstGeom prst="rect">
                      <a:avLst/>
                    </a:prstGeom>
                  </pic:spPr>
                </pic:pic>
              </a:graphicData>
            </a:graphic>
          </wp:inline>
        </w:drawing>
      </w:r>
    </w:p>
    <w:p w14:paraId="492F3BFF">
      <w:pPr>
        <w:adjustRightInd w:val="0"/>
        <w:snapToGrid w:val="0"/>
        <w:spacing w:before="326" w:beforeLines="100"/>
        <w:outlineLvl w:val="0"/>
        <w:rPr>
          <w:rFonts w:hint="eastAsia" w:asciiTheme="minorEastAsia" w:hAnsiTheme="minorEastAsia" w:eastAsiaTheme="minorEastAsia"/>
          <w:lang w:eastAsia="zh-CN"/>
        </w:rPr>
      </w:pPr>
    </w:p>
    <w:p w14:paraId="42C21535">
      <w:pPr>
        <w:adjustRightInd w:val="0"/>
        <w:snapToGrid w:val="0"/>
        <w:spacing w:before="326" w:beforeLines="100"/>
        <w:outlineLvl w:val="0"/>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272405" cy="3930015"/>
            <wp:effectExtent l="0" t="0" r="4445" b="13335"/>
            <wp:docPr id="3" name="图片 3" descr="66f78b24ca6fd0cef5742a2ba6b10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6f78b24ca6fd0cef5742a2ba6b10f5e"/>
                    <pic:cNvPicPr>
                      <a:picLocks noChangeAspect="1"/>
                    </pic:cNvPicPr>
                  </pic:nvPicPr>
                  <pic:blipFill>
                    <a:blip r:embed="rId9"/>
                    <a:stretch>
                      <a:fillRect/>
                    </a:stretch>
                  </pic:blipFill>
                  <pic:spPr>
                    <a:xfrm>
                      <a:off x="0" y="0"/>
                      <a:ext cx="5272405" cy="3930015"/>
                    </a:xfrm>
                    <a:prstGeom prst="rect">
                      <a:avLst/>
                    </a:prstGeom>
                  </pic:spPr>
                </pic:pic>
              </a:graphicData>
            </a:graphic>
          </wp:inline>
        </w:drawing>
      </w:r>
    </w:p>
    <w:p w14:paraId="0C1606BB">
      <w:pPr>
        <w:adjustRightInd w:val="0"/>
        <w:snapToGrid w:val="0"/>
        <w:spacing w:before="326" w:beforeLines="100"/>
        <w:outlineLvl w:val="0"/>
        <w:rPr>
          <w:rFonts w:asciiTheme="minorEastAsia" w:hAnsiTheme="minorEastAsia" w:eastAsiaTheme="minorEastAsia"/>
        </w:rPr>
      </w:pPr>
    </w:p>
    <w:p w14:paraId="64AF6E23">
      <w:pPr>
        <w:adjustRightInd w:val="0"/>
        <w:snapToGrid w:val="0"/>
        <w:spacing w:before="326" w:beforeLines="100"/>
        <w:outlineLvl w:val="0"/>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276850" cy="3571875"/>
            <wp:effectExtent l="0" t="0" r="0" b="9525"/>
            <wp:docPr id="4" name="图片 4" descr="b6ac2f1dbf4beccc64f495696c634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ac2f1dbf4beccc64f495696c6349f3"/>
                    <pic:cNvPicPr>
                      <a:picLocks noChangeAspect="1"/>
                    </pic:cNvPicPr>
                  </pic:nvPicPr>
                  <pic:blipFill>
                    <a:blip r:embed="rId10"/>
                    <a:stretch>
                      <a:fillRect/>
                    </a:stretch>
                  </pic:blipFill>
                  <pic:spPr>
                    <a:xfrm>
                      <a:off x="0" y="0"/>
                      <a:ext cx="5276850" cy="3571875"/>
                    </a:xfrm>
                    <a:prstGeom prst="rect">
                      <a:avLst/>
                    </a:prstGeom>
                  </pic:spPr>
                </pic:pic>
              </a:graphicData>
            </a:graphic>
          </wp:inline>
        </w:drawing>
      </w:r>
    </w:p>
    <w:p w14:paraId="136FCAEB">
      <w:pPr>
        <w:adjustRightInd w:val="0"/>
        <w:snapToGrid w:val="0"/>
        <w:spacing w:before="326" w:beforeLines="100"/>
        <w:outlineLvl w:val="0"/>
        <w:rPr>
          <w:rFonts w:hint="eastAsia" w:asciiTheme="minorEastAsia" w:hAnsiTheme="minorEastAsia" w:eastAsiaTheme="minorEastAsia"/>
          <w:lang w:eastAsia="zh-CN"/>
        </w:rPr>
      </w:pPr>
    </w:p>
    <w:p w14:paraId="58D90807">
      <w:pPr>
        <w:adjustRightInd w:val="0"/>
        <w:snapToGrid w:val="0"/>
        <w:spacing w:before="326" w:beforeLines="100"/>
        <w:outlineLvl w:val="0"/>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277485" cy="3326765"/>
            <wp:effectExtent l="0" t="0" r="18415" b="6985"/>
            <wp:docPr id="5" name="图片 5" descr="c7bf9049fcc10c13c5374bb84c6ca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7bf9049fcc10c13c5374bb84c6ca331"/>
                    <pic:cNvPicPr>
                      <a:picLocks noChangeAspect="1"/>
                    </pic:cNvPicPr>
                  </pic:nvPicPr>
                  <pic:blipFill>
                    <a:blip r:embed="rId11"/>
                    <a:stretch>
                      <a:fillRect/>
                    </a:stretch>
                  </pic:blipFill>
                  <pic:spPr>
                    <a:xfrm>
                      <a:off x="0" y="0"/>
                      <a:ext cx="5277485" cy="3326765"/>
                    </a:xfrm>
                    <a:prstGeom prst="rect">
                      <a:avLst/>
                    </a:prstGeom>
                  </pic:spPr>
                </pic:pic>
              </a:graphicData>
            </a:graphic>
          </wp:inline>
        </w:drawing>
      </w:r>
    </w:p>
    <w:p w14:paraId="6E405297">
      <w:pPr>
        <w:adjustRightInd w:val="0"/>
        <w:snapToGrid w:val="0"/>
        <w:spacing w:before="326" w:beforeLines="100"/>
        <w:outlineLvl w:val="0"/>
        <w:rPr>
          <w:rFonts w:asciiTheme="minorEastAsia" w:hAnsiTheme="minorEastAsia" w:eastAsiaTheme="minorEastAsia"/>
        </w:rPr>
      </w:pPr>
    </w:p>
    <w:p w14:paraId="6EDFAF9D">
      <w:pPr>
        <w:adjustRightInd w:val="0"/>
        <w:snapToGrid w:val="0"/>
        <w:spacing w:before="326" w:beforeLines="100"/>
        <w:outlineLvl w:val="0"/>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275580" cy="2635250"/>
            <wp:effectExtent l="0" t="0" r="1270" b="12700"/>
            <wp:docPr id="6" name="图片 6" descr="8c63e9f5ee219c4463787944d2abb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c63e9f5ee219c4463787944d2abbb95"/>
                    <pic:cNvPicPr>
                      <a:picLocks noChangeAspect="1"/>
                    </pic:cNvPicPr>
                  </pic:nvPicPr>
                  <pic:blipFill>
                    <a:blip r:embed="rId12"/>
                    <a:stretch>
                      <a:fillRect/>
                    </a:stretch>
                  </pic:blipFill>
                  <pic:spPr>
                    <a:xfrm>
                      <a:off x="0" y="0"/>
                      <a:ext cx="5275580" cy="2635250"/>
                    </a:xfrm>
                    <a:prstGeom prst="rect">
                      <a:avLst/>
                    </a:prstGeom>
                  </pic:spPr>
                </pic:pic>
              </a:graphicData>
            </a:graphic>
          </wp:inline>
        </w:drawing>
      </w:r>
    </w:p>
    <w:p w14:paraId="34B1DB83">
      <w:pPr>
        <w:spacing w:before="312" w:beforeLines="100" w:after="312" w:afterLines="100" w:line="440" w:lineRule="exact"/>
        <w:jc w:val="left"/>
        <w:rPr>
          <w:rFonts w:hint="eastAsia" w:ascii="黑体" w:hAnsi="黑体" w:eastAsia="黑体" w:cs="黑体"/>
          <w:sz w:val="28"/>
          <w:lang w:val="en-US" w:eastAsia="zh-CN"/>
        </w:rPr>
      </w:pPr>
      <w:bookmarkStart w:id="1" w:name="_Hlk203133622"/>
      <w:r>
        <w:rPr>
          <w:rFonts w:hint="eastAsia" w:ascii="黑体" w:hAnsi="黑体" w:eastAsia="黑体" w:cs="黑体"/>
          <w:sz w:val="28"/>
          <w:lang w:val="en-US" w:eastAsia="zh-CN"/>
        </w:rPr>
        <w:t>7 规定表格</w:t>
      </w:r>
    </w:p>
    <w:bookmarkEnd w:id="1"/>
    <w:p w14:paraId="2F2656DD">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-01-A 工艺装备申请单；</w:t>
      </w:r>
    </w:p>
    <w:p w14:paraId="5BAC72D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-02-A 工装返工申请单；</w:t>
      </w:r>
    </w:p>
    <w:p w14:paraId="5F9D4270">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-03-A 验收大纲；</w:t>
      </w:r>
    </w:p>
    <w:p w14:paraId="61FEA1B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-04-A 数据控制单；</w:t>
      </w:r>
    </w:p>
    <w:p w14:paraId="5CD7C60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-05-A 工装验收技术要求单；</w:t>
      </w:r>
    </w:p>
    <w:p w14:paraId="641D002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-06-A 工装定检技术要求；</w:t>
      </w:r>
    </w:p>
    <w:p w14:paraId="65867379">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-07-A 有效工装目录；</w:t>
      </w:r>
    </w:p>
    <w:p w14:paraId="1107F818">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-08-A 定检工装目录；</w:t>
      </w:r>
    </w:p>
    <w:p w14:paraId="2672D00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-09-A 定查工装目录；</w:t>
      </w:r>
    </w:p>
    <w:p w14:paraId="01344A6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-10-A 客供工装目录；</w:t>
      </w:r>
    </w:p>
    <w:p w14:paraId="0584856F">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-11-A 封存工装目录；</w:t>
      </w:r>
    </w:p>
    <w:p w14:paraId="41A4AF1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-12-A 工装验收卡（暂名）；</w:t>
      </w:r>
    </w:p>
    <w:p w14:paraId="590689E6">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-13-A 工装定期检查维护计划（又名“定检、定查计划”）；</w:t>
      </w:r>
    </w:p>
    <w:p w14:paraId="56C2EE32">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-14-A 工装身份卡；</w:t>
      </w:r>
    </w:p>
    <w:p w14:paraId="3334DA2F">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-15-A 工装出入库登记表；</w:t>
      </w:r>
    </w:p>
    <w:p w14:paraId="316164BA">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-16-A 工装可拆卸件目录；</w:t>
      </w:r>
    </w:p>
    <w:p w14:paraId="1293ECD3">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-17-A 不合格工装通知单；</w:t>
      </w:r>
    </w:p>
    <w:p w14:paraId="4391F2F7">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cs="Times New Roman"/>
          <w:kern w:val="2"/>
          <w:sz w:val="28"/>
          <w:szCs w:val="28"/>
          <w:lang w:eastAsia="zh-CN" w:bidi="ar-SA"/>
        </w:rPr>
        <w:t>GLTX-WZ-04</w:t>
      </w:r>
      <w:r>
        <w:rPr>
          <w:rFonts w:hint="eastAsia" w:ascii="Times New Roman" w:hAnsi="Times New Roman" w:eastAsia="宋体" w:cs="Times New Roman"/>
          <w:kern w:val="2"/>
          <w:sz w:val="28"/>
          <w:szCs w:val="28"/>
          <w:lang w:eastAsia="zh-CN" w:bidi="ar-SA"/>
        </w:rPr>
        <w:t>-18-A 不合格工装审理单。</w:t>
      </w:r>
    </w:p>
    <w:p w14:paraId="3F911F05">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8 记录控制</w:t>
      </w:r>
    </w:p>
    <w:p w14:paraId="1021523E">
      <w:pPr>
        <w:widowControl w:val="0"/>
        <w:spacing w:line="440" w:lineRule="exact"/>
        <w:ind w:firstLine="560" w:firstLineChars="200"/>
        <w:jc w:val="left"/>
        <w:rPr>
          <w:rFonts w:hint="eastAsia" w:ascii="Times New Roman" w:hAnsi="Times New Roman" w:eastAsia="宋体" w:cs="Times New Roman"/>
          <w:kern w:val="2"/>
          <w:sz w:val="28"/>
          <w:szCs w:val="28"/>
          <w:lang w:eastAsia="zh-CN" w:bidi="ar-SA"/>
        </w:rPr>
      </w:pPr>
      <w:r>
        <w:rPr>
          <w:rFonts w:hint="eastAsia" w:ascii="Times New Roman" w:hAnsi="Times New Roman" w:eastAsia="宋体" w:cs="Times New Roman"/>
          <w:kern w:val="2"/>
          <w:sz w:val="28"/>
          <w:szCs w:val="28"/>
          <w:lang w:eastAsia="zh-CN" w:bidi="ar-SA"/>
        </w:rPr>
        <w:t>本制度由</w:t>
      </w:r>
      <w:r>
        <w:rPr>
          <w:rFonts w:hint="eastAsia" w:ascii="Times New Roman" w:hAnsi="Times New Roman" w:cs="Times New Roman"/>
          <w:kern w:val="2"/>
          <w:sz w:val="28"/>
          <w:szCs w:val="28"/>
          <w:lang w:val="en-US" w:eastAsia="zh-CN" w:bidi="ar-SA"/>
        </w:rPr>
        <w:t>物资保障部</w:t>
      </w:r>
      <w:r>
        <w:rPr>
          <w:rFonts w:hint="eastAsia" w:ascii="Times New Roman" w:hAnsi="Times New Roman" w:eastAsia="宋体" w:cs="Times New Roman"/>
          <w:kern w:val="2"/>
          <w:sz w:val="28"/>
          <w:szCs w:val="28"/>
          <w:lang w:eastAsia="zh-CN" w:bidi="ar-SA"/>
        </w:rPr>
        <w:t>和传阅部门各保存一份，保存期限为长期。</w:t>
      </w:r>
    </w:p>
    <w:sectPr>
      <w:footerReference r:id="rId4" w:type="default"/>
      <w:pgSz w:w="11906" w:h="16838"/>
      <w:pgMar w:top="1440" w:right="1797" w:bottom="1440" w:left="1797" w:header="0" w:footer="668" w:gutter="0"/>
      <w:pgNumType w:fmt="numberInDash"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EE8D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D290C2">
                          <w:pPr>
                            <w:pStyle w:val="10"/>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0D290C2">
                    <w:pPr>
                      <w:pStyle w:val="10"/>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F1DAD">
    <w:pPr>
      <w:pStyle w:val="11"/>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274D3"/>
    <w:rsid w:val="00027EBF"/>
    <w:rsid w:val="00032102"/>
    <w:rsid w:val="00033917"/>
    <w:rsid w:val="00037805"/>
    <w:rsid w:val="00046AAB"/>
    <w:rsid w:val="000472BF"/>
    <w:rsid w:val="00054B7B"/>
    <w:rsid w:val="000562AB"/>
    <w:rsid w:val="00060F5B"/>
    <w:rsid w:val="000611AB"/>
    <w:rsid w:val="0007789C"/>
    <w:rsid w:val="00077FAB"/>
    <w:rsid w:val="00086374"/>
    <w:rsid w:val="000925F8"/>
    <w:rsid w:val="000A5FDB"/>
    <w:rsid w:val="000A7738"/>
    <w:rsid w:val="000B2DA8"/>
    <w:rsid w:val="000C0D82"/>
    <w:rsid w:val="000C111B"/>
    <w:rsid w:val="000D23BD"/>
    <w:rsid w:val="000D478B"/>
    <w:rsid w:val="000D5F26"/>
    <w:rsid w:val="00101304"/>
    <w:rsid w:val="00102F7A"/>
    <w:rsid w:val="00103AB4"/>
    <w:rsid w:val="00106396"/>
    <w:rsid w:val="00113419"/>
    <w:rsid w:val="00116396"/>
    <w:rsid w:val="00131F86"/>
    <w:rsid w:val="00136DC9"/>
    <w:rsid w:val="00144DA9"/>
    <w:rsid w:val="0015125A"/>
    <w:rsid w:val="0015184E"/>
    <w:rsid w:val="0015667D"/>
    <w:rsid w:val="001572E9"/>
    <w:rsid w:val="0015778E"/>
    <w:rsid w:val="001771F0"/>
    <w:rsid w:val="00184461"/>
    <w:rsid w:val="001937AF"/>
    <w:rsid w:val="001947D8"/>
    <w:rsid w:val="001953E2"/>
    <w:rsid w:val="001B4C93"/>
    <w:rsid w:val="001B6D32"/>
    <w:rsid w:val="001B7A55"/>
    <w:rsid w:val="001E0AB5"/>
    <w:rsid w:val="001E7068"/>
    <w:rsid w:val="001E76A5"/>
    <w:rsid w:val="001F491F"/>
    <w:rsid w:val="00235823"/>
    <w:rsid w:val="002361E1"/>
    <w:rsid w:val="00242160"/>
    <w:rsid w:val="00242869"/>
    <w:rsid w:val="00266520"/>
    <w:rsid w:val="00280220"/>
    <w:rsid w:val="002807AC"/>
    <w:rsid w:val="002826A7"/>
    <w:rsid w:val="00284E72"/>
    <w:rsid w:val="00286732"/>
    <w:rsid w:val="002A0546"/>
    <w:rsid w:val="002A5A16"/>
    <w:rsid w:val="002A718A"/>
    <w:rsid w:val="002B65B0"/>
    <w:rsid w:val="002D6BA7"/>
    <w:rsid w:val="002E199A"/>
    <w:rsid w:val="00302AF6"/>
    <w:rsid w:val="00327B9A"/>
    <w:rsid w:val="0033071A"/>
    <w:rsid w:val="003353BD"/>
    <w:rsid w:val="00347823"/>
    <w:rsid w:val="0035692C"/>
    <w:rsid w:val="003576FA"/>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D4224"/>
    <w:rsid w:val="003E2C07"/>
    <w:rsid w:val="003E2ED0"/>
    <w:rsid w:val="003E60FF"/>
    <w:rsid w:val="003E7344"/>
    <w:rsid w:val="003F0021"/>
    <w:rsid w:val="003F00F8"/>
    <w:rsid w:val="003F51E7"/>
    <w:rsid w:val="0040120F"/>
    <w:rsid w:val="004034D4"/>
    <w:rsid w:val="00406661"/>
    <w:rsid w:val="00410DAB"/>
    <w:rsid w:val="00420F7A"/>
    <w:rsid w:val="00423533"/>
    <w:rsid w:val="00425994"/>
    <w:rsid w:val="00426889"/>
    <w:rsid w:val="00440599"/>
    <w:rsid w:val="00440B9C"/>
    <w:rsid w:val="00444C30"/>
    <w:rsid w:val="0044732F"/>
    <w:rsid w:val="00456CB5"/>
    <w:rsid w:val="00462B0A"/>
    <w:rsid w:val="00464F06"/>
    <w:rsid w:val="004729F4"/>
    <w:rsid w:val="00477DA2"/>
    <w:rsid w:val="00481675"/>
    <w:rsid w:val="00484A8D"/>
    <w:rsid w:val="00485A52"/>
    <w:rsid w:val="004874E5"/>
    <w:rsid w:val="004A0433"/>
    <w:rsid w:val="004B59B5"/>
    <w:rsid w:val="004E572E"/>
    <w:rsid w:val="004F0D96"/>
    <w:rsid w:val="004F67DD"/>
    <w:rsid w:val="0050064B"/>
    <w:rsid w:val="00506F8F"/>
    <w:rsid w:val="005126CE"/>
    <w:rsid w:val="00514148"/>
    <w:rsid w:val="00532888"/>
    <w:rsid w:val="005352D6"/>
    <w:rsid w:val="005422CF"/>
    <w:rsid w:val="00542CE7"/>
    <w:rsid w:val="005460EA"/>
    <w:rsid w:val="005571E7"/>
    <w:rsid w:val="00564C7C"/>
    <w:rsid w:val="00566286"/>
    <w:rsid w:val="00576701"/>
    <w:rsid w:val="00586ED9"/>
    <w:rsid w:val="005910D7"/>
    <w:rsid w:val="00592B07"/>
    <w:rsid w:val="00596A7C"/>
    <w:rsid w:val="005A0202"/>
    <w:rsid w:val="005A0795"/>
    <w:rsid w:val="005A156A"/>
    <w:rsid w:val="005A38FC"/>
    <w:rsid w:val="005A4F61"/>
    <w:rsid w:val="005A7F68"/>
    <w:rsid w:val="005B7DB6"/>
    <w:rsid w:val="005D3B8F"/>
    <w:rsid w:val="005D7C54"/>
    <w:rsid w:val="005E77F5"/>
    <w:rsid w:val="00620661"/>
    <w:rsid w:val="00623F0B"/>
    <w:rsid w:val="00632591"/>
    <w:rsid w:val="0063792B"/>
    <w:rsid w:val="00646940"/>
    <w:rsid w:val="00647D7C"/>
    <w:rsid w:val="00652A02"/>
    <w:rsid w:val="006554E8"/>
    <w:rsid w:val="00655812"/>
    <w:rsid w:val="00655F15"/>
    <w:rsid w:val="00656A93"/>
    <w:rsid w:val="006570C3"/>
    <w:rsid w:val="00664459"/>
    <w:rsid w:val="00665B8E"/>
    <w:rsid w:val="00677B85"/>
    <w:rsid w:val="00687E4E"/>
    <w:rsid w:val="006912AE"/>
    <w:rsid w:val="006A59B6"/>
    <w:rsid w:val="006C2DC0"/>
    <w:rsid w:val="006D1A5A"/>
    <w:rsid w:val="006D4FA5"/>
    <w:rsid w:val="006F55BB"/>
    <w:rsid w:val="00700D46"/>
    <w:rsid w:val="007075F6"/>
    <w:rsid w:val="00711166"/>
    <w:rsid w:val="007208BC"/>
    <w:rsid w:val="007373D9"/>
    <w:rsid w:val="00737FE9"/>
    <w:rsid w:val="00740625"/>
    <w:rsid w:val="007467F5"/>
    <w:rsid w:val="00753AE4"/>
    <w:rsid w:val="00770B02"/>
    <w:rsid w:val="00792AAC"/>
    <w:rsid w:val="007955DD"/>
    <w:rsid w:val="007A18E0"/>
    <w:rsid w:val="007B098B"/>
    <w:rsid w:val="007B6CDE"/>
    <w:rsid w:val="007C6C6D"/>
    <w:rsid w:val="007D5E6B"/>
    <w:rsid w:val="007F45F5"/>
    <w:rsid w:val="00804E55"/>
    <w:rsid w:val="008055DD"/>
    <w:rsid w:val="0081094C"/>
    <w:rsid w:val="00822032"/>
    <w:rsid w:val="008248B0"/>
    <w:rsid w:val="00827A13"/>
    <w:rsid w:val="00835715"/>
    <w:rsid w:val="00850BC8"/>
    <w:rsid w:val="00856294"/>
    <w:rsid w:val="0086615C"/>
    <w:rsid w:val="00872486"/>
    <w:rsid w:val="00872793"/>
    <w:rsid w:val="0087579F"/>
    <w:rsid w:val="00881244"/>
    <w:rsid w:val="0088375C"/>
    <w:rsid w:val="008A3DD6"/>
    <w:rsid w:val="008D134E"/>
    <w:rsid w:val="008E3E5D"/>
    <w:rsid w:val="00915FDF"/>
    <w:rsid w:val="009210B2"/>
    <w:rsid w:val="009216FA"/>
    <w:rsid w:val="009268EA"/>
    <w:rsid w:val="009305CF"/>
    <w:rsid w:val="009344A3"/>
    <w:rsid w:val="00936CFB"/>
    <w:rsid w:val="00941FF3"/>
    <w:rsid w:val="00945052"/>
    <w:rsid w:val="00946F2C"/>
    <w:rsid w:val="00952D99"/>
    <w:rsid w:val="0095458B"/>
    <w:rsid w:val="00955E40"/>
    <w:rsid w:val="009618B5"/>
    <w:rsid w:val="00971955"/>
    <w:rsid w:val="00971C96"/>
    <w:rsid w:val="00983BF7"/>
    <w:rsid w:val="009857FD"/>
    <w:rsid w:val="009A335B"/>
    <w:rsid w:val="009B222A"/>
    <w:rsid w:val="009B439C"/>
    <w:rsid w:val="009B7844"/>
    <w:rsid w:val="009C129B"/>
    <w:rsid w:val="00A03E8F"/>
    <w:rsid w:val="00A1247B"/>
    <w:rsid w:val="00A12DC2"/>
    <w:rsid w:val="00A1416A"/>
    <w:rsid w:val="00A263F6"/>
    <w:rsid w:val="00A46890"/>
    <w:rsid w:val="00A55CD2"/>
    <w:rsid w:val="00A55CFC"/>
    <w:rsid w:val="00A56F15"/>
    <w:rsid w:val="00A67CB4"/>
    <w:rsid w:val="00A73309"/>
    <w:rsid w:val="00A91EC7"/>
    <w:rsid w:val="00AA37BD"/>
    <w:rsid w:val="00AD1E1E"/>
    <w:rsid w:val="00AE3414"/>
    <w:rsid w:val="00AF3214"/>
    <w:rsid w:val="00AF7DB3"/>
    <w:rsid w:val="00B03DCF"/>
    <w:rsid w:val="00B0524A"/>
    <w:rsid w:val="00B17D93"/>
    <w:rsid w:val="00B25027"/>
    <w:rsid w:val="00B435CA"/>
    <w:rsid w:val="00B47017"/>
    <w:rsid w:val="00B66FF8"/>
    <w:rsid w:val="00B81513"/>
    <w:rsid w:val="00B877CB"/>
    <w:rsid w:val="00B9187A"/>
    <w:rsid w:val="00B91F96"/>
    <w:rsid w:val="00B93E4E"/>
    <w:rsid w:val="00BB0702"/>
    <w:rsid w:val="00BC0712"/>
    <w:rsid w:val="00BC0C8D"/>
    <w:rsid w:val="00BC2CF1"/>
    <w:rsid w:val="00BC3057"/>
    <w:rsid w:val="00BC44E0"/>
    <w:rsid w:val="00BD6924"/>
    <w:rsid w:val="00BD6DDF"/>
    <w:rsid w:val="00BE615D"/>
    <w:rsid w:val="00BF089E"/>
    <w:rsid w:val="00BF3C1C"/>
    <w:rsid w:val="00BF5DA8"/>
    <w:rsid w:val="00BF6815"/>
    <w:rsid w:val="00C00093"/>
    <w:rsid w:val="00C032FD"/>
    <w:rsid w:val="00C12F41"/>
    <w:rsid w:val="00C17193"/>
    <w:rsid w:val="00C17651"/>
    <w:rsid w:val="00C204A7"/>
    <w:rsid w:val="00C27991"/>
    <w:rsid w:val="00C27D84"/>
    <w:rsid w:val="00C442F4"/>
    <w:rsid w:val="00C476FC"/>
    <w:rsid w:val="00C51E9F"/>
    <w:rsid w:val="00C61BF0"/>
    <w:rsid w:val="00C71295"/>
    <w:rsid w:val="00C73480"/>
    <w:rsid w:val="00C76463"/>
    <w:rsid w:val="00C87E0E"/>
    <w:rsid w:val="00CC136E"/>
    <w:rsid w:val="00CC4684"/>
    <w:rsid w:val="00CC46E1"/>
    <w:rsid w:val="00CD5FFE"/>
    <w:rsid w:val="00CE2B6C"/>
    <w:rsid w:val="00D00341"/>
    <w:rsid w:val="00D00D29"/>
    <w:rsid w:val="00D116A7"/>
    <w:rsid w:val="00D16985"/>
    <w:rsid w:val="00D20105"/>
    <w:rsid w:val="00D21027"/>
    <w:rsid w:val="00D23A51"/>
    <w:rsid w:val="00D33A12"/>
    <w:rsid w:val="00D41A12"/>
    <w:rsid w:val="00D6346D"/>
    <w:rsid w:val="00D647D7"/>
    <w:rsid w:val="00D81F30"/>
    <w:rsid w:val="00D91BB2"/>
    <w:rsid w:val="00D95AA8"/>
    <w:rsid w:val="00DA12EB"/>
    <w:rsid w:val="00DB4BA1"/>
    <w:rsid w:val="00DC1432"/>
    <w:rsid w:val="00DC160C"/>
    <w:rsid w:val="00DC40FA"/>
    <w:rsid w:val="00DC708D"/>
    <w:rsid w:val="00DD43B5"/>
    <w:rsid w:val="00DD4E55"/>
    <w:rsid w:val="00DE4B44"/>
    <w:rsid w:val="00DF2378"/>
    <w:rsid w:val="00DF77DD"/>
    <w:rsid w:val="00E00D42"/>
    <w:rsid w:val="00E05AF7"/>
    <w:rsid w:val="00E11F84"/>
    <w:rsid w:val="00E122A5"/>
    <w:rsid w:val="00E20D45"/>
    <w:rsid w:val="00E2237A"/>
    <w:rsid w:val="00E2240F"/>
    <w:rsid w:val="00E309FB"/>
    <w:rsid w:val="00E32D1F"/>
    <w:rsid w:val="00E376DB"/>
    <w:rsid w:val="00E45689"/>
    <w:rsid w:val="00E50A1A"/>
    <w:rsid w:val="00E54308"/>
    <w:rsid w:val="00E70299"/>
    <w:rsid w:val="00E73766"/>
    <w:rsid w:val="00E80D8F"/>
    <w:rsid w:val="00E96923"/>
    <w:rsid w:val="00EC1AE7"/>
    <w:rsid w:val="00EC711F"/>
    <w:rsid w:val="00ED7180"/>
    <w:rsid w:val="00EE6121"/>
    <w:rsid w:val="00EF2EA9"/>
    <w:rsid w:val="00EF2F5E"/>
    <w:rsid w:val="00F04620"/>
    <w:rsid w:val="00F056BA"/>
    <w:rsid w:val="00F208DA"/>
    <w:rsid w:val="00F272F7"/>
    <w:rsid w:val="00F41679"/>
    <w:rsid w:val="00F5064F"/>
    <w:rsid w:val="00F56346"/>
    <w:rsid w:val="00F75E29"/>
    <w:rsid w:val="00F764D6"/>
    <w:rsid w:val="00F7765F"/>
    <w:rsid w:val="00F923D7"/>
    <w:rsid w:val="00F92536"/>
    <w:rsid w:val="00F92E12"/>
    <w:rsid w:val="00FA1BA7"/>
    <w:rsid w:val="00FB105C"/>
    <w:rsid w:val="00FB3F05"/>
    <w:rsid w:val="00FB4F38"/>
    <w:rsid w:val="00FB77BD"/>
    <w:rsid w:val="00FC598A"/>
    <w:rsid w:val="00FC62DA"/>
    <w:rsid w:val="00FD22C6"/>
    <w:rsid w:val="00FD661A"/>
    <w:rsid w:val="00FE0A19"/>
    <w:rsid w:val="00FE6BEA"/>
    <w:rsid w:val="00FF1BC1"/>
    <w:rsid w:val="06FB0B0A"/>
    <w:rsid w:val="0C215E37"/>
    <w:rsid w:val="0C4D02A9"/>
    <w:rsid w:val="0D1D395A"/>
    <w:rsid w:val="0ED10B0F"/>
    <w:rsid w:val="1144665F"/>
    <w:rsid w:val="11457A88"/>
    <w:rsid w:val="13C75A78"/>
    <w:rsid w:val="192E6E10"/>
    <w:rsid w:val="1ADD11D5"/>
    <w:rsid w:val="1EA46778"/>
    <w:rsid w:val="248655F6"/>
    <w:rsid w:val="28D05F30"/>
    <w:rsid w:val="324A2F33"/>
    <w:rsid w:val="388B4F89"/>
    <w:rsid w:val="38AD25AB"/>
    <w:rsid w:val="3A32082B"/>
    <w:rsid w:val="3DA91870"/>
    <w:rsid w:val="439A02CB"/>
    <w:rsid w:val="48A5664F"/>
    <w:rsid w:val="49D45DBA"/>
    <w:rsid w:val="4F444112"/>
    <w:rsid w:val="528A7214"/>
    <w:rsid w:val="596E3EC4"/>
    <w:rsid w:val="5A80020F"/>
    <w:rsid w:val="5CA55B67"/>
    <w:rsid w:val="5F402EE4"/>
    <w:rsid w:val="615D19A6"/>
    <w:rsid w:val="62132BEE"/>
    <w:rsid w:val="6B947060"/>
    <w:rsid w:val="6B9F1613"/>
    <w:rsid w:val="6DFF40FC"/>
    <w:rsid w:val="700E1238"/>
    <w:rsid w:val="76494256"/>
    <w:rsid w:val="7E260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20"/>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22"/>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5"/>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21"/>
    <w:qFormat/>
    <w:uiPriority w:val="0"/>
    <w:pPr>
      <w:keepNext/>
      <w:spacing w:line="400" w:lineRule="atLeast"/>
      <w:outlineLvl w:val="3"/>
    </w:pPr>
    <w:rPr>
      <w:rFonts w:ascii="Times New Roman" w:hAnsi="Times New Roman"/>
      <w:kern w:val="2"/>
      <w:sz w:val="28"/>
      <w:lang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semiHidden/>
    <w:unhideWhenUsed/>
    <w:qFormat/>
    <w:uiPriority w:val="0"/>
  </w:style>
  <w:style w:type="paragraph" w:styleId="7">
    <w:name w:val="Body Text"/>
    <w:basedOn w:val="1"/>
    <w:qFormat/>
    <w:uiPriority w:val="0"/>
    <w:pPr>
      <w:spacing w:line="440" w:lineRule="exact"/>
    </w:pPr>
  </w:style>
  <w:style w:type="paragraph" w:styleId="8">
    <w:name w:val="Date"/>
    <w:basedOn w:val="1"/>
    <w:next w:val="1"/>
    <w:link w:val="34"/>
    <w:qFormat/>
    <w:uiPriority w:val="0"/>
    <w:pPr>
      <w:ind w:left="100" w:leftChars="2500"/>
    </w:pPr>
  </w:style>
  <w:style w:type="paragraph" w:styleId="9">
    <w:name w:val="Balloon Text"/>
    <w:basedOn w:val="1"/>
    <w:link w:val="30"/>
    <w:qFormat/>
    <w:uiPriority w:val="0"/>
    <w:rPr>
      <w:sz w:val="18"/>
      <w:szCs w:val="18"/>
    </w:rPr>
  </w:style>
  <w:style w:type="paragraph" w:styleId="10">
    <w:name w:val="footer"/>
    <w:basedOn w:val="1"/>
    <w:link w:val="31"/>
    <w:qFormat/>
    <w:uiPriority w:val="99"/>
    <w:pPr>
      <w:tabs>
        <w:tab w:val="center" w:pos="4153"/>
        <w:tab w:val="right" w:pos="8306"/>
      </w:tabs>
      <w:snapToGrid w:val="0"/>
    </w:pPr>
    <w:rPr>
      <w:sz w:val="18"/>
      <w:szCs w:val="18"/>
    </w:rPr>
  </w:style>
  <w:style w:type="paragraph" w:styleId="11">
    <w:name w:val="header"/>
    <w:basedOn w:val="1"/>
    <w:link w:val="19"/>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2">
    <w:name w:val="Title"/>
    <w:basedOn w:val="1"/>
    <w:next w:val="1"/>
    <w:link w:val="23"/>
    <w:qFormat/>
    <w:uiPriority w:val="0"/>
    <w:pPr>
      <w:spacing w:before="240" w:after="60"/>
      <w:jc w:val="center"/>
      <w:outlineLvl w:val="0"/>
    </w:pPr>
    <w:rPr>
      <w:rFonts w:ascii="等线 Light" w:hAnsi="等线 Light"/>
      <w:b/>
      <w:bCs/>
      <w:sz w:val="32"/>
      <w:szCs w:val="32"/>
    </w:rPr>
  </w:style>
  <w:style w:type="paragraph" w:styleId="13">
    <w:name w:val="annotation subject"/>
    <w:basedOn w:val="6"/>
    <w:next w:val="6"/>
    <w:link w:val="33"/>
    <w:semiHidden/>
    <w:unhideWhenUsed/>
    <w:qFormat/>
    <w:uiPriority w:val="0"/>
    <w:rPr>
      <w:b/>
      <w:bCs/>
    </w:rPr>
  </w:style>
  <w:style w:type="table" w:styleId="15">
    <w:name w:val="Table Grid"/>
    <w:basedOn w:val="14"/>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0"/>
    <w:rPr>
      <w:sz w:val="21"/>
      <w:szCs w:val="21"/>
    </w:rPr>
  </w:style>
  <w:style w:type="character" w:customStyle="1" w:styleId="19">
    <w:name w:val="页眉 字符"/>
    <w:link w:val="11"/>
    <w:qFormat/>
    <w:uiPriority w:val="0"/>
    <w:rPr>
      <w:rFonts w:eastAsia="宋体"/>
      <w:kern w:val="2"/>
      <w:sz w:val="18"/>
      <w:szCs w:val="18"/>
      <w:lang w:val="en-US" w:eastAsia="zh-CN" w:bidi="ar-SA"/>
    </w:rPr>
  </w:style>
  <w:style w:type="character" w:customStyle="1" w:styleId="20">
    <w:name w:val="标题 1 字符"/>
    <w:link w:val="2"/>
    <w:qFormat/>
    <w:uiPriority w:val="0"/>
    <w:rPr>
      <w:b/>
      <w:bCs/>
      <w:kern w:val="44"/>
      <w:sz w:val="44"/>
      <w:szCs w:val="44"/>
    </w:rPr>
  </w:style>
  <w:style w:type="character" w:customStyle="1" w:styleId="21">
    <w:name w:val="标题 4 字符"/>
    <w:link w:val="5"/>
    <w:qFormat/>
    <w:uiPriority w:val="0"/>
    <w:rPr>
      <w:kern w:val="2"/>
      <w:sz w:val="28"/>
      <w:szCs w:val="24"/>
    </w:rPr>
  </w:style>
  <w:style w:type="character" w:customStyle="1" w:styleId="22">
    <w:name w:val="标题 2 字符"/>
    <w:link w:val="3"/>
    <w:qFormat/>
    <w:uiPriority w:val="0"/>
    <w:rPr>
      <w:rFonts w:ascii="宋体" w:hAnsi="宋体"/>
      <w:i/>
      <w:iCs/>
      <w:kern w:val="2"/>
      <w:sz w:val="24"/>
      <w:szCs w:val="28"/>
    </w:rPr>
  </w:style>
  <w:style w:type="character" w:customStyle="1" w:styleId="23">
    <w:name w:val="标题 字符"/>
    <w:link w:val="12"/>
    <w:qFormat/>
    <w:uiPriority w:val="0"/>
    <w:rPr>
      <w:rFonts w:ascii="等线 Light" w:hAnsi="等线 Light" w:cs="Times New Roman"/>
      <w:b/>
      <w:bCs/>
      <w:sz w:val="32"/>
      <w:szCs w:val="32"/>
      <w:lang w:eastAsia="en-US" w:bidi="en-US"/>
    </w:rPr>
  </w:style>
  <w:style w:type="character" w:styleId="24">
    <w:name w:val="Placeholder Text"/>
    <w:semiHidden/>
    <w:qFormat/>
    <w:uiPriority w:val="99"/>
    <w:rPr>
      <w:color w:val="808080"/>
    </w:rPr>
  </w:style>
  <w:style w:type="character" w:customStyle="1" w:styleId="25">
    <w:name w:val="标题 3 字符"/>
    <w:link w:val="4"/>
    <w:qFormat/>
    <w:uiPriority w:val="0"/>
    <w:rPr>
      <w:rFonts w:ascii="宋体" w:hAnsi="宋体"/>
      <w:b/>
      <w:bCs/>
      <w:kern w:val="2"/>
      <w:sz w:val="24"/>
      <w:szCs w:val="24"/>
    </w:rPr>
  </w:style>
  <w:style w:type="paragraph" w:customStyle="1" w:styleId="26">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7">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8">
    <w:name w:val="列出段落1"/>
    <w:basedOn w:val="1"/>
    <w:qFormat/>
    <w:uiPriority w:val="99"/>
    <w:pPr>
      <w:ind w:firstLine="420" w:firstLineChars="200"/>
    </w:pPr>
  </w:style>
  <w:style w:type="paragraph" w:styleId="29">
    <w:name w:val="List Paragraph"/>
    <w:basedOn w:val="1"/>
    <w:qFormat/>
    <w:uiPriority w:val="99"/>
    <w:pPr>
      <w:ind w:firstLine="420" w:firstLineChars="200"/>
    </w:pPr>
    <w:rPr>
      <w:szCs w:val="22"/>
    </w:rPr>
  </w:style>
  <w:style w:type="character" w:customStyle="1" w:styleId="30">
    <w:name w:val="批注框文本 字符"/>
    <w:link w:val="9"/>
    <w:qFormat/>
    <w:uiPriority w:val="0"/>
    <w:rPr>
      <w:rFonts w:ascii="Calibri" w:hAnsi="Calibri"/>
      <w:sz w:val="18"/>
      <w:szCs w:val="18"/>
      <w:lang w:eastAsia="en-US" w:bidi="en-US"/>
    </w:rPr>
  </w:style>
  <w:style w:type="character" w:customStyle="1" w:styleId="31">
    <w:name w:val="页脚 字符"/>
    <w:basedOn w:val="16"/>
    <w:link w:val="10"/>
    <w:qFormat/>
    <w:uiPriority w:val="99"/>
    <w:rPr>
      <w:rFonts w:ascii="Calibri" w:hAnsi="Calibri"/>
      <w:sz w:val="18"/>
      <w:szCs w:val="18"/>
      <w:lang w:eastAsia="en-US" w:bidi="en-US"/>
    </w:rPr>
  </w:style>
  <w:style w:type="character" w:customStyle="1" w:styleId="32">
    <w:name w:val="批注文字 字符"/>
    <w:basedOn w:val="16"/>
    <w:link w:val="6"/>
    <w:semiHidden/>
    <w:qFormat/>
    <w:uiPriority w:val="0"/>
    <w:rPr>
      <w:rFonts w:ascii="Calibri" w:hAnsi="Calibri"/>
      <w:sz w:val="24"/>
      <w:szCs w:val="24"/>
      <w:lang w:eastAsia="en-US" w:bidi="en-US"/>
    </w:rPr>
  </w:style>
  <w:style w:type="character" w:customStyle="1" w:styleId="33">
    <w:name w:val="批注主题 字符"/>
    <w:basedOn w:val="32"/>
    <w:link w:val="13"/>
    <w:semiHidden/>
    <w:qFormat/>
    <w:uiPriority w:val="0"/>
    <w:rPr>
      <w:rFonts w:ascii="Calibri" w:hAnsi="Calibri"/>
      <w:b/>
      <w:bCs/>
      <w:sz w:val="24"/>
      <w:szCs w:val="24"/>
      <w:lang w:eastAsia="en-US" w:bidi="en-US"/>
    </w:rPr>
  </w:style>
  <w:style w:type="character" w:customStyle="1" w:styleId="34">
    <w:name w:val="日期 字符"/>
    <w:basedOn w:val="16"/>
    <w:link w:val="8"/>
    <w:qFormat/>
    <w:uiPriority w:val="0"/>
    <w:rPr>
      <w:rFonts w:ascii="Calibri" w:hAnsi="Calibri"/>
      <w:sz w:val="24"/>
      <w:szCs w:val="24"/>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15</Pages>
  <Words>1820</Words>
  <Characters>1860</Characters>
  <Lines>57</Lines>
  <Paragraphs>16</Paragraphs>
  <TotalTime>0</TotalTime>
  <ScaleCrop>false</ScaleCrop>
  <LinksUpToDate>false</LinksUpToDate>
  <CharactersWithSpaces>1889</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2025-06-23T03:24:00Z</dcterms:created>
  <dc:creator>雨林木风</dc:creator>
  <cp:lastModifiedBy>G</cp:lastModifiedBy>
  <cp:lastPrinted>2019-07-02T02:25:00Z</cp:lastPrinted>
  <dcterms:modified xsi:type="dcterms:W3CDTF">2025-10-11T08:10:40Z</dcterms:modified>
  <dc:title>江西昌兴航空装备有限公司是依托我国署名的航空企业昌河飞机工业集团公司的技术支持，所成立的一家航空装备制造企业</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86252C6DB8A04374832E4B6CEAF489BC_13</vt:lpwstr>
  </property>
  <property fmtid="{D5CDD505-2E9C-101B-9397-08002B2CF9AE}" pid="4" name="KSOTemplateDocerSaveRecord">
    <vt:lpwstr>eyJoZGlkIjoiOGI4NjI5OTBmMDM1ODFlMDkzNDFlZTFiMWNhZWU5ZTMiLCJ1c2VySWQiOiIyNDc2ODcxNzgifQ==</vt:lpwstr>
  </property>
</Properties>
</file>