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tbl>
      <w:tblPr>
        <w:tblStyle w:val="14"/>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13"/>
        <w:gridCol w:w="867"/>
        <w:gridCol w:w="170"/>
        <w:gridCol w:w="666"/>
        <w:gridCol w:w="629"/>
        <w:gridCol w:w="1050"/>
        <w:gridCol w:w="505"/>
        <w:gridCol w:w="559"/>
        <w:gridCol w:w="574"/>
        <w:gridCol w:w="476"/>
        <w:gridCol w:w="1036"/>
        <w:gridCol w:w="481"/>
        <w:gridCol w:w="583"/>
        <w:gridCol w:w="1411"/>
      </w:tblGrid>
      <w:tr w14:paraId="205D91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6F99E9FD">
            <w:pPr>
              <w:spacing w:line="360" w:lineRule="auto"/>
              <w:jc w:val="center"/>
              <w:rPr>
                <w:rFonts w:ascii="黑体" w:eastAsia="黑体"/>
                <w:spacing w:val="20"/>
                <w:sz w:val="44"/>
                <w:szCs w:val="44"/>
              </w:rPr>
            </w:pPr>
            <w:r>
              <w:rPr>
                <w:rFonts w:hint="eastAsia" w:ascii="黑体" w:eastAsia="黑体"/>
                <w:spacing w:val="20"/>
                <w:sz w:val="44"/>
                <w:szCs w:val="44"/>
              </w:rPr>
              <w:t>沈阳昌兴复材航空科技有限责任公司</w:t>
            </w:r>
          </w:p>
          <w:p w14:paraId="195D8486">
            <w:pPr>
              <w:spacing w:line="360" w:lineRule="auto"/>
              <w:jc w:val="center"/>
              <w:rPr>
                <w:rFonts w:ascii="宋体"/>
                <w:spacing w:val="160"/>
                <w:sz w:val="36"/>
                <w:szCs w:val="36"/>
              </w:rPr>
            </w:pPr>
            <w:r>
              <w:rPr>
                <w:rFonts w:hint="eastAsia" w:ascii="黑体" w:eastAsia="黑体"/>
                <w:spacing w:val="20"/>
                <w:sz w:val="44"/>
                <w:szCs w:val="44"/>
              </w:rPr>
              <w:t>制 度 文 件</w:t>
            </w:r>
          </w:p>
        </w:tc>
      </w:tr>
      <w:tr w14:paraId="4CCCC3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restart"/>
            <w:tcBorders>
              <w:left w:val="single" w:color="auto" w:sz="12" w:space="0"/>
            </w:tcBorders>
            <w:vAlign w:val="center"/>
          </w:tcPr>
          <w:p w14:paraId="5A9FDF97">
            <w:pPr>
              <w:spacing w:line="400" w:lineRule="exact"/>
              <w:jc w:val="center"/>
              <w:rPr>
                <w:rFonts w:ascii="黑体" w:eastAsia="黑体"/>
                <w:sz w:val="28"/>
                <w:szCs w:val="36"/>
              </w:rPr>
            </w:pPr>
            <w:r>
              <w:rPr>
                <w:rFonts w:hint="eastAsia" w:ascii="黑体" w:eastAsia="黑体"/>
                <w:sz w:val="28"/>
                <w:szCs w:val="36"/>
              </w:rPr>
              <w:t>文件名称</w:t>
            </w:r>
          </w:p>
        </w:tc>
        <w:tc>
          <w:tcPr>
            <w:tcW w:w="3983" w:type="dxa"/>
            <w:gridSpan w:val="6"/>
            <w:vMerge w:val="restart"/>
            <w:vAlign w:val="center"/>
          </w:tcPr>
          <w:p w14:paraId="68F211D8">
            <w:pPr>
              <w:jc w:val="center"/>
              <w:rPr>
                <w:rFonts w:ascii="黑体" w:eastAsia="黑体"/>
                <w:sz w:val="28"/>
                <w:szCs w:val="36"/>
              </w:rPr>
            </w:pPr>
            <w:r>
              <w:rPr>
                <w:rFonts w:hint="eastAsia" w:ascii="黑体" w:eastAsia="黑体"/>
                <w:sz w:val="28"/>
                <w:szCs w:val="36"/>
                <w:lang w:val="en-US" w:eastAsia="zh-CN"/>
              </w:rPr>
              <w:t>勤哲模块开发</w:t>
            </w:r>
            <w:r>
              <w:rPr>
                <w:rFonts w:hint="eastAsia" w:ascii="黑体" w:eastAsia="黑体"/>
                <w:sz w:val="28"/>
                <w:szCs w:val="36"/>
              </w:rPr>
              <w:t>程序</w:t>
            </w:r>
          </w:p>
        </w:tc>
        <w:tc>
          <w:tcPr>
            <w:tcW w:w="1993" w:type="dxa"/>
            <w:gridSpan w:val="3"/>
            <w:tcBorders>
              <w:bottom w:val="single" w:color="auto" w:sz="4" w:space="0"/>
            </w:tcBorders>
            <w:vAlign w:val="center"/>
          </w:tcPr>
          <w:p w14:paraId="7AF0DECC">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2"/>
            <w:tcBorders>
              <w:bottom w:val="single" w:color="auto" w:sz="4" w:space="0"/>
              <w:right w:val="single" w:color="auto" w:sz="12" w:space="0"/>
            </w:tcBorders>
            <w:vAlign w:val="center"/>
          </w:tcPr>
          <w:p w14:paraId="2B0FE04B">
            <w:pPr>
              <w:spacing w:line="400" w:lineRule="exact"/>
              <w:jc w:val="center"/>
              <w:rPr>
                <w:rFonts w:hint="eastAsia" w:ascii="黑体" w:eastAsia="黑体"/>
                <w:sz w:val="28"/>
                <w:szCs w:val="36"/>
                <w:lang w:val="en-US" w:eastAsia="zh-CN"/>
              </w:rPr>
            </w:pPr>
            <w:r>
              <w:rPr>
                <w:rFonts w:ascii="黑体" w:eastAsia="黑体"/>
                <w:sz w:val="28"/>
                <w:szCs w:val="36"/>
              </w:rPr>
              <w:t>GLTX-</w:t>
            </w:r>
            <w:r>
              <w:rPr>
                <w:rFonts w:hint="eastAsia" w:ascii="黑体" w:eastAsia="黑体"/>
                <w:sz w:val="28"/>
                <w:szCs w:val="36"/>
              </w:rPr>
              <w:t>WZ</w:t>
            </w:r>
            <w:r>
              <w:rPr>
                <w:rFonts w:ascii="黑体" w:eastAsia="黑体"/>
                <w:sz w:val="28"/>
                <w:szCs w:val="36"/>
              </w:rPr>
              <w:t>-0</w:t>
            </w:r>
            <w:r>
              <w:rPr>
                <w:rFonts w:hint="eastAsia" w:ascii="黑体" w:eastAsia="黑体"/>
                <w:sz w:val="28"/>
                <w:szCs w:val="36"/>
                <w:lang w:val="en-US" w:eastAsia="zh-CN"/>
              </w:rPr>
              <w:t>6</w:t>
            </w:r>
          </w:p>
        </w:tc>
      </w:tr>
      <w:tr w14:paraId="081B05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04F89815">
            <w:pPr>
              <w:spacing w:line="400" w:lineRule="exact"/>
              <w:jc w:val="center"/>
              <w:rPr>
                <w:rFonts w:hint="eastAsia" w:ascii="黑体" w:eastAsia="黑体"/>
                <w:sz w:val="28"/>
                <w:szCs w:val="36"/>
              </w:rPr>
            </w:pPr>
          </w:p>
        </w:tc>
        <w:tc>
          <w:tcPr>
            <w:tcW w:w="3983" w:type="dxa"/>
            <w:gridSpan w:val="6"/>
            <w:vMerge w:val="continue"/>
            <w:vAlign w:val="center"/>
          </w:tcPr>
          <w:p w14:paraId="43748687">
            <w:pPr>
              <w:jc w:val="center"/>
              <w:rPr>
                <w:rFonts w:hint="eastAsia" w:ascii="黑体" w:eastAsia="黑体"/>
                <w:sz w:val="28"/>
                <w:szCs w:val="36"/>
                <w:lang w:val="en-US" w:eastAsia="zh-CN"/>
              </w:rPr>
            </w:pPr>
          </w:p>
        </w:tc>
        <w:tc>
          <w:tcPr>
            <w:tcW w:w="1993" w:type="dxa"/>
            <w:gridSpan w:val="3"/>
            <w:tcBorders>
              <w:bottom w:val="single" w:color="auto" w:sz="4" w:space="0"/>
            </w:tcBorders>
            <w:vAlign w:val="center"/>
          </w:tcPr>
          <w:p w14:paraId="0E4ABC92">
            <w:pPr>
              <w:spacing w:line="400" w:lineRule="exact"/>
              <w:jc w:val="center"/>
              <w:rPr>
                <w:rFonts w:hint="eastAsia" w:ascii="黑体" w:eastAsia="黑体"/>
                <w:sz w:val="28"/>
                <w:szCs w:val="36"/>
              </w:rPr>
            </w:pPr>
            <w:r>
              <w:rPr>
                <w:rFonts w:hint="eastAsia" w:ascii="黑体" w:eastAsia="黑体"/>
                <w:sz w:val="28"/>
                <w:szCs w:val="36"/>
              </w:rPr>
              <w:t>版次</w:t>
            </w:r>
          </w:p>
        </w:tc>
        <w:tc>
          <w:tcPr>
            <w:tcW w:w="1994" w:type="dxa"/>
            <w:gridSpan w:val="2"/>
            <w:tcBorders>
              <w:bottom w:val="single" w:color="auto" w:sz="4" w:space="0"/>
              <w:right w:val="single" w:color="auto" w:sz="12" w:space="0"/>
            </w:tcBorders>
            <w:vAlign w:val="center"/>
          </w:tcPr>
          <w:p w14:paraId="17E6A3F9">
            <w:pPr>
              <w:spacing w:line="400" w:lineRule="exact"/>
              <w:jc w:val="center"/>
              <w:rPr>
                <w:rFonts w:ascii="黑体" w:eastAsia="黑体"/>
                <w:sz w:val="28"/>
                <w:szCs w:val="36"/>
              </w:rPr>
            </w:pPr>
            <w:r>
              <w:rPr>
                <w:rFonts w:hint="eastAsia" w:ascii="黑体" w:eastAsia="黑体"/>
                <w:sz w:val="28"/>
                <w:szCs w:val="36"/>
              </w:rPr>
              <w:t>A</w:t>
            </w:r>
          </w:p>
        </w:tc>
      </w:tr>
      <w:tr w14:paraId="78C528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218353AD">
            <w:pPr>
              <w:spacing w:line="400" w:lineRule="exact"/>
              <w:jc w:val="center"/>
              <w:rPr>
                <w:rFonts w:ascii="黑体" w:eastAsia="黑体"/>
                <w:sz w:val="28"/>
                <w:szCs w:val="36"/>
              </w:rPr>
            </w:pPr>
            <w:bookmarkStart w:id="1" w:name="_GoBack" w:colFirst="5" w:colLast="8"/>
          </w:p>
        </w:tc>
        <w:tc>
          <w:tcPr>
            <w:tcW w:w="3983" w:type="dxa"/>
            <w:gridSpan w:val="6"/>
            <w:vMerge w:val="continue"/>
            <w:vAlign w:val="center"/>
          </w:tcPr>
          <w:p w14:paraId="31D417A4">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01807677">
            <w:pPr>
              <w:widowControl w:val="0"/>
              <w:kinsoku/>
              <w:autoSpaceDE/>
              <w:autoSpaceDN/>
              <w:adjustRightInd/>
              <w:snapToGrid/>
              <w:spacing w:line="400" w:lineRule="exact"/>
              <w:jc w:val="center"/>
              <w:textAlignment w:val="auto"/>
              <w:rPr>
                <w:rFonts w:ascii="黑体" w:eastAsia="黑体"/>
                <w:sz w:val="28"/>
                <w:szCs w:val="36"/>
              </w:rPr>
            </w:pPr>
            <w:r>
              <w:rPr>
                <w:rFonts w:hint="eastAsia" w:ascii="黑体" w:eastAsia="黑体" w:hAnsiTheme="minorHAnsi" w:cstheme="minorBidi"/>
                <w:snapToGrid/>
                <w:kern w:val="2"/>
                <w:sz w:val="28"/>
                <w:szCs w:val="36"/>
                <w:lang w:eastAsia="zh-CN"/>
              </w:rPr>
              <w:t>文件类别</w:t>
            </w:r>
          </w:p>
        </w:tc>
        <w:tc>
          <w:tcPr>
            <w:tcW w:w="1994" w:type="dxa"/>
            <w:gridSpan w:val="2"/>
            <w:tcBorders>
              <w:top w:val="single" w:color="auto" w:sz="4" w:space="0"/>
              <w:right w:val="single" w:color="auto" w:sz="12" w:space="0"/>
            </w:tcBorders>
            <w:vAlign w:val="center"/>
          </w:tcPr>
          <w:p w14:paraId="2F6C49AF">
            <w:pPr>
              <w:widowControl w:val="0"/>
              <w:kinsoku/>
              <w:autoSpaceDE/>
              <w:autoSpaceDN/>
              <w:adjustRightInd/>
              <w:snapToGrid/>
              <w:spacing w:line="400" w:lineRule="exact"/>
              <w:jc w:val="center"/>
              <w:textAlignment w:val="auto"/>
              <w:rPr>
                <w:rFonts w:ascii="黑体" w:eastAsia="黑体"/>
                <w:sz w:val="28"/>
                <w:szCs w:val="36"/>
              </w:rPr>
            </w:pPr>
            <w:r>
              <w:rPr>
                <w:rFonts w:hint="eastAsia" w:ascii="黑体" w:eastAsia="黑体" w:hAnsiTheme="minorHAnsi" w:cstheme="minorBidi"/>
                <w:snapToGrid/>
                <w:kern w:val="2"/>
                <w:sz w:val="28"/>
                <w:szCs w:val="36"/>
                <w:lang w:eastAsia="zh-CN"/>
              </w:rPr>
              <w:t>管理规定</w:t>
            </w:r>
          </w:p>
        </w:tc>
      </w:tr>
      <w:bookmarkEnd w:id="1"/>
      <w:tr w14:paraId="5FFEA1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750" w:type="dxa"/>
            <w:gridSpan w:val="3"/>
            <w:tcBorders>
              <w:left w:val="single" w:color="auto" w:sz="12" w:space="0"/>
            </w:tcBorders>
            <w:vAlign w:val="center"/>
          </w:tcPr>
          <w:p w14:paraId="4DE0D8AB">
            <w:pPr>
              <w:spacing w:line="400" w:lineRule="exact"/>
              <w:jc w:val="center"/>
              <w:rPr>
                <w:rFonts w:ascii="黑体" w:eastAsia="黑体"/>
                <w:sz w:val="28"/>
                <w:szCs w:val="36"/>
              </w:rPr>
            </w:pPr>
            <w:r>
              <w:rPr>
                <w:rFonts w:hint="eastAsia" w:ascii="黑体" w:eastAsia="黑体"/>
                <w:sz w:val="28"/>
                <w:szCs w:val="36"/>
              </w:rPr>
              <w:t>发文部门</w:t>
            </w:r>
          </w:p>
        </w:tc>
        <w:tc>
          <w:tcPr>
            <w:tcW w:w="2345" w:type="dxa"/>
            <w:gridSpan w:val="3"/>
            <w:vAlign w:val="center"/>
          </w:tcPr>
          <w:p w14:paraId="201CB354">
            <w:pPr>
              <w:spacing w:line="400" w:lineRule="exact"/>
              <w:jc w:val="center"/>
              <w:rPr>
                <w:rFonts w:ascii="黑体" w:eastAsia="黑体"/>
                <w:sz w:val="28"/>
                <w:szCs w:val="36"/>
              </w:rPr>
            </w:pPr>
            <w:r>
              <w:rPr>
                <w:rFonts w:hint="eastAsia" w:ascii="黑体" w:eastAsia="黑体"/>
                <w:sz w:val="28"/>
                <w:szCs w:val="36"/>
              </w:rPr>
              <w:t>物资保障部</w:t>
            </w:r>
          </w:p>
        </w:tc>
        <w:tc>
          <w:tcPr>
            <w:tcW w:w="1638" w:type="dxa"/>
            <w:gridSpan w:val="3"/>
            <w:vAlign w:val="center"/>
          </w:tcPr>
          <w:p w14:paraId="31E2CF5A">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7</w:t>
            </w:r>
            <w:r>
              <w:rPr>
                <w:rFonts w:hint="eastAsia" w:ascii="黑体" w:eastAsia="黑体"/>
                <w:sz w:val="28"/>
                <w:szCs w:val="36"/>
              </w:rPr>
              <w:t>页</w:t>
            </w:r>
          </w:p>
        </w:tc>
        <w:tc>
          <w:tcPr>
            <w:tcW w:w="1993" w:type="dxa"/>
            <w:gridSpan w:val="3"/>
            <w:vAlign w:val="center"/>
          </w:tcPr>
          <w:p w14:paraId="62E169A7">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19CE8BE9">
            <w:pPr>
              <w:spacing w:line="400" w:lineRule="exact"/>
              <w:jc w:val="center"/>
              <w:rPr>
                <w:rFonts w:ascii="黑体" w:eastAsia="黑体"/>
                <w:sz w:val="28"/>
                <w:szCs w:val="36"/>
              </w:rPr>
            </w:pPr>
            <w:r>
              <w:rPr>
                <w:rFonts w:hint="eastAsia" w:ascii="黑体" w:eastAsia="黑体"/>
                <w:sz w:val="28"/>
                <w:szCs w:val="36"/>
              </w:rPr>
              <w:t>2025-</w:t>
            </w:r>
            <w:r>
              <w:rPr>
                <w:rFonts w:hint="eastAsia" w:ascii="黑体" w:eastAsia="黑体"/>
                <w:sz w:val="28"/>
                <w:szCs w:val="36"/>
                <w:lang w:val="en-US" w:eastAsia="zh-CN"/>
              </w:rPr>
              <w:t>10</w:t>
            </w:r>
            <w:r>
              <w:rPr>
                <w:rFonts w:hint="eastAsia" w:ascii="黑体" w:eastAsia="黑体"/>
                <w:sz w:val="28"/>
                <w:szCs w:val="36"/>
              </w:rPr>
              <w:t>-</w:t>
            </w:r>
            <w:r>
              <w:rPr>
                <w:rFonts w:hint="eastAsia" w:ascii="黑体" w:eastAsia="黑体"/>
                <w:sz w:val="28"/>
                <w:szCs w:val="36"/>
                <w:lang w:val="en-US" w:eastAsia="zh-CN"/>
              </w:rPr>
              <w:t>11</w:t>
            </w:r>
          </w:p>
        </w:tc>
      </w:tr>
      <w:tr w14:paraId="5FC4FA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4"/>
            <w:tcBorders>
              <w:left w:val="single" w:color="auto" w:sz="12" w:space="0"/>
              <w:right w:val="single" w:color="auto" w:sz="12" w:space="0"/>
            </w:tcBorders>
            <w:vAlign w:val="center"/>
          </w:tcPr>
          <w:p w14:paraId="05B34EA9">
            <w:pPr>
              <w:jc w:val="center"/>
              <w:rPr>
                <w:rFonts w:ascii="宋体"/>
                <w:kern w:val="0"/>
                <w:sz w:val="32"/>
                <w:szCs w:val="32"/>
              </w:rPr>
            </w:pPr>
            <w:r>
              <w:rPr>
                <w:rFonts w:hint="eastAsia" w:ascii="宋体" w:hAnsi="Times" w:eastAsia="宋体" w:cs="Times New Roman"/>
                <w:bCs/>
                <w:sz w:val="24"/>
                <w:szCs w:val="28"/>
              </w:rPr>
              <w:t>更    改    记    录</w:t>
            </w:r>
          </w:p>
        </w:tc>
      </w:tr>
      <w:tr w14:paraId="206C6B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3B95439A">
            <w:pPr>
              <w:jc w:val="center"/>
              <w:rPr>
                <w:rFonts w:ascii="宋体"/>
                <w:kern w:val="0"/>
                <w:sz w:val="32"/>
                <w:szCs w:val="32"/>
              </w:rPr>
            </w:pPr>
            <w:r>
              <w:rPr>
                <w:rFonts w:hint="eastAsia" w:ascii="宋体" w:hAnsi="Times" w:eastAsia="宋体" w:cs="Times New Roman"/>
                <w:bCs/>
                <w:sz w:val="24"/>
                <w:szCs w:val="28"/>
              </w:rPr>
              <w:t>序号</w:t>
            </w:r>
          </w:p>
        </w:tc>
        <w:tc>
          <w:tcPr>
            <w:tcW w:w="2184" w:type="dxa"/>
            <w:gridSpan w:val="3"/>
            <w:tcBorders>
              <w:bottom w:val="single" w:color="auto" w:sz="6" w:space="0"/>
            </w:tcBorders>
            <w:vAlign w:val="center"/>
          </w:tcPr>
          <w:p w14:paraId="2B09E0CB">
            <w:pPr>
              <w:jc w:val="center"/>
              <w:rPr>
                <w:rFonts w:ascii="宋体"/>
                <w:kern w:val="0"/>
                <w:sz w:val="32"/>
                <w:szCs w:val="32"/>
              </w:rPr>
            </w:pPr>
            <w:r>
              <w:rPr>
                <w:rFonts w:hint="eastAsia" w:ascii="宋体" w:hAnsi="Times" w:eastAsia="宋体" w:cs="Times New Roman"/>
                <w:bCs/>
                <w:sz w:val="24"/>
                <w:szCs w:val="28"/>
              </w:rPr>
              <w:t>更改单编号</w:t>
            </w:r>
          </w:p>
        </w:tc>
        <w:tc>
          <w:tcPr>
            <w:tcW w:w="2645" w:type="dxa"/>
            <w:gridSpan w:val="4"/>
            <w:tcBorders>
              <w:bottom w:val="single" w:color="auto" w:sz="6" w:space="0"/>
            </w:tcBorders>
            <w:vAlign w:val="center"/>
          </w:tcPr>
          <w:p w14:paraId="2440D4C6">
            <w:pPr>
              <w:jc w:val="center"/>
              <w:rPr>
                <w:rFonts w:ascii="宋体"/>
                <w:kern w:val="0"/>
                <w:sz w:val="32"/>
                <w:szCs w:val="32"/>
              </w:rPr>
            </w:pPr>
            <w:r>
              <w:rPr>
                <w:rFonts w:hint="eastAsia" w:ascii="宋体" w:hAnsi="Times" w:eastAsia="宋体" w:cs="Times New Roman"/>
                <w:bCs/>
                <w:sz w:val="24"/>
                <w:szCs w:val="28"/>
              </w:rPr>
              <w:t>更改者签字</w:t>
            </w:r>
          </w:p>
        </w:tc>
        <w:tc>
          <w:tcPr>
            <w:tcW w:w="2475" w:type="dxa"/>
            <w:gridSpan w:val="3"/>
            <w:tcBorders>
              <w:bottom w:val="single" w:color="auto" w:sz="6" w:space="0"/>
              <w:right w:val="single" w:color="auto" w:sz="12" w:space="0"/>
            </w:tcBorders>
            <w:vAlign w:val="center"/>
          </w:tcPr>
          <w:p w14:paraId="26D7DBAB">
            <w:pPr>
              <w:jc w:val="center"/>
              <w:rPr>
                <w:rFonts w:ascii="宋体"/>
                <w:kern w:val="0"/>
                <w:sz w:val="32"/>
                <w:szCs w:val="32"/>
              </w:rPr>
            </w:pPr>
            <w:r>
              <w:rPr>
                <w:rFonts w:hint="eastAsia" w:ascii="宋体" w:hAnsi="Times" w:eastAsia="宋体" w:cs="Times New Roman"/>
                <w:bCs/>
                <w:sz w:val="24"/>
                <w:szCs w:val="28"/>
              </w:rPr>
              <w:t>更改日期</w:t>
            </w:r>
          </w:p>
        </w:tc>
      </w:tr>
      <w:tr w14:paraId="695313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41707BE8">
            <w:pPr>
              <w:jc w:val="center"/>
              <w:rPr>
                <w:rFonts w:ascii="宋体"/>
              </w:rPr>
            </w:pPr>
          </w:p>
        </w:tc>
        <w:tc>
          <w:tcPr>
            <w:tcW w:w="2184" w:type="dxa"/>
            <w:gridSpan w:val="3"/>
            <w:tcBorders>
              <w:left w:val="single" w:color="auto" w:sz="6" w:space="0"/>
              <w:right w:val="single" w:color="auto" w:sz="6" w:space="0"/>
            </w:tcBorders>
            <w:vAlign w:val="center"/>
          </w:tcPr>
          <w:p w14:paraId="0520FD61">
            <w:pPr>
              <w:jc w:val="center"/>
              <w:rPr>
                <w:rFonts w:ascii="宋体"/>
              </w:rPr>
            </w:pPr>
          </w:p>
        </w:tc>
        <w:tc>
          <w:tcPr>
            <w:tcW w:w="2645" w:type="dxa"/>
            <w:gridSpan w:val="4"/>
            <w:tcBorders>
              <w:left w:val="single" w:color="auto" w:sz="6" w:space="0"/>
              <w:right w:val="single" w:color="auto" w:sz="6" w:space="0"/>
            </w:tcBorders>
            <w:vAlign w:val="center"/>
          </w:tcPr>
          <w:p w14:paraId="11406ACB">
            <w:pPr>
              <w:jc w:val="center"/>
              <w:rPr>
                <w:rFonts w:ascii="宋体"/>
              </w:rPr>
            </w:pPr>
          </w:p>
        </w:tc>
        <w:tc>
          <w:tcPr>
            <w:tcW w:w="2475" w:type="dxa"/>
            <w:gridSpan w:val="3"/>
            <w:tcBorders>
              <w:left w:val="single" w:color="auto" w:sz="6" w:space="0"/>
              <w:right w:val="single" w:color="auto" w:sz="12" w:space="0"/>
            </w:tcBorders>
            <w:vAlign w:val="center"/>
          </w:tcPr>
          <w:p w14:paraId="597C35F8">
            <w:pPr>
              <w:jc w:val="center"/>
              <w:rPr>
                <w:rFonts w:ascii="宋体"/>
              </w:rPr>
            </w:pPr>
          </w:p>
        </w:tc>
      </w:tr>
      <w:tr w14:paraId="487D38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7774FC2C">
            <w:pPr>
              <w:jc w:val="center"/>
              <w:rPr>
                <w:rFonts w:ascii="宋体"/>
              </w:rPr>
            </w:pPr>
          </w:p>
        </w:tc>
        <w:tc>
          <w:tcPr>
            <w:tcW w:w="2184" w:type="dxa"/>
            <w:gridSpan w:val="3"/>
            <w:tcBorders>
              <w:left w:val="single" w:color="auto" w:sz="6" w:space="0"/>
              <w:right w:val="single" w:color="auto" w:sz="6" w:space="0"/>
            </w:tcBorders>
            <w:vAlign w:val="center"/>
          </w:tcPr>
          <w:p w14:paraId="2A7ED406">
            <w:pPr>
              <w:jc w:val="center"/>
              <w:rPr>
                <w:rFonts w:ascii="宋体"/>
              </w:rPr>
            </w:pPr>
          </w:p>
        </w:tc>
        <w:tc>
          <w:tcPr>
            <w:tcW w:w="2645" w:type="dxa"/>
            <w:gridSpan w:val="4"/>
            <w:tcBorders>
              <w:left w:val="single" w:color="auto" w:sz="6" w:space="0"/>
              <w:right w:val="single" w:color="auto" w:sz="6" w:space="0"/>
            </w:tcBorders>
            <w:vAlign w:val="center"/>
          </w:tcPr>
          <w:p w14:paraId="7FA10CF7">
            <w:pPr>
              <w:jc w:val="center"/>
              <w:rPr>
                <w:rFonts w:ascii="宋体"/>
              </w:rPr>
            </w:pPr>
          </w:p>
        </w:tc>
        <w:tc>
          <w:tcPr>
            <w:tcW w:w="2475" w:type="dxa"/>
            <w:gridSpan w:val="3"/>
            <w:tcBorders>
              <w:left w:val="single" w:color="auto" w:sz="6" w:space="0"/>
              <w:right w:val="single" w:color="auto" w:sz="12" w:space="0"/>
            </w:tcBorders>
            <w:vAlign w:val="center"/>
          </w:tcPr>
          <w:p w14:paraId="35016990">
            <w:pPr>
              <w:jc w:val="center"/>
              <w:rPr>
                <w:rFonts w:ascii="宋体"/>
              </w:rPr>
            </w:pPr>
          </w:p>
        </w:tc>
      </w:tr>
      <w:tr w14:paraId="7CF457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6984437B">
            <w:pPr>
              <w:jc w:val="center"/>
              <w:rPr>
                <w:rFonts w:ascii="宋体"/>
              </w:rPr>
            </w:pPr>
          </w:p>
        </w:tc>
        <w:tc>
          <w:tcPr>
            <w:tcW w:w="2184" w:type="dxa"/>
            <w:gridSpan w:val="3"/>
            <w:tcBorders>
              <w:left w:val="single" w:color="auto" w:sz="6" w:space="0"/>
              <w:right w:val="single" w:color="auto" w:sz="6" w:space="0"/>
            </w:tcBorders>
            <w:vAlign w:val="center"/>
          </w:tcPr>
          <w:p w14:paraId="56EA3C94">
            <w:pPr>
              <w:jc w:val="center"/>
              <w:rPr>
                <w:rFonts w:ascii="宋体"/>
              </w:rPr>
            </w:pPr>
          </w:p>
        </w:tc>
        <w:tc>
          <w:tcPr>
            <w:tcW w:w="2645" w:type="dxa"/>
            <w:gridSpan w:val="4"/>
            <w:tcBorders>
              <w:left w:val="single" w:color="auto" w:sz="6" w:space="0"/>
              <w:right w:val="single" w:color="auto" w:sz="6" w:space="0"/>
            </w:tcBorders>
            <w:vAlign w:val="center"/>
          </w:tcPr>
          <w:p w14:paraId="1D5089CD">
            <w:pPr>
              <w:jc w:val="center"/>
              <w:rPr>
                <w:rFonts w:ascii="宋体"/>
              </w:rPr>
            </w:pPr>
          </w:p>
        </w:tc>
        <w:tc>
          <w:tcPr>
            <w:tcW w:w="2475" w:type="dxa"/>
            <w:gridSpan w:val="3"/>
            <w:tcBorders>
              <w:left w:val="single" w:color="auto" w:sz="6" w:space="0"/>
              <w:right w:val="single" w:color="auto" w:sz="12" w:space="0"/>
            </w:tcBorders>
            <w:vAlign w:val="center"/>
          </w:tcPr>
          <w:p w14:paraId="5A2A796D">
            <w:pPr>
              <w:jc w:val="center"/>
              <w:rPr>
                <w:rFonts w:ascii="宋体"/>
              </w:rPr>
            </w:pPr>
          </w:p>
        </w:tc>
      </w:tr>
      <w:tr w14:paraId="079852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5EB8F9CA">
            <w:pPr>
              <w:jc w:val="center"/>
              <w:rPr>
                <w:rFonts w:ascii="宋体"/>
              </w:rPr>
            </w:pPr>
          </w:p>
        </w:tc>
        <w:tc>
          <w:tcPr>
            <w:tcW w:w="2184" w:type="dxa"/>
            <w:gridSpan w:val="3"/>
            <w:tcBorders>
              <w:left w:val="single" w:color="auto" w:sz="6" w:space="0"/>
              <w:right w:val="single" w:color="auto" w:sz="6" w:space="0"/>
            </w:tcBorders>
            <w:vAlign w:val="center"/>
          </w:tcPr>
          <w:p w14:paraId="4CEE9A6A">
            <w:pPr>
              <w:jc w:val="center"/>
              <w:rPr>
                <w:rFonts w:ascii="宋体"/>
              </w:rPr>
            </w:pPr>
          </w:p>
        </w:tc>
        <w:tc>
          <w:tcPr>
            <w:tcW w:w="2645" w:type="dxa"/>
            <w:gridSpan w:val="4"/>
            <w:tcBorders>
              <w:left w:val="single" w:color="auto" w:sz="6" w:space="0"/>
              <w:right w:val="single" w:color="auto" w:sz="6" w:space="0"/>
            </w:tcBorders>
            <w:vAlign w:val="center"/>
          </w:tcPr>
          <w:p w14:paraId="31C9C34B">
            <w:pPr>
              <w:jc w:val="center"/>
              <w:rPr>
                <w:rFonts w:ascii="宋体"/>
              </w:rPr>
            </w:pPr>
          </w:p>
        </w:tc>
        <w:tc>
          <w:tcPr>
            <w:tcW w:w="2475" w:type="dxa"/>
            <w:gridSpan w:val="3"/>
            <w:tcBorders>
              <w:left w:val="single" w:color="auto" w:sz="6" w:space="0"/>
              <w:right w:val="single" w:color="auto" w:sz="12" w:space="0"/>
            </w:tcBorders>
            <w:vAlign w:val="center"/>
          </w:tcPr>
          <w:p w14:paraId="7E0250E7">
            <w:pPr>
              <w:jc w:val="center"/>
              <w:rPr>
                <w:rFonts w:ascii="宋体"/>
              </w:rPr>
            </w:pPr>
          </w:p>
        </w:tc>
      </w:tr>
      <w:tr w14:paraId="2811C3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2CA2F266">
            <w:pPr>
              <w:jc w:val="center"/>
              <w:rPr>
                <w:rFonts w:ascii="宋体"/>
              </w:rPr>
            </w:pPr>
          </w:p>
        </w:tc>
        <w:tc>
          <w:tcPr>
            <w:tcW w:w="2184" w:type="dxa"/>
            <w:gridSpan w:val="3"/>
            <w:tcBorders>
              <w:left w:val="single" w:color="auto" w:sz="6" w:space="0"/>
              <w:right w:val="single" w:color="auto" w:sz="6" w:space="0"/>
            </w:tcBorders>
            <w:vAlign w:val="center"/>
          </w:tcPr>
          <w:p w14:paraId="72BCC6C1">
            <w:pPr>
              <w:jc w:val="center"/>
              <w:rPr>
                <w:rFonts w:ascii="宋体"/>
              </w:rPr>
            </w:pPr>
          </w:p>
        </w:tc>
        <w:tc>
          <w:tcPr>
            <w:tcW w:w="2645" w:type="dxa"/>
            <w:gridSpan w:val="4"/>
            <w:tcBorders>
              <w:left w:val="single" w:color="auto" w:sz="6" w:space="0"/>
              <w:right w:val="single" w:color="auto" w:sz="6" w:space="0"/>
            </w:tcBorders>
            <w:vAlign w:val="center"/>
          </w:tcPr>
          <w:p w14:paraId="498A103A">
            <w:pPr>
              <w:jc w:val="center"/>
              <w:rPr>
                <w:rFonts w:ascii="宋体"/>
              </w:rPr>
            </w:pPr>
          </w:p>
        </w:tc>
        <w:tc>
          <w:tcPr>
            <w:tcW w:w="2475" w:type="dxa"/>
            <w:gridSpan w:val="3"/>
            <w:tcBorders>
              <w:left w:val="single" w:color="auto" w:sz="6" w:space="0"/>
              <w:right w:val="single" w:color="auto" w:sz="12" w:space="0"/>
            </w:tcBorders>
            <w:vAlign w:val="center"/>
          </w:tcPr>
          <w:p w14:paraId="6D0BC523">
            <w:pPr>
              <w:jc w:val="center"/>
              <w:rPr>
                <w:rFonts w:ascii="宋体"/>
              </w:rPr>
            </w:pPr>
          </w:p>
        </w:tc>
      </w:tr>
      <w:tr w14:paraId="2AE132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4A9BD297">
            <w:pPr>
              <w:jc w:val="center"/>
              <w:rPr>
                <w:rFonts w:ascii="宋体"/>
                <w:spacing w:val="100"/>
                <w:sz w:val="24"/>
              </w:rPr>
            </w:pPr>
            <w:r>
              <w:rPr>
                <w:rFonts w:hint="eastAsia" w:ascii="宋体"/>
                <w:spacing w:val="100"/>
                <w:sz w:val="24"/>
              </w:rPr>
              <w:t>分发路线</w:t>
            </w:r>
          </w:p>
        </w:tc>
      </w:tr>
      <w:tr w14:paraId="071837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13" w:type="dxa"/>
            <w:tcBorders>
              <w:left w:val="single" w:color="auto" w:sz="12" w:space="0"/>
            </w:tcBorders>
            <w:vAlign w:val="center"/>
          </w:tcPr>
          <w:p w14:paraId="37D90E6A">
            <w:pPr>
              <w:jc w:val="center"/>
              <w:rPr>
                <w:rFonts w:ascii="宋体"/>
                <w:spacing w:val="50"/>
                <w:sz w:val="22"/>
                <w:szCs w:val="22"/>
              </w:rPr>
            </w:pPr>
            <w:r>
              <w:rPr>
                <w:rFonts w:hint="eastAsia" w:ascii="宋体"/>
                <w:spacing w:val="50"/>
                <w:sz w:val="22"/>
                <w:szCs w:val="22"/>
              </w:rPr>
              <w:t>部门</w:t>
            </w:r>
          </w:p>
        </w:tc>
        <w:tc>
          <w:tcPr>
            <w:tcW w:w="1037" w:type="dxa"/>
            <w:gridSpan w:val="2"/>
            <w:vAlign w:val="center"/>
          </w:tcPr>
          <w:p w14:paraId="110BCBAD">
            <w:pPr>
              <w:jc w:val="center"/>
              <w:rPr>
                <w:rFonts w:ascii="宋体"/>
                <w:spacing w:val="50"/>
                <w:sz w:val="22"/>
                <w:szCs w:val="22"/>
              </w:rPr>
            </w:pPr>
            <w:r>
              <w:rPr>
                <w:rFonts w:hint="eastAsia" w:ascii="宋体"/>
                <w:spacing w:val="50"/>
                <w:sz w:val="22"/>
                <w:szCs w:val="22"/>
              </w:rPr>
              <w:t>经营</w:t>
            </w:r>
          </w:p>
          <w:p w14:paraId="1D06FFAC">
            <w:pPr>
              <w:jc w:val="center"/>
              <w:rPr>
                <w:rFonts w:ascii="宋体"/>
                <w:spacing w:val="50"/>
                <w:sz w:val="22"/>
                <w:szCs w:val="22"/>
              </w:rPr>
            </w:pPr>
            <w:r>
              <w:rPr>
                <w:rFonts w:hint="eastAsia" w:ascii="宋体"/>
                <w:spacing w:val="50"/>
                <w:sz w:val="22"/>
                <w:szCs w:val="22"/>
              </w:rPr>
              <w:t>发展部</w:t>
            </w:r>
          </w:p>
        </w:tc>
        <w:tc>
          <w:tcPr>
            <w:tcW w:w="1295" w:type="dxa"/>
            <w:gridSpan w:val="2"/>
            <w:vAlign w:val="center"/>
          </w:tcPr>
          <w:p w14:paraId="3324A64D">
            <w:pPr>
              <w:jc w:val="center"/>
              <w:rPr>
                <w:rFonts w:ascii="宋体"/>
                <w:spacing w:val="50"/>
                <w:sz w:val="22"/>
                <w:szCs w:val="22"/>
              </w:rPr>
            </w:pPr>
            <w:r>
              <w:rPr>
                <w:rFonts w:hint="eastAsia" w:ascii="宋体"/>
                <w:spacing w:val="50"/>
                <w:sz w:val="22"/>
                <w:szCs w:val="22"/>
              </w:rPr>
              <w:t>行政</w:t>
            </w:r>
          </w:p>
          <w:p w14:paraId="33FFEE7D">
            <w:pPr>
              <w:jc w:val="center"/>
              <w:rPr>
                <w:rFonts w:ascii="宋体"/>
                <w:spacing w:val="50"/>
                <w:sz w:val="22"/>
                <w:szCs w:val="22"/>
              </w:rPr>
            </w:pPr>
            <w:r>
              <w:rPr>
                <w:rFonts w:hint="eastAsia" w:ascii="宋体"/>
                <w:spacing w:val="50"/>
                <w:sz w:val="22"/>
                <w:szCs w:val="22"/>
              </w:rPr>
              <w:t>人事部</w:t>
            </w:r>
          </w:p>
        </w:tc>
        <w:tc>
          <w:tcPr>
            <w:tcW w:w="1050" w:type="dxa"/>
            <w:vAlign w:val="center"/>
          </w:tcPr>
          <w:p w14:paraId="0BF33688">
            <w:pPr>
              <w:jc w:val="center"/>
              <w:rPr>
                <w:rFonts w:ascii="宋体"/>
                <w:spacing w:val="50"/>
                <w:sz w:val="22"/>
                <w:szCs w:val="22"/>
              </w:rPr>
            </w:pPr>
            <w:r>
              <w:rPr>
                <w:rFonts w:hint="eastAsia" w:ascii="宋体"/>
                <w:spacing w:val="50"/>
                <w:sz w:val="22"/>
                <w:szCs w:val="22"/>
              </w:rPr>
              <w:t>工程</w:t>
            </w:r>
          </w:p>
          <w:p w14:paraId="480344CC">
            <w:pPr>
              <w:jc w:val="center"/>
              <w:rPr>
                <w:rFonts w:ascii="宋体"/>
                <w:spacing w:val="50"/>
                <w:sz w:val="22"/>
                <w:szCs w:val="22"/>
              </w:rPr>
            </w:pPr>
            <w:r>
              <w:rPr>
                <w:rFonts w:hint="eastAsia" w:ascii="宋体"/>
                <w:spacing w:val="50"/>
                <w:sz w:val="22"/>
                <w:szCs w:val="22"/>
              </w:rPr>
              <w:t>技术部</w:t>
            </w:r>
          </w:p>
        </w:tc>
        <w:tc>
          <w:tcPr>
            <w:tcW w:w="1064" w:type="dxa"/>
            <w:gridSpan w:val="2"/>
            <w:vAlign w:val="center"/>
          </w:tcPr>
          <w:p w14:paraId="0EE373A6">
            <w:pPr>
              <w:jc w:val="center"/>
              <w:rPr>
                <w:rFonts w:ascii="宋体"/>
                <w:spacing w:val="50"/>
                <w:sz w:val="22"/>
                <w:szCs w:val="22"/>
              </w:rPr>
            </w:pPr>
            <w:r>
              <w:rPr>
                <w:rFonts w:hint="eastAsia" w:ascii="宋体"/>
                <w:spacing w:val="50"/>
                <w:sz w:val="22"/>
                <w:szCs w:val="22"/>
              </w:rPr>
              <w:t>财务部</w:t>
            </w:r>
          </w:p>
        </w:tc>
        <w:tc>
          <w:tcPr>
            <w:tcW w:w="1050" w:type="dxa"/>
            <w:gridSpan w:val="2"/>
            <w:vAlign w:val="center"/>
          </w:tcPr>
          <w:p w14:paraId="10DE32E0">
            <w:pPr>
              <w:jc w:val="center"/>
              <w:rPr>
                <w:rFonts w:ascii="宋体"/>
                <w:spacing w:val="50"/>
                <w:sz w:val="22"/>
                <w:szCs w:val="22"/>
              </w:rPr>
            </w:pPr>
            <w:r>
              <w:rPr>
                <w:rFonts w:hint="eastAsia" w:ascii="宋体"/>
                <w:spacing w:val="50"/>
                <w:sz w:val="22"/>
                <w:szCs w:val="22"/>
              </w:rPr>
              <w:t>质量</w:t>
            </w:r>
          </w:p>
          <w:p w14:paraId="65966D6F">
            <w:pPr>
              <w:jc w:val="center"/>
              <w:rPr>
                <w:rFonts w:ascii="宋体"/>
                <w:spacing w:val="50"/>
                <w:sz w:val="22"/>
                <w:szCs w:val="22"/>
              </w:rPr>
            </w:pPr>
            <w:r>
              <w:rPr>
                <w:rFonts w:hint="eastAsia" w:ascii="宋体"/>
                <w:spacing w:val="50"/>
                <w:sz w:val="22"/>
                <w:szCs w:val="22"/>
              </w:rPr>
              <w:t>安环部</w:t>
            </w:r>
          </w:p>
        </w:tc>
        <w:tc>
          <w:tcPr>
            <w:tcW w:w="1036" w:type="dxa"/>
            <w:vAlign w:val="center"/>
          </w:tcPr>
          <w:p w14:paraId="3CB42AB6">
            <w:pPr>
              <w:jc w:val="center"/>
              <w:rPr>
                <w:rFonts w:hint="eastAsia" w:ascii="宋体"/>
                <w:spacing w:val="50"/>
                <w:sz w:val="22"/>
                <w:szCs w:val="22"/>
                <w:lang w:val="en-US" w:eastAsia="zh-CN"/>
              </w:rPr>
            </w:pPr>
            <w:r>
              <w:rPr>
                <w:rFonts w:hint="eastAsia" w:ascii="宋体"/>
                <w:spacing w:val="50"/>
                <w:sz w:val="22"/>
                <w:szCs w:val="22"/>
                <w:lang w:val="en-US" w:eastAsia="zh-CN"/>
              </w:rPr>
              <w:t>项目</w:t>
            </w:r>
          </w:p>
          <w:p w14:paraId="7E5C3A99">
            <w:pPr>
              <w:jc w:val="center"/>
              <w:rPr>
                <w:rFonts w:ascii="宋体"/>
                <w:spacing w:val="50"/>
                <w:sz w:val="22"/>
                <w:szCs w:val="22"/>
              </w:rPr>
            </w:pPr>
            <w:r>
              <w:rPr>
                <w:rFonts w:hint="eastAsia" w:ascii="宋体"/>
                <w:spacing w:val="50"/>
                <w:sz w:val="22"/>
                <w:szCs w:val="22"/>
                <w:lang w:val="en-US" w:eastAsia="zh-CN"/>
              </w:rPr>
              <w:t>管理部</w:t>
            </w:r>
          </w:p>
        </w:tc>
        <w:tc>
          <w:tcPr>
            <w:tcW w:w="1064" w:type="dxa"/>
            <w:gridSpan w:val="2"/>
            <w:vAlign w:val="center"/>
          </w:tcPr>
          <w:p w14:paraId="1AC4DB06">
            <w:pPr>
              <w:jc w:val="center"/>
              <w:rPr>
                <w:rFonts w:ascii="宋体"/>
                <w:spacing w:val="50"/>
                <w:sz w:val="22"/>
                <w:szCs w:val="22"/>
              </w:rPr>
            </w:pPr>
            <w:r>
              <w:rPr>
                <w:rFonts w:hint="eastAsia" w:ascii="宋体"/>
                <w:spacing w:val="50"/>
                <w:sz w:val="22"/>
                <w:szCs w:val="22"/>
              </w:rPr>
              <w:t>物资</w:t>
            </w:r>
          </w:p>
          <w:p w14:paraId="0DE99BC3">
            <w:pPr>
              <w:jc w:val="center"/>
              <w:rPr>
                <w:rFonts w:ascii="宋体"/>
                <w:spacing w:val="50"/>
                <w:sz w:val="22"/>
                <w:szCs w:val="22"/>
              </w:rPr>
            </w:pPr>
            <w:r>
              <w:rPr>
                <w:rFonts w:hint="eastAsia" w:ascii="宋体"/>
                <w:spacing w:val="50"/>
                <w:sz w:val="22"/>
                <w:szCs w:val="22"/>
              </w:rPr>
              <w:t>保障部</w:t>
            </w:r>
          </w:p>
        </w:tc>
        <w:tc>
          <w:tcPr>
            <w:tcW w:w="1411" w:type="dxa"/>
            <w:tcBorders>
              <w:right w:val="single" w:color="auto" w:sz="12" w:space="0"/>
            </w:tcBorders>
            <w:vAlign w:val="center"/>
          </w:tcPr>
          <w:p w14:paraId="4C7E1B1E">
            <w:pPr>
              <w:jc w:val="center"/>
              <w:rPr>
                <w:rFonts w:ascii="宋体"/>
                <w:spacing w:val="50"/>
                <w:sz w:val="22"/>
                <w:szCs w:val="22"/>
              </w:rPr>
            </w:pPr>
            <w:r>
              <w:rPr>
                <w:rFonts w:hint="eastAsia" w:ascii="宋体"/>
                <w:spacing w:val="50"/>
                <w:sz w:val="22"/>
                <w:szCs w:val="22"/>
              </w:rPr>
              <w:t>复材车间</w:t>
            </w:r>
          </w:p>
        </w:tc>
      </w:tr>
      <w:tr w14:paraId="115E01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13" w:type="dxa"/>
            <w:tcBorders>
              <w:left w:val="single" w:color="auto" w:sz="12" w:space="0"/>
            </w:tcBorders>
            <w:vAlign w:val="center"/>
          </w:tcPr>
          <w:p w14:paraId="003EA4A0">
            <w:pPr>
              <w:jc w:val="center"/>
              <w:rPr>
                <w:rFonts w:ascii="宋体"/>
                <w:spacing w:val="50"/>
                <w:sz w:val="22"/>
                <w:szCs w:val="22"/>
              </w:rPr>
            </w:pPr>
            <w:r>
              <w:rPr>
                <w:rFonts w:hint="eastAsia" w:ascii="宋体"/>
                <w:spacing w:val="50"/>
                <w:sz w:val="22"/>
                <w:szCs w:val="22"/>
              </w:rPr>
              <w:t>份数</w:t>
            </w:r>
          </w:p>
        </w:tc>
        <w:tc>
          <w:tcPr>
            <w:tcW w:w="1037" w:type="dxa"/>
            <w:gridSpan w:val="2"/>
            <w:vAlign w:val="center"/>
          </w:tcPr>
          <w:p w14:paraId="7311F53E">
            <w:pPr>
              <w:jc w:val="center"/>
              <w:rPr>
                <w:rFonts w:ascii="宋体"/>
                <w:spacing w:val="50"/>
                <w:sz w:val="22"/>
                <w:szCs w:val="22"/>
              </w:rPr>
            </w:pPr>
            <w:r>
              <w:rPr>
                <w:rFonts w:hint="eastAsia" w:ascii="宋体"/>
                <w:spacing w:val="50"/>
                <w:sz w:val="22"/>
                <w:szCs w:val="22"/>
              </w:rPr>
              <w:t>1</w:t>
            </w:r>
          </w:p>
        </w:tc>
        <w:tc>
          <w:tcPr>
            <w:tcW w:w="1295" w:type="dxa"/>
            <w:gridSpan w:val="2"/>
            <w:vAlign w:val="center"/>
          </w:tcPr>
          <w:p w14:paraId="5CE84EDA">
            <w:pPr>
              <w:jc w:val="center"/>
              <w:rPr>
                <w:rFonts w:ascii="宋体"/>
                <w:spacing w:val="50"/>
                <w:sz w:val="22"/>
                <w:szCs w:val="22"/>
              </w:rPr>
            </w:pPr>
            <w:r>
              <w:rPr>
                <w:rFonts w:hint="eastAsia" w:ascii="宋体"/>
                <w:spacing w:val="50"/>
                <w:sz w:val="22"/>
                <w:szCs w:val="22"/>
              </w:rPr>
              <w:t>1</w:t>
            </w:r>
          </w:p>
        </w:tc>
        <w:tc>
          <w:tcPr>
            <w:tcW w:w="1050" w:type="dxa"/>
            <w:vAlign w:val="center"/>
          </w:tcPr>
          <w:p w14:paraId="75475BAA">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4116BB06">
            <w:pPr>
              <w:jc w:val="center"/>
              <w:rPr>
                <w:rFonts w:ascii="宋体"/>
                <w:spacing w:val="50"/>
                <w:sz w:val="22"/>
                <w:szCs w:val="22"/>
              </w:rPr>
            </w:pPr>
            <w:r>
              <w:rPr>
                <w:rFonts w:hint="eastAsia" w:ascii="宋体"/>
                <w:spacing w:val="50"/>
                <w:sz w:val="22"/>
                <w:szCs w:val="22"/>
              </w:rPr>
              <w:t>1</w:t>
            </w:r>
          </w:p>
        </w:tc>
        <w:tc>
          <w:tcPr>
            <w:tcW w:w="1050" w:type="dxa"/>
            <w:gridSpan w:val="2"/>
            <w:vAlign w:val="center"/>
          </w:tcPr>
          <w:p w14:paraId="77F9F723">
            <w:pPr>
              <w:jc w:val="center"/>
              <w:rPr>
                <w:rFonts w:ascii="宋体"/>
                <w:spacing w:val="50"/>
                <w:sz w:val="22"/>
                <w:szCs w:val="22"/>
              </w:rPr>
            </w:pPr>
            <w:r>
              <w:rPr>
                <w:rFonts w:hint="eastAsia" w:ascii="宋体"/>
                <w:spacing w:val="50"/>
                <w:sz w:val="22"/>
                <w:szCs w:val="22"/>
              </w:rPr>
              <w:t>1</w:t>
            </w:r>
          </w:p>
        </w:tc>
        <w:tc>
          <w:tcPr>
            <w:tcW w:w="1036" w:type="dxa"/>
            <w:vAlign w:val="center"/>
          </w:tcPr>
          <w:p w14:paraId="662255C7">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52C991E1">
            <w:pPr>
              <w:jc w:val="center"/>
              <w:rPr>
                <w:rFonts w:ascii="宋体"/>
                <w:spacing w:val="50"/>
                <w:sz w:val="22"/>
                <w:szCs w:val="22"/>
              </w:rPr>
            </w:pPr>
            <w:r>
              <w:rPr>
                <w:rFonts w:hint="eastAsia" w:ascii="宋体"/>
                <w:spacing w:val="50"/>
                <w:sz w:val="22"/>
                <w:szCs w:val="22"/>
              </w:rPr>
              <w:t>1</w:t>
            </w:r>
          </w:p>
        </w:tc>
        <w:tc>
          <w:tcPr>
            <w:tcW w:w="1411" w:type="dxa"/>
            <w:tcBorders>
              <w:right w:val="single" w:color="auto" w:sz="12" w:space="0"/>
            </w:tcBorders>
            <w:vAlign w:val="center"/>
          </w:tcPr>
          <w:p w14:paraId="64A2C736">
            <w:pPr>
              <w:jc w:val="center"/>
              <w:rPr>
                <w:rFonts w:ascii="宋体"/>
                <w:spacing w:val="50"/>
                <w:sz w:val="22"/>
                <w:szCs w:val="22"/>
              </w:rPr>
            </w:pPr>
            <w:r>
              <w:rPr>
                <w:rFonts w:hint="eastAsia" w:ascii="宋体"/>
                <w:spacing w:val="50"/>
                <w:sz w:val="22"/>
                <w:szCs w:val="22"/>
              </w:rPr>
              <w:t>1</w:t>
            </w:r>
          </w:p>
        </w:tc>
      </w:tr>
      <w:tr w14:paraId="1E42F1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13" w:type="dxa"/>
            <w:tcBorders>
              <w:left w:val="single" w:color="auto" w:sz="12" w:space="0"/>
            </w:tcBorders>
            <w:vAlign w:val="center"/>
          </w:tcPr>
          <w:p w14:paraId="605853A4">
            <w:pPr>
              <w:jc w:val="center"/>
              <w:rPr>
                <w:rFonts w:ascii="宋体"/>
                <w:spacing w:val="50"/>
                <w:sz w:val="22"/>
                <w:szCs w:val="22"/>
              </w:rPr>
            </w:pPr>
            <w:r>
              <w:rPr>
                <w:rFonts w:hint="eastAsia" w:ascii="宋体"/>
                <w:spacing w:val="50"/>
                <w:sz w:val="22"/>
                <w:szCs w:val="22"/>
              </w:rPr>
              <w:t>部门</w:t>
            </w:r>
          </w:p>
        </w:tc>
        <w:tc>
          <w:tcPr>
            <w:tcW w:w="1037" w:type="dxa"/>
            <w:gridSpan w:val="2"/>
            <w:vAlign w:val="center"/>
          </w:tcPr>
          <w:p w14:paraId="17ED48DB">
            <w:pPr>
              <w:jc w:val="center"/>
              <w:rPr>
                <w:rFonts w:ascii="宋体"/>
                <w:spacing w:val="50"/>
                <w:sz w:val="22"/>
                <w:szCs w:val="22"/>
              </w:rPr>
            </w:pPr>
          </w:p>
        </w:tc>
        <w:tc>
          <w:tcPr>
            <w:tcW w:w="1295" w:type="dxa"/>
            <w:gridSpan w:val="2"/>
            <w:vAlign w:val="center"/>
          </w:tcPr>
          <w:p w14:paraId="616A6E13">
            <w:pPr>
              <w:jc w:val="center"/>
              <w:rPr>
                <w:rFonts w:ascii="宋体"/>
                <w:spacing w:val="50"/>
                <w:sz w:val="22"/>
                <w:szCs w:val="22"/>
              </w:rPr>
            </w:pPr>
          </w:p>
        </w:tc>
        <w:tc>
          <w:tcPr>
            <w:tcW w:w="1050" w:type="dxa"/>
            <w:vAlign w:val="center"/>
          </w:tcPr>
          <w:p w14:paraId="3887AB57">
            <w:pPr>
              <w:jc w:val="center"/>
              <w:rPr>
                <w:rFonts w:ascii="宋体"/>
                <w:spacing w:val="50"/>
                <w:sz w:val="22"/>
                <w:szCs w:val="22"/>
              </w:rPr>
            </w:pPr>
          </w:p>
        </w:tc>
        <w:tc>
          <w:tcPr>
            <w:tcW w:w="1064" w:type="dxa"/>
            <w:gridSpan w:val="2"/>
            <w:vAlign w:val="center"/>
          </w:tcPr>
          <w:p w14:paraId="624B636F">
            <w:pPr>
              <w:jc w:val="center"/>
              <w:rPr>
                <w:rFonts w:ascii="宋体"/>
                <w:spacing w:val="50"/>
                <w:sz w:val="22"/>
                <w:szCs w:val="22"/>
              </w:rPr>
            </w:pPr>
          </w:p>
        </w:tc>
        <w:tc>
          <w:tcPr>
            <w:tcW w:w="1050" w:type="dxa"/>
            <w:gridSpan w:val="2"/>
            <w:vAlign w:val="center"/>
          </w:tcPr>
          <w:p w14:paraId="79C9329F">
            <w:pPr>
              <w:jc w:val="center"/>
              <w:rPr>
                <w:rFonts w:ascii="宋体"/>
                <w:spacing w:val="50"/>
                <w:sz w:val="22"/>
                <w:szCs w:val="22"/>
              </w:rPr>
            </w:pPr>
          </w:p>
        </w:tc>
        <w:tc>
          <w:tcPr>
            <w:tcW w:w="1036" w:type="dxa"/>
            <w:vAlign w:val="center"/>
          </w:tcPr>
          <w:p w14:paraId="0EBC2441">
            <w:pPr>
              <w:jc w:val="center"/>
              <w:rPr>
                <w:rFonts w:ascii="宋体"/>
                <w:spacing w:val="50"/>
                <w:sz w:val="22"/>
                <w:szCs w:val="22"/>
              </w:rPr>
            </w:pPr>
          </w:p>
        </w:tc>
        <w:tc>
          <w:tcPr>
            <w:tcW w:w="1064" w:type="dxa"/>
            <w:gridSpan w:val="2"/>
            <w:vAlign w:val="center"/>
          </w:tcPr>
          <w:p w14:paraId="5CE84B53">
            <w:pPr>
              <w:jc w:val="center"/>
              <w:rPr>
                <w:rFonts w:ascii="宋体"/>
                <w:spacing w:val="50"/>
                <w:sz w:val="22"/>
                <w:szCs w:val="22"/>
              </w:rPr>
            </w:pPr>
          </w:p>
        </w:tc>
        <w:tc>
          <w:tcPr>
            <w:tcW w:w="1411" w:type="dxa"/>
            <w:tcBorders>
              <w:right w:val="single" w:color="auto" w:sz="12" w:space="0"/>
            </w:tcBorders>
            <w:vAlign w:val="center"/>
          </w:tcPr>
          <w:p w14:paraId="57683A17">
            <w:pPr>
              <w:jc w:val="center"/>
              <w:rPr>
                <w:rFonts w:ascii="宋体"/>
                <w:spacing w:val="50"/>
                <w:sz w:val="22"/>
                <w:szCs w:val="22"/>
              </w:rPr>
            </w:pPr>
          </w:p>
        </w:tc>
      </w:tr>
      <w:tr w14:paraId="44474C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13" w:type="dxa"/>
            <w:tcBorders>
              <w:left w:val="single" w:color="auto" w:sz="12" w:space="0"/>
            </w:tcBorders>
            <w:vAlign w:val="center"/>
          </w:tcPr>
          <w:p w14:paraId="08E64E7D">
            <w:pPr>
              <w:jc w:val="center"/>
              <w:rPr>
                <w:rFonts w:ascii="宋体"/>
                <w:spacing w:val="50"/>
                <w:sz w:val="22"/>
                <w:szCs w:val="22"/>
              </w:rPr>
            </w:pPr>
            <w:r>
              <w:rPr>
                <w:rFonts w:hint="eastAsia" w:ascii="宋体"/>
                <w:spacing w:val="50"/>
                <w:sz w:val="22"/>
                <w:szCs w:val="22"/>
              </w:rPr>
              <w:t>份数</w:t>
            </w:r>
          </w:p>
        </w:tc>
        <w:tc>
          <w:tcPr>
            <w:tcW w:w="1037" w:type="dxa"/>
            <w:gridSpan w:val="2"/>
            <w:vAlign w:val="center"/>
          </w:tcPr>
          <w:p w14:paraId="42F40C51">
            <w:pPr>
              <w:jc w:val="center"/>
              <w:rPr>
                <w:rFonts w:ascii="宋体"/>
                <w:spacing w:val="50"/>
                <w:sz w:val="22"/>
                <w:szCs w:val="22"/>
              </w:rPr>
            </w:pPr>
          </w:p>
        </w:tc>
        <w:tc>
          <w:tcPr>
            <w:tcW w:w="1295" w:type="dxa"/>
            <w:gridSpan w:val="2"/>
            <w:vAlign w:val="center"/>
          </w:tcPr>
          <w:p w14:paraId="0AE031AA">
            <w:pPr>
              <w:jc w:val="center"/>
              <w:rPr>
                <w:rFonts w:ascii="宋体"/>
                <w:spacing w:val="50"/>
                <w:sz w:val="22"/>
                <w:szCs w:val="22"/>
              </w:rPr>
            </w:pPr>
          </w:p>
        </w:tc>
        <w:tc>
          <w:tcPr>
            <w:tcW w:w="1050" w:type="dxa"/>
            <w:vAlign w:val="center"/>
          </w:tcPr>
          <w:p w14:paraId="3A4E1653">
            <w:pPr>
              <w:jc w:val="center"/>
              <w:rPr>
                <w:rFonts w:ascii="宋体"/>
                <w:spacing w:val="50"/>
                <w:sz w:val="22"/>
                <w:szCs w:val="22"/>
              </w:rPr>
            </w:pPr>
          </w:p>
        </w:tc>
        <w:tc>
          <w:tcPr>
            <w:tcW w:w="1064" w:type="dxa"/>
            <w:gridSpan w:val="2"/>
            <w:vAlign w:val="center"/>
          </w:tcPr>
          <w:p w14:paraId="45E736E7">
            <w:pPr>
              <w:jc w:val="center"/>
              <w:rPr>
                <w:rFonts w:ascii="宋体"/>
                <w:spacing w:val="50"/>
                <w:sz w:val="22"/>
                <w:szCs w:val="22"/>
              </w:rPr>
            </w:pPr>
          </w:p>
        </w:tc>
        <w:tc>
          <w:tcPr>
            <w:tcW w:w="1050" w:type="dxa"/>
            <w:gridSpan w:val="2"/>
            <w:vAlign w:val="center"/>
          </w:tcPr>
          <w:p w14:paraId="4230520A">
            <w:pPr>
              <w:jc w:val="center"/>
              <w:rPr>
                <w:rFonts w:ascii="宋体"/>
                <w:spacing w:val="50"/>
                <w:sz w:val="22"/>
                <w:szCs w:val="22"/>
              </w:rPr>
            </w:pPr>
          </w:p>
        </w:tc>
        <w:tc>
          <w:tcPr>
            <w:tcW w:w="1036" w:type="dxa"/>
            <w:vAlign w:val="center"/>
          </w:tcPr>
          <w:p w14:paraId="56215002">
            <w:pPr>
              <w:jc w:val="center"/>
              <w:rPr>
                <w:rFonts w:ascii="宋体"/>
                <w:spacing w:val="50"/>
                <w:sz w:val="22"/>
                <w:szCs w:val="22"/>
              </w:rPr>
            </w:pPr>
          </w:p>
        </w:tc>
        <w:tc>
          <w:tcPr>
            <w:tcW w:w="1064" w:type="dxa"/>
            <w:gridSpan w:val="2"/>
            <w:vAlign w:val="center"/>
          </w:tcPr>
          <w:p w14:paraId="08A01926">
            <w:pPr>
              <w:jc w:val="center"/>
              <w:rPr>
                <w:rFonts w:ascii="宋体"/>
                <w:spacing w:val="50"/>
                <w:sz w:val="22"/>
                <w:szCs w:val="22"/>
              </w:rPr>
            </w:pPr>
          </w:p>
        </w:tc>
        <w:tc>
          <w:tcPr>
            <w:tcW w:w="1411" w:type="dxa"/>
            <w:tcBorders>
              <w:right w:val="single" w:color="auto" w:sz="12" w:space="0"/>
            </w:tcBorders>
            <w:vAlign w:val="center"/>
          </w:tcPr>
          <w:p w14:paraId="4485DB32">
            <w:pPr>
              <w:jc w:val="center"/>
              <w:rPr>
                <w:rFonts w:ascii="宋体"/>
                <w:spacing w:val="50"/>
                <w:sz w:val="22"/>
                <w:szCs w:val="22"/>
              </w:rPr>
            </w:pPr>
          </w:p>
        </w:tc>
      </w:tr>
      <w:tr w14:paraId="6D6050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8" w:hRule="atLeast"/>
          <w:jc w:val="center"/>
        </w:trPr>
        <w:tc>
          <w:tcPr>
            <w:tcW w:w="1580" w:type="dxa"/>
            <w:gridSpan w:val="2"/>
            <w:tcBorders>
              <w:top w:val="single" w:color="auto" w:sz="6" w:space="0"/>
              <w:left w:val="single" w:color="auto" w:sz="12" w:space="0"/>
              <w:bottom w:val="single" w:color="auto" w:sz="6" w:space="0"/>
              <w:right w:val="single" w:color="auto" w:sz="4" w:space="0"/>
            </w:tcBorders>
            <w:vAlign w:val="center"/>
          </w:tcPr>
          <w:p w14:paraId="50AEB0CD">
            <w:pPr>
              <w:jc w:val="center"/>
              <w:rPr>
                <w:rFonts w:ascii="宋体"/>
                <w:spacing w:val="100"/>
                <w:sz w:val="24"/>
              </w:rPr>
            </w:pPr>
            <w:r>
              <w:rPr>
                <w:rFonts w:hint="eastAsia" w:ascii="宋体"/>
                <w:spacing w:val="100"/>
                <w:sz w:val="24"/>
              </w:rPr>
              <w:t>编制</w:t>
            </w:r>
          </w:p>
        </w:tc>
        <w:tc>
          <w:tcPr>
            <w:tcW w:w="1465" w:type="dxa"/>
            <w:gridSpan w:val="3"/>
            <w:tcBorders>
              <w:top w:val="single" w:color="auto" w:sz="6" w:space="0"/>
              <w:left w:val="single" w:color="auto" w:sz="4" w:space="0"/>
              <w:bottom w:val="single" w:color="auto" w:sz="6" w:space="0"/>
              <w:right w:val="single" w:color="auto" w:sz="6" w:space="0"/>
            </w:tcBorders>
            <w:vAlign w:val="center"/>
          </w:tcPr>
          <w:p w14:paraId="66EA131C">
            <w:pPr>
              <w:jc w:val="center"/>
              <w:rPr>
                <w:rFonts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7E8E6CF7">
            <w:pPr>
              <w:jc w:val="center"/>
              <w:rPr>
                <w:rFonts w:ascii="宋体"/>
                <w:spacing w:val="100"/>
                <w:sz w:val="24"/>
              </w:rPr>
            </w:pPr>
            <w:r>
              <w:rPr>
                <w:rFonts w:hint="eastAsia" w:ascii="宋体"/>
                <w:spacing w:val="100"/>
                <w:sz w:val="24"/>
              </w:rPr>
              <w:t>校对</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26C6414E">
            <w:pPr>
              <w:jc w:val="center"/>
              <w:rPr>
                <w:rFonts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200BE340">
            <w:pPr>
              <w:jc w:val="center"/>
              <w:rPr>
                <w:rFonts w:ascii="宋体"/>
                <w:spacing w:val="100"/>
                <w:sz w:val="24"/>
              </w:rPr>
            </w:pPr>
            <w:r>
              <w:rPr>
                <w:rFonts w:hint="eastAsia" w:ascii="宋体"/>
                <w:spacing w:val="100"/>
                <w:sz w:val="24"/>
              </w:rPr>
              <w:t>审核</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523D483A">
            <w:pPr>
              <w:jc w:val="center"/>
              <w:rPr>
                <w:rFonts w:ascii="宋体"/>
                <w:spacing w:val="100"/>
                <w:sz w:val="24"/>
              </w:rPr>
            </w:pPr>
          </w:p>
        </w:tc>
      </w:tr>
      <w:tr w14:paraId="03A47C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580" w:type="dxa"/>
            <w:gridSpan w:val="2"/>
            <w:tcBorders>
              <w:top w:val="single" w:color="auto" w:sz="6" w:space="0"/>
              <w:left w:val="single" w:color="auto" w:sz="12" w:space="0"/>
              <w:bottom w:val="single" w:color="auto" w:sz="6" w:space="0"/>
              <w:right w:val="single" w:color="auto" w:sz="4" w:space="0"/>
            </w:tcBorders>
            <w:vAlign w:val="center"/>
          </w:tcPr>
          <w:p w14:paraId="777871A0">
            <w:pPr>
              <w:jc w:val="center"/>
              <w:rPr>
                <w:rFonts w:ascii="宋体"/>
                <w:spacing w:val="100"/>
                <w:sz w:val="24"/>
              </w:rPr>
            </w:pPr>
            <w:r>
              <w:rPr>
                <w:rFonts w:hint="eastAsia" w:ascii="宋体"/>
                <w:spacing w:val="100"/>
                <w:sz w:val="24"/>
              </w:rPr>
              <w:t>标准化</w:t>
            </w:r>
          </w:p>
        </w:tc>
        <w:tc>
          <w:tcPr>
            <w:tcW w:w="1465" w:type="dxa"/>
            <w:gridSpan w:val="3"/>
            <w:tcBorders>
              <w:top w:val="single" w:color="auto" w:sz="6" w:space="0"/>
              <w:left w:val="single" w:color="auto" w:sz="4" w:space="0"/>
              <w:bottom w:val="single" w:color="auto" w:sz="6" w:space="0"/>
              <w:right w:val="single" w:color="auto" w:sz="6" w:space="0"/>
            </w:tcBorders>
            <w:vAlign w:val="center"/>
          </w:tcPr>
          <w:p w14:paraId="63BF68D2">
            <w:pPr>
              <w:jc w:val="center"/>
              <w:rPr>
                <w:rFonts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21362406">
            <w:pPr>
              <w:jc w:val="center"/>
              <w:rPr>
                <w:rFonts w:ascii="宋体"/>
                <w:spacing w:val="100"/>
                <w:sz w:val="24"/>
              </w:rPr>
            </w:pPr>
            <w:r>
              <w:rPr>
                <w:rFonts w:hint="eastAsia" w:ascii="宋体"/>
                <w:spacing w:val="100"/>
                <w:sz w:val="24"/>
              </w:rPr>
              <w:t>批准</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1AF96D32">
            <w:pPr>
              <w:jc w:val="center"/>
              <w:rPr>
                <w:rFonts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4FEF4733">
            <w:pPr>
              <w:jc w:val="center"/>
              <w:rPr>
                <w:rFonts w:ascii="宋体"/>
                <w:spacing w:val="100"/>
                <w:sz w:val="24"/>
              </w:rPr>
            </w:pPr>
            <w:r>
              <w:rPr>
                <w:rFonts w:hint="eastAsia" w:ascii="宋体"/>
                <w:spacing w:val="100"/>
                <w:sz w:val="24"/>
              </w:rPr>
              <w:t>归档</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0E46FE82">
            <w:pPr>
              <w:jc w:val="center"/>
              <w:rPr>
                <w:rFonts w:ascii="宋体"/>
                <w:spacing w:val="100"/>
                <w:sz w:val="24"/>
              </w:rPr>
            </w:pPr>
          </w:p>
        </w:tc>
      </w:tr>
      <w:tr w14:paraId="3C6770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580" w:type="dxa"/>
            <w:gridSpan w:val="2"/>
            <w:tcBorders>
              <w:top w:val="single" w:color="auto" w:sz="6" w:space="0"/>
              <w:left w:val="single" w:color="auto" w:sz="12" w:space="0"/>
              <w:bottom w:val="single" w:color="auto" w:sz="12" w:space="0"/>
              <w:right w:val="single" w:color="auto" w:sz="4" w:space="0"/>
            </w:tcBorders>
            <w:vAlign w:val="center"/>
          </w:tcPr>
          <w:p w14:paraId="58F11AA1">
            <w:pPr>
              <w:jc w:val="center"/>
              <w:rPr>
                <w:rFonts w:hint="eastAsia" w:ascii="宋体" w:eastAsia="宋体"/>
                <w:spacing w:val="100"/>
                <w:sz w:val="24"/>
                <w:lang w:val="en-US" w:eastAsia="zh-CN"/>
              </w:rPr>
            </w:pPr>
            <w:r>
              <w:rPr>
                <w:rFonts w:hint="eastAsia" w:ascii="宋体"/>
                <w:spacing w:val="100"/>
                <w:sz w:val="24"/>
              </w:rPr>
              <w:t>会签</w:t>
            </w:r>
          </w:p>
        </w:tc>
        <w:tc>
          <w:tcPr>
            <w:tcW w:w="8140" w:type="dxa"/>
            <w:gridSpan w:val="12"/>
            <w:tcBorders>
              <w:top w:val="single" w:color="auto" w:sz="6" w:space="0"/>
              <w:left w:val="single" w:color="auto" w:sz="4" w:space="0"/>
              <w:bottom w:val="single" w:color="auto" w:sz="12" w:space="0"/>
              <w:right w:val="single" w:color="auto" w:sz="12" w:space="0"/>
            </w:tcBorders>
            <w:vAlign w:val="center"/>
          </w:tcPr>
          <w:p w14:paraId="3CA9F0ED">
            <w:pPr>
              <w:jc w:val="center"/>
              <w:rPr>
                <w:rFonts w:ascii="宋体"/>
                <w:spacing w:val="100"/>
                <w:sz w:val="24"/>
              </w:rPr>
            </w:pPr>
          </w:p>
        </w:tc>
      </w:tr>
    </w:tbl>
    <w:p w14:paraId="26257937">
      <w:pPr>
        <w:spacing w:before="312" w:beforeLines="100" w:after="312" w:afterLines="100" w:line="440" w:lineRule="exact"/>
        <w:jc w:val="left"/>
        <w:rPr>
          <w:rFonts w:hint="eastAsia" w:ascii="黑体" w:hAnsi="黑体" w:eastAsia="黑体" w:cs="黑体"/>
          <w:sz w:val="28"/>
          <w:lang w:val="en-US" w:eastAsia="zh-CN"/>
        </w:rPr>
        <w:sectPr>
          <w:headerReference r:id="rId3" w:type="default"/>
          <w:type w:val="continuous"/>
          <w:pgSz w:w="11906" w:h="16838"/>
          <w:pgMar w:top="1440" w:right="1797" w:bottom="1440" w:left="1797" w:header="0" w:footer="668" w:gutter="0"/>
          <w:cols w:space="720" w:num="1"/>
          <w:docGrid w:type="lines" w:linePitch="326" w:charSpace="0"/>
        </w:sectPr>
      </w:pPr>
    </w:p>
    <w:p w14:paraId="4A5262DF">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1 目的</w:t>
      </w:r>
    </w:p>
    <w:p w14:paraId="34B81293">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本模块开发计划旨在通过勤哲Excel服务器平台，设计、构建、测试并部署一个高效、可维护的应用功能模块，用以满足特定的业务管理需求。主要目的包括：</w:t>
      </w:r>
    </w:p>
    <w:p w14:paraId="336B4775">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a)</w:t>
      </w:r>
      <w:r>
        <w:rPr>
          <w:rFonts w:hint="eastAsia" w:ascii="Times New Roman" w:hAnsi="Times New Roman" w:eastAsiaTheme="minorEastAsia" w:cstheme="minorBidi"/>
          <w:kern w:val="2"/>
          <w:sz w:val="28"/>
          <w:lang w:val="en-US" w:eastAsia="zh-CN" w:bidi="ar-SA"/>
        </w:rPr>
        <w:t>解决业务痛点：针对当前存在的具体业务痛点，提供系统化解决方案；</w:t>
      </w:r>
    </w:p>
    <w:p w14:paraId="23014947">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b)</w:t>
      </w:r>
      <w:r>
        <w:rPr>
          <w:rFonts w:hint="eastAsia" w:ascii="Times New Roman" w:hAnsi="Times New Roman" w:eastAsiaTheme="minorEastAsia" w:cstheme="minorBidi"/>
          <w:kern w:val="2"/>
          <w:sz w:val="28"/>
          <w:lang w:val="en-US" w:eastAsia="zh-CN" w:bidi="ar-SA"/>
        </w:rPr>
        <w:t>提升运营效率：自动化数据录入、流转、计算与统计分析过程，减少人工操作环节，缩短业务处理周期；</w:t>
      </w:r>
    </w:p>
    <w:p w14:paraId="503F923E">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c)</w:t>
      </w:r>
      <w:r>
        <w:rPr>
          <w:rFonts w:hint="eastAsia" w:ascii="Times New Roman" w:hAnsi="Times New Roman" w:eastAsiaTheme="minorEastAsia" w:cstheme="minorBidi"/>
          <w:kern w:val="2"/>
          <w:sz w:val="28"/>
          <w:lang w:val="en-US" w:eastAsia="zh-CN" w:bidi="ar-SA"/>
        </w:rPr>
        <w:t>保障数据质量：通过规范化的表单设计、数据校验规则（必填、格式、唯一性）及操作权限控制，确保数据的准确性、完整性和一致性；</w:t>
      </w:r>
    </w:p>
    <w:p w14:paraId="6CC4468D">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d)</w:t>
      </w:r>
      <w:r>
        <w:rPr>
          <w:rFonts w:hint="eastAsia" w:ascii="Times New Roman" w:hAnsi="Times New Roman" w:eastAsiaTheme="minorEastAsia" w:cstheme="minorBidi"/>
          <w:kern w:val="2"/>
          <w:sz w:val="28"/>
          <w:lang w:val="en-US" w:eastAsia="zh-CN" w:bidi="ar-SA"/>
        </w:rPr>
        <w:t>实现流程管控：对于需要审批或多人协作的业务流程（如：产品制造大纲发布、工装委外加工等），实现电子化、可视化的流程管理，明确责任，提高透明度；</w:t>
      </w:r>
    </w:p>
    <w:p w14:paraId="75F701EE">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e)</w:t>
      </w:r>
      <w:r>
        <w:rPr>
          <w:rFonts w:hint="eastAsia" w:ascii="Times New Roman" w:hAnsi="Times New Roman" w:eastAsiaTheme="minorEastAsia" w:cstheme="minorBidi"/>
          <w:kern w:val="2"/>
          <w:sz w:val="28"/>
          <w:lang w:val="en-US" w:eastAsia="zh-CN" w:bidi="ar-SA"/>
        </w:rPr>
        <w:t>降低维护成本：利用勤哲平台的低代码/配置化特性，在满足核心需求的前提下，降低纯代码开发的复杂性与维护难度；</w:t>
      </w:r>
    </w:p>
    <w:p w14:paraId="786AC743">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f)</w:t>
      </w:r>
      <w:r>
        <w:rPr>
          <w:rFonts w:hint="eastAsia" w:ascii="Times New Roman" w:hAnsi="Times New Roman" w:eastAsiaTheme="minorEastAsia" w:cstheme="minorBidi"/>
          <w:kern w:val="2"/>
          <w:sz w:val="28"/>
          <w:lang w:val="en-US" w:eastAsia="zh-CN" w:bidi="ar-SA"/>
        </w:rPr>
        <w:t>构建扩展基础：作为企业信息化系统的一部分，为后续可能的系统集成（如：与ERP/CRM/BI接口）或功能扩展预留基础。</w:t>
      </w:r>
    </w:p>
    <w:p w14:paraId="250BB823">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2 适用范围</w:t>
      </w:r>
    </w:p>
    <w:p w14:paraId="5C341D39">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a)数据建模：</w:t>
      </w:r>
    </w:p>
    <w:p w14:paraId="5651FE41">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设计并创建支撑本模块业务功能所需的数据库表（主表、明细表）；</w:t>
      </w:r>
    </w:p>
    <w:p w14:paraId="2293E8B2">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定义数据字段（名称、类型、长度、约束、默认值）；</w:t>
      </w:r>
    </w:p>
    <w:p w14:paraId="1F52A96A">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确定表间关系（如主-从关系1:N）；</w:t>
      </w:r>
    </w:p>
    <w:p w14:paraId="413A1C8D">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初始化必要的常量数据（基础档案如部门、用户、角色对照及产品图号、工装序列号等）。</w:t>
      </w:r>
    </w:p>
    <w:p w14:paraId="6D662D47">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b)模板（表单）设计与实现：</w:t>
      </w:r>
    </w:p>
    <w:p w14:paraId="03E3F7C1">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设计核心业务表单的界面布局；</w:t>
      </w:r>
    </w:p>
    <w:p w14:paraId="5BA45D6F">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在勤哲设计器中完成表单控件的绘制、绑定与配置；</w:t>
      </w:r>
    </w:p>
    <w:p w14:paraId="4BA15F9D">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建立并配置表间公式（用于数据自动提取、回填、关联操作）；</w:t>
      </w:r>
    </w:p>
    <w:p w14:paraId="08DDE048">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设置字段级的数据输入规范（下拉列表、参照、数据有效性）；</w:t>
      </w:r>
    </w:p>
    <w:p w14:paraId="42F1E041">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定义操作按钮（新建、暂存、提交、查询、打印等）及其基本功能。</w:t>
      </w:r>
    </w:p>
    <w:p w14:paraId="5434FCFF">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c)工作流设计与实现：</w:t>
      </w:r>
    </w:p>
    <w:p w14:paraId="0FDAA53F">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定义流程节点、流转条件（基于字段值）、处理角色或用户；</w:t>
      </w:r>
    </w:p>
    <w:p w14:paraId="520216DC">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配置流程相关操作按钮（提交、退回、查看流程图）；</w:t>
      </w:r>
    </w:p>
    <w:p w14:paraId="3533DFDF">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设定待办通知方式（如系统内部待办、邮件提醒）。</w:t>
      </w:r>
    </w:p>
    <w:p w14:paraId="5CB0DC04">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d)权限控制配置：</w:t>
      </w:r>
    </w:p>
    <w:p w14:paraId="07F572D1">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定义可访问本模块模板的角色；</w:t>
      </w:r>
    </w:p>
    <w:p w14:paraId="6E426030">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配置角色对模板各字段、操作按钮的访问权限（增删改查、打印、导出）；</w:t>
      </w:r>
    </w:p>
    <w:p w14:paraId="03710E59">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配置工作流步骤的处理人权限。</w:t>
      </w:r>
    </w:p>
    <w:p w14:paraId="23401804">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e)报表设计与实现：</w:t>
      </w:r>
    </w:p>
    <w:p w14:paraId="6CE62752">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设计并实现基于本模块数据的统计查询表单或简单报表（如数据透视表、图表）。</w:t>
      </w:r>
    </w:p>
    <w:p w14:paraId="547F54C5">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f)测试与部署：</w:t>
      </w:r>
    </w:p>
    <w:p w14:paraId="33E3FDA2">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组织在开发、测试环境中进行单元测试、集成测试、权限测试；</w:t>
      </w:r>
    </w:p>
    <w:p w14:paraId="518F755D">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组织灰度测试；</w:t>
      </w:r>
    </w:p>
    <w:p w14:paraId="4C85F130">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修复测试过程中发现的缺陷（Bug）；</w:t>
      </w:r>
    </w:p>
    <w:p w14:paraId="4982A743">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制定并执行历史数据迁移方案（如需要）；</w:t>
      </w:r>
    </w:p>
    <w:p w14:paraId="3457939A">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将最终确认的模块（模板、工作流）发布到正式生产环境；</w:t>
      </w:r>
    </w:p>
    <w:p w14:paraId="1EC641C1">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为用户配置必要的角色与权限。</w:t>
      </w:r>
    </w:p>
    <w:p w14:paraId="36D5558B">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g)基础文档：</w:t>
      </w:r>
    </w:p>
    <w:p w14:paraId="313F7377">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提供核心模块的用户操作指南（关键操作截图说明）；</w:t>
      </w:r>
    </w:p>
    <w:p w14:paraId="6A3D5805">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提供简要的技术设计说明或注释（供后续维护参考）；</w:t>
      </w:r>
    </w:p>
    <w:p w14:paraId="5563ACDA">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提供测试报告。</w:t>
      </w:r>
    </w:p>
    <w:p w14:paraId="6BEAF8A4">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eastAsia" w:ascii="Times New Roman" w:hAnsi="Times New Roman" w:eastAsiaTheme="minorEastAsia" w:cstheme="minorBidi"/>
          <w:kern w:val="2"/>
          <w:sz w:val="28"/>
          <w:lang w:val="en-US" w:eastAsia="zh-CN" w:bidi="ar-SA"/>
        </w:rPr>
        <w:t>本模块不包含的内容</w:t>
      </w:r>
    </w:p>
    <w:p w14:paraId="4504AE56">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a)</w:t>
      </w:r>
      <w:r>
        <w:rPr>
          <w:rFonts w:hint="eastAsia" w:ascii="Times New Roman" w:hAnsi="Times New Roman" w:eastAsiaTheme="minorEastAsia" w:cstheme="minorBidi"/>
          <w:kern w:val="2"/>
          <w:sz w:val="28"/>
          <w:lang w:val="en-US" w:eastAsia="zh-CN" w:bidi="ar-SA"/>
        </w:rPr>
        <w:t>勤哲服务器/平台自身的安装与基础配置：假设勤哲Excel服务器软件（包括数据库服务器）已正常运行并完成基础环境配置（如组织机构、基础角色定义）。</w:t>
      </w:r>
    </w:p>
    <w:p w14:paraId="5FA0F1CE">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b)</w:t>
      </w:r>
      <w:r>
        <w:rPr>
          <w:rFonts w:hint="eastAsia" w:ascii="Times New Roman" w:hAnsi="Times New Roman" w:eastAsiaTheme="minorEastAsia" w:cstheme="minorBidi"/>
          <w:kern w:val="2"/>
          <w:sz w:val="28"/>
          <w:lang w:val="en-US" w:eastAsia="zh-CN" w:bidi="ar-SA"/>
        </w:rPr>
        <w:t>基础业务数据（主数据）的长期维护：模块所需的基础常量表（如工序清单等）初始导入由本模块负责，但后续的日常增删改维护属于持续的系统管理工作，不单独包含在某次开发范围内。</w:t>
      </w:r>
    </w:p>
    <w:p w14:paraId="3C696080">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c)</w:t>
      </w:r>
      <w:r>
        <w:rPr>
          <w:rFonts w:hint="eastAsia" w:ascii="Times New Roman" w:hAnsi="Times New Roman" w:eastAsiaTheme="minorEastAsia" w:cstheme="minorBidi"/>
          <w:kern w:val="2"/>
          <w:sz w:val="28"/>
          <w:lang w:val="en-US" w:eastAsia="zh-CN" w:bidi="ar-SA"/>
        </w:rPr>
        <w:t>复杂的第三方系统深度集成：如需与特定的ERP/MES/WMS等系统进行双向复杂数据同步或业务触发集成，需独立评估并作为单独项目或后续扩展阶段实施。本模块仅包含简单的API调用获取数据或通知（仅限于脚本能力范围内且已有接口）。</w:t>
      </w:r>
    </w:p>
    <w:p w14:paraId="31A7E139">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d)</w:t>
      </w:r>
      <w:r>
        <w:rPr>
          <w:rFonts w:hint="eastAsia" w:ascii="Times New Roman" w:hAnsi="Times New Roman" w:eastAsiaTheme="minorEastAsia" w:cstheme="minorBidi"/>
          <w:kern w:val="2"/>
          <w:sz w:val="28"/>
          <w:lang w:val="en-US" w:eastAsia="zh-CN" w:bidi="ar-SA"/>
        </w:rPr>
        <w:t>用户设备环境适配：不包含解决最终用户PC上Excel版本、操作系统等环境问题。用户需满足勤哲建议的系统运行环境要求。</w:t>
      </w:r>
    </w:p>
    <w:p w14:paraId="10780F91">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e)</w:t>
      </w:r>
      <w:r>
        <w:rPr>
          <w:rFonts w:hint="eastAsia" w:ascii="Times New Roman" w:hAnsi="Times New Roman" w:eastAsiaTheme="minorEastAsia" w:cstheme="minorBidi"/>
          <w:kern w:val="2"/>
          <w:sz w:val="28"/>
          <w:lang w:val="en-US" w:eastAsia="zh-CN" w:bidi="ar-SA"/>
        </w:rPr>
        <w:t>大规模的性能调优与架构改造：仅针对本模块自身操作进行基本性能优化（如索引、查询优化），不包括对勤哲整体系统或底层数据库的高级性能调优或架构重构。</w:t>
      </w:r>
    </w:p>
    <w:p w14:paraId="68F9E891">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f)</w:t>
      </w:r>
      <w:r>
        <w:rPr>
          <w:rFonts w:hint="eastAsia" w:ascii="Times New Roman" w:hAnsi="Times New Roman" w:eastAsiaTheme="minorEastAsia" w:cstheme="minorBidi"/>
          <w:kern w:val="2"/>
          <w:sz w:val="28"/>
          <w:lang w:val="en-US" w:eastAsia="zh-CN" w:bidi="ar-SA"/>
        </w:rPr>
        <w:t>超出模块边界的数据分析/决策模型：不包括在勤哲之外或需要高级BI工具构建的复杂数据挖掘、预测模型等。</w:t>
      </w:r>
    </w:p>
    <w:p w14:paraId="565BFA09">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g)</w:t>
      </w:r>
      <w:r>
        <w:rPr>
          <w:rFonts w:hint="eastAsia" w:ascii="Times New Roman" w:hAnsi="Times New Roman" w:eastAsiaTheme="minorEastAsia" w:cstheme="minorBidi"/>
          <w:kern w:val="2"/>
          <w:sz w:val="28"/>
          <w:lang w:val="en-US" w:eastAsia="zh-CN" w:bidi="ar-SA"/>
        </w:rPr>
        <w:t>长期运维与技术支持：本模块开发包含部署上线，但后续的日常运维监控、备份恢复、故障处理、用户问题解答支持属于独立的运维业务范围。</w:t>
      </w:r>
    </w:p>
    <w:p w14:paraId="1E3FC43A">
      <w:pPr>
        <w:widowControl w:val="0"/>
        <w:spacing w:line="440" w:lineRule="exact"/>
        <w:ind w:firstLine="560" w:firstLineChars="200"/>
        <w:jc w:val="both"/>
        <w:rPr>
          <w:rFonts w:hint="eastAsia" w:ascii="Times New Roman" w:hAnsi="Times New Roman" w:eastAsiaTheme="minorEastAsia" w:cstheme="minorBidi"/>
          <w:kern w:val="2"/>
          <w:sz w:val="28"/>
          <w:lang w:val="en-US" w:eastAsia="zh-CN" w:bidi="ar-SA"/>
        </w:rPr>
      </w:pPr>
      <w:r>
        <w:rPr>
          <w:rFonts w:hint="default" w:ascii="Times New Roman" w:hAnsi="Times New Roman" w:eastAsiaTheme="minorEastAsia" w:cstheme="minorBidi"/>
          <w:kern w:val="2"/>
          <w:sz w:val="28"/>
          <w:lang w:val="en-US" w:eastAsia="zh-CN" w:bidi="ar-SA"/>
        </w:rPr>
        <w:t>h)</w:t>
      </w:r>
      <w:r>
        <w:rPr>
          <w:rFonts w:hint="eastAsia" w:ascii="Times New Roman" w:hAnsi="Times New Roman" w:eastAsiaTheme="minorEastAsia" w:cstheme="minorBidi"/>
          <w:kern w:val="2"/>
          <w:sz w:val="28"/>
          <w:lang w:val="en-US" w:eastAsia="zh-CN" w:bidi="ar-SA"/>
        </w:rPr>
        <w:t>大规模的用户操作培训：开发包含基础用户操作手册的编写，但不包含详细的、分批次、现场的全面用户培训工作。</w:t>
      </w:r>
    </w:p>
    <w:p w14:paraId="69783BB1">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3 术语和定义</w:t>
      </w:r>
    </w:p>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6790"/>
      </w:tblGrid>
      <w:tr w14:paraId="7E71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58008E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术语</w:t>
            </w:r>
          </w:p>
        </w:tc>
        <w:tc>
          <w:tcPr>
            <w:tcW w:w="3981" w:type="pct"/>
          </w:tcPr>
          <w:p w14:paraId="285921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定义</w:t>
            </w:r>
          </w:p>
        </w:tc>
      </w:tr>
      <w:tr w14:paraId="3D0E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0235E78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模块</w:t>
            </w:r>
          </w:p>
        </w:tc>
        <w:tc>
          <w:tcPr>
            <w:tcW w:w="3981" w:type="pct"/>
          </w:tcPr>
          <w:p w14:paraId="68FFEC0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本项目中特指在勤哲Excel服务器上开发的、旨在解决特定业务问题或实现特定管理功能的一个相对独立的子应用单元。通常由一个或多个核心表单模板及其相关的流程、权限、报表组成。</w:t>
            </w:r>
          </w:p>
        </w:tc>
      </w:tr>
      <w:tr w14:paraId="62907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7BCF3D9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勤哲Excel服务器</w:t>
            </w:r>
          </w:p>
        </w:tc>
        <w:tc>
          <w:tcPr>
            <w:tcW w:w="3981" w:type="pct"/>
          </w:tcPr>
          <w:p w14:paraId="587A300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本系统使用的核心平台软件，提供数据管理、表单设计、工作流引擎、权限控制等功能，允许基于Excel界面构建企业信息系统。简称“勤哲”或“ESS”。</w:t>
            </w:r>
          </w:p>
        </w:tc>
      </w:tr>
      <w:tr w14:paraId="29F58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2E2E2EE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模板</w:t>
            </w:r>
          </w:p>
        </w:tc>
        <w:tc>
          <w:tcPr>
            <w:tcW w:w="3981" w:type="pct"/>
          </w:tcPr>
          <w:p w14:paraId="3CC9EF7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勤哲设计器中的核心设计对象，定义了数据存储结构（主表、明细表）和用户交互界面（Excel表）。一个模板对应一个具体的业务表单（如“XX大纲”、“XX申请”）。</w:t>
            </w:r>
          </w:p>
        </w:tc>
      </w:tr>
      <w:tr w14:paraId="760B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140D57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主表</w:t>
            </w:r>
          </w:p>
        </w:tc>
        <w:tc>
          <w:tcPr>
            <w:tcW w:w="3981" w:type="pct"/>
          </w:tcPr>
          <w:p w14:paraId="5EF19C7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模板中存储主要信息的数据库表，通常每条主表记录代表一个业务单据或实体。每个模板至少包含一个主表。</w:t>
            </w:r>
          </w:p>
        </w:tc>
      </w:tr>
      <w:tr w14:paraId="2AEC6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765DD6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rPr>
            </w:pPr>
            <w:r>
              <w:rPr>
                <w:rFonts w:hint="eastAsia" w:asciiTheme="minorEastAsia" w:hAnsiTheme="minorEastAsia" w:eastAsiaTheme="minorEastAsia"/>
                <w:bCs/>
                <w:sz w:val="24"/>
                <w:szCs w:val="24"/>
              </w:rPr>
              <w:t>明细表</w:t>
            </w:r>
          </w:p>
        </w:tc>
        <w:tc>
          <w:tcPr>
            <w:tcW w:w="3981" w:type="pct"/>
          </w:tcPr>
          <w:p w14:paraId="08F7F13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与主表关联的、存储行项目信息的数据库表（1:N关系）。例如派工中的产品或工装图号、申请单中的明细项。</w:t>
            </w:r>
          </w:p>
        </w:tc>
      </w:tr>
      <w:tr w14:paraId="095F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3C7B7A0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表间公式</w:t>
            </w:r>
          </w:p>
        </w:tc>
        <w:tc>
          <w:tcPr>
            <w:tcW w:w="3981" w:type="pct"/>
          </w:tcPr>
          <w:p w14:paraId="6165366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勤哲的核心功能，用于实现不同表（甚至跨模板）之间的数据关联操作。主要包括：</w:t>
            </w:r>
          </w:p>
          <w:p w14:paraId="0BD1864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提取：从其他表按条件读取数据填充当前表单；</w:t>
            </w:r>
          </w:p>
          <w:p w14:paraId="5CA99C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填写：将当前表单数据写入目标表；</w:t>
            </w:r>
          </w:p>
          <w:p w14:paraId="26840A3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更新：根据条件修改目标表记录；</w:t>
            </w:r>
          </w:p>
          <w:p w14:paraId="680455D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删除：根据条件删除目标表记录。</w:t>
            </w:r>
          </w:p>
        </w:tc>
      </w:tr>
      <w:tr w14:paraId="07FA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0B0616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数据规范</w:t>
            </w:r>
          </w:p>
        </w:tc>
        <w:tc>
          <w:tcPr>
            <w:tcW w:w="3981" w:type="pct"/>
          </w:tcPr>
          <w:p w14:paraId="03A910E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对模板字段定义的数据输入规则，包括：数据类型（文本、数字、日期）、数据长度、是否必填、输入范围、唯一性约束以及使用下拉列表、树形列表、参照选择等方式约束用户输入。</w:t>
            </w:r>
          </w:p>
        </w:tc>
      </w:tr>
      <w:tr w14:paraId="55E8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1C24677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工作流</w:t>
            </w:r>
          </w:p>
        </w:tc>
        <w:tc>
          <w:tcPr>
            <w:tcW w:w="3981" w:type="pct"/>
          </w:tcPr>
          <w:p w14:paraId="3BA2216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在勤哲中定义的、针对特定模板的业务处理流程模型。包含节点（如启动、办理步骤、结束）、流转路径、处理人（角色/用户）、流转条件（规则）和待办通知。</w:t>
            </w:r>
          </w:p>
        </w:tc>
      </w:tr>
      <w:tr w14:paraId="1EF4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3CC281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角色</w:t>
            </w:r>
          </w:p>
        </w:tc>
        <w:tc>
          <w:tcPr>
            <w:tcW w:w="3981" w:type="pct"/>
          </w:tcPr>
          <w:p w14:paraId="0CFB478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在勤哲中定义的一组操作权限和流程处理权限的集合。用户被分配到角色以继承其权限。权限包括对模板的访问、字段读写、按钮操作以及流程步骤的处理资格。</w:t>
            </w:r>
          </w:p>
        </w:tc>
      </w:tr>
      <w:tr w14:paraId="742A0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6B48115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事件</w:t>
            </w:r>
          </w:p>
        </w:tc>
        <w:tc>
          <w:tcPr>
            <w:tcW w:w="3981" w:type="pct"/>
          </w:tcPr>
          <w:p w14:paraId="46CE51E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在勤哲模板或工作流运行过程中发生的特定时刻点（如“表单打开前”、“字段值发生变化后”、“按钮被点击时”、“流程步骤进入前”）。脚本可以挂接到这些事件上执行。</w:t>
            </w:r>
          </w:p>
        </w:tc>
      </w:tr>
      <w:tr w14:paraId="11722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4BD2D8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引用</w:t>
            </w:r>
          </w:p>
        </w:tc>
        <w:tc>
          <w:tcPr>
            <w:tcW w:w="3981" w:type="pct"/>
          </w:tcPr>
          <w:p w14:paraId="72D932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一种特殊的“数据规范”类型，允许用户在填写表单字段时，从一个预设的列表（通常是另一个模板的主表数据）中选择值。实现动态、一致的数据录入。</w:t>
            </w:r>
          </w:p>
        </w:tc>
      </w:tr>
      <w:tr w14:paraId="7C3F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3517E60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发布</w:t>
            </w:r>
          </w:p>
        </w:tc>
        <w:tc>
          <w:tcPr>
            <w:tcW w:w="3981" w:type="pct"/>
          </w:tcPr>
          <w:p w14:paraId="70E0D45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在勤哲设计器中将设计完成的模板、工作流部署到运行服务器的过程。发布后用户才能访问或使用该模块。</w:t>
            </w:r>
          </w:p>
        </w:tc>
      </w:tr>
      <w:tr w14:paraId="0724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2C364D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rPr>
            </w:pPr>
            <w:r>
              <w:rPr>
                <w:rFonts w:hint="eastAsia" w:asciiTheme="minorEastAsia" w:hAnsiTheme="minorEastAsia" w:eastAsiaTheme="minorEastAsia"/>
                <w:bCs/>
                <w:sz w:val="24"/>
                <w:szCs w:val="24"/>
              </w:rPr>
              <w:t>测试环境</w:t>
            </w:r>
          </w:p>
        </w:tc>
        <w:tc>
          <w:tcPr>
            <w:tcW w:w="3981" w:type="pct"/>
          </w:tcPr>
          <w:p w14:paraId="3A526CC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一套独立于生产系统的勤哲环境（通常包含数据库、ESS服务端），用于开发阶段进行模块功能测试、权限验证和性能评估。</w:t>
            </w:r>
          </w:p>
        </w:tc>
      </w:tr>
      <w:tr w14:paraId="6276F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780DCC8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生产环境</w:t>
            </w:r>
          </w:p>
        </w:tc>
        <w:tc>
          <w:tcPr>
            <w:tcW w:w="3981" w:type="pct"/>
          </w:tcPr>
          <w:p w14:paraId="446B46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最终用户实际使用的、承载正式业务数据的勤哲系统环境。</w:t>
            </w:r>
          </w:p>
        </w:tc>
      </w:tr>
      <w:tr w14:paraId="5C8C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007362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上线</w:t>
            </w:r>
          </w:p>
        </w:tc>
        <w:tc>
          <w:tcPr>
            <w:tcW w:w="3981" w:type="pct"/>
          </w:tcPr>
          <w:p w14:paraId="65A0954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指模块完成测试、修复Bug，确认无误后，在生产环境中正式发布并开放给最终用户开始使用的过程。</w:t>
            </w:r>
          </w:p>
        </w:tc>
      </w:tr>
      <w:tr w14:paraId="2E139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76842B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rPr>
            </w:pPr>
            <w:r>
              <w:rPr>
                <w:rFonts w:hint="eastAsia" w:asciiTheme="minorEastAsia" w:hAnsiTheme="minorEastAsia" w:eastAsiaTheme="minorEastAsia"/>
                <w:bCs/>
                <w:sz w:val="24"/>
                <w:szCs w:val="24"/>
                <w:lang w:eastAsia="zh-CN"/>
              </w:rPr>
              <w:t>灰度测试</w:t>
            </w:r>
          </w:p>
        </w:tc>
        <w:tc>
          <w:tcPr>
            <w:tcW w:w="3981" w:type="pct"/>
          </w:tcPr>
          <w:p w14:paraId="4798056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asciiTheme="minorEastAsia" w:hAnsiTheme="minorEastAsia" w:eastAsiaTheme="minorEastAsia"/>
                <w:bCs/>
                <w:sz w:val="24"/>
                <w:szCs w:val="24"/>
                <w:lang w:eastAsia="zh-CN"/>
              </w:rPr>
              <w:t>在</w:t>
            </w:r>
            <w:r>
              <w:rPr>
                <w:rFonts w:hint="eastAsia" w:asciiTheme="minorEastAsia" w:hAnsiTheme="minorEastAsia" w:eastAsiaTheme="minorEastAsia"/>
                <w:bCs/>
                <w:sz w:val="24"/>
                <w:szCs w:val="24"/>
                <w:lang w:eastAsia="zh-CN"/>
              </w:rPr>
              <w:t>模块</w:t>
            </w:r>
            <w:r>
              <w:rPr>
                <w:rFonts w:asciiTheme="minorEastAsia" w:hAnsiTheme="minorEastAsia" w:eastAsiaTheme="minorEastAsia"/>
                <w:bCs/>
                <w:sz w:val="24"/>
                <w:szCs w:val="24"/>
                <w:lang w:eastAsia="zh-CN"/>
              </w:rPr>
              <w:t>正式发布前，选择特定人群试用，逐步扩大其试用者数量，以便及时发现和纠正其中的问题</w:t>
            </w:r>
            <w:r>
              <w:rPr>
                <w:rFonts w:hint="eastAsia" w:asciiTheme="minorEastAsia" w:hAnsiTheme="minorEastAsia" w:eastAsiaTheme="minorEastAsia"/>
                <w:bCs/>
                <w:sz w:val="24"/>
                <w:szCs w:val="24"/>
                <w:lang w:eastAsia="zh-CN"/>
              </w:rPr>
              <w:t>。</w:t>
            </w:r>
          </w:p>
        </w:tc>
      </w:tr>
      <w:tr w14:paraId="2A1B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5BFF94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rPr>
            </w:pPr>
            <w:r>
              <w:rPr>
                <w:rFonts w:hint="eastAsia" w:asciiTheme="minorEastAsia" w:hAnsiTheme="minorEastAsia" w:eastAsiaTheme="minorEastAsia"/>
                <w:bCs/>
                <w:sz w:val="24"/>
                <w:szCs w:val="24"/>
              </w:rPr>
              <w:t>单元测试</w:t>
            </w:r>
          </w:p>
        </w:tc>
        <w:tc>
          <w:tcPr>
            <w:tcW w:w="3981" w:type="pct"/>
          </w:tcPr>
          <w:p w14:paraId="76E77FB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针对模块最小可测试单元（如单个字段输入校验、一个表间公式逻辑、一个按钮功能）进行的验证性测试。</w:t>
            </w:r>
          </w:p>
        </w:tc>
      </w:tr>
      <w:tr w14:paraId="0B1A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4590F5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集成测试</w:t>
            </w:r>
          </w:p>
        </w:tc>
        <w:tc>
          <w:tcPr>
            <w:tcW w:w="3981" w:type="pct"/>
          </w:tcPr>
          <w:p w14:paraId="6523024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将模块的各个组成部分（表单、流程、脚本、权限）组合在一起，模拟真实业务流程和数据交互进行的测试，验证整体功能和业务规则的实现是否符合预期。</w:t>
            </w:r>
          </w:p>
        </w:tc>
      </w:tr>
      <w:tr w14:paraId="2FE23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3BC205F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rPr>
              <w:t>数据迁移</w:t>
            </w:r>
          </w:p>
        </w:tc>
        <w:tc>
          <w:tcPr>
            <w:tcW w:w="3981" w:type="pct"/>
          </w:tcPr>
          <w:p w14:paraId="1D6B13C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Cs/>
                <w:sz w:val="24"/>
                <w:szCs w:val="24"/>
                <w:lang w:eastAsia="zh-CN"/>
              </w:rPr>
            </w:pPr>
            <w:r>
              <w:rPr>
                <w:rFonts w:hint="eastAsia" w:asciiTheme="minorEastAsia" w:hAnsiTheme="minorEastAsia" w:eastAsiaTheme="minorEastAsia"/>
                <w:bCs/>
                <w:sz w:val="24"/>
                <w:szCs w:val="24"/>
                <w:lang w:eastAsia="zh-CN"/>
              </w:rPr>
              <w:t>将旧系统（如Excel文件、旧的数据库或其他系统）中与本模块相关的历史数据，按照规定的格式和映射关系，导入到勤哲模块所对应的新数据库表中的过程。</w:t>
            </w:r>
          </w:p>
        </w:tc>
      </w:tr>
    </w:tbl>
    <w:p w14:paraId="6096BBCE">
      <w:pPr>
        <w:spacing w:before="312" w:beforeLines="100" w:after="312" w:afterLines="100" w:line="440" w:lineRule="exact"/>
        <w:jc w:val="left"/>
        <w:rPr>
          <w:rFonts w:hint="eastAsia" w:ascii="黑体" w:hAnsi="黑体" w:eastAsia="黑体" w:cs="黑体"/>
          <w:sz w:val="28"/>
          <w:lang w:val="en-US" w:eastAsia="zh-CN"/>
        </w:rPr>
      </w:pPr>
    </w:p>
    <w:p w14:paraId="362D5FD7">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4 职责和权限</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2301"/>
        <w:gridCol w:w="4703"/>
      </w:tblGrid>
      <w:tr w14:paraId="5519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blHeader/>
          <w:jc w:val="center"/>
        </w:trPr>
        <w:tc>
          <w:tcPr>
            <w:tcW w:w="892" w:type="pct"/>
            <w:vAlign w:val="center"/>
          </w:tcPr>
          <w:p w14:paraId="05C27960">
            <w:pPr>
              <w:adjustRightInd w:val="0"/>
              <w:snapToGrid w:val="0"/>
              <w:jc w:val="center"/>
              <w:rPr>
                <w:rFonts w:hint="eastAsia" w:asciiTheme="minorEastAsia" w:hAnsiTheme="minorEastAsia" w:eastAsiaTheme="minorEastAsia"/>
                <w:bCs/>
                <w:color w:val="000000"/>
                <w:sz w:val="24"/>
                <w:szCs w:val="24"/>
              </w:rPr>
            </w:pPr>
            <w:r>
              <w:rPr>
                <w:rFonts w:hint="eastAsia" w:asciiTheme="minorEastAsia" w:hAnsiTheme="minorEastAsia" w:eastAsiaTheme="minorEastAsia"/>
                <w:bCs/>
                <w:color w:val="000000"/>
                <w:sz w:val="24"/>
                <w:szCs w:val="24"/>
              </w:rPr>
              <w:t>部门</w:t>
            </w:r>
          </w:p>
        </w:tc>
        <w:tc>
          <w:tcPr>
            <w:tcW w:w="1349" w:type="pct"/>
            <w:vAlign w:val="center"/>
          </w:tcPr>
          <w:p w14:paraId="10B7092E">
            <w:pPr>
              <w:adjustRightInd w:val="0"/>
              <w:snapToGrid w:val="0"/>
              <w:jc w:val="center"/>
              <w:rPr>
                <w:rFonts w:hint="eastAsia" w:asciiTheme="minorEastAsia" w:hAnsiTheme="minorEastAsia" w:eastAsiaTheme="minorEastAsia"/>
                <w:bCs/>
                <w:color w:val="000000"/>
                <w:sz w:val="24"/>
                <w:szCs w:val="24"/>
              </w:rPr>
            </w:pPr>
            <w:r>
              <w:rPr>
                <w:rFonts w:hint="eastAsia" w:asciiTheme="minorEastAsia" w:hAnsiTheme="minorEastAsia" w:eastAsiaTheme="minorEastAsia"/>
                <w:bCs/>
                <w:color w:val="000000"/>
                <w:sz w:val="24"/>
                <w:szCs w:val="24"/>
              </w:rPr>
              <w:t>主要职责描述</w:t>
            </w:r>
          </w:p>
        </w:tc>
        <w:tc>
          <w:tcPr>
            <w:tcW w:w="2758" w:type="pct"/>
            <w:vAlign w:val="center"/>
          </w:tcPr>
          <w:p w14:paraId="58E7F11E">
            <w:pPr>
              <w:adjustRightInd w:val="0"/>
              <w:snapToGrid w:val="0"/>
              <w:jc w:val="center"/>
              <w:rPr>
                <w:rFonts w:hint="eastAsia" w:asciiTheme="minorEastAsia" w:hAnsiTheme="minorEastAsia" w:eastAsiaTheme="minorEastAsia"/>
                <w:bCs/>
                <w:color w:val="000000"/>
                <w:sz w:val="24"/>
                <w:szCs w:val="24"/>
              </w:rPr>
            </w:pPr>
            <w:r>
              <w:rPr>
                <w:rFonts w:hint="eastAsia" w:asciiTheme="minorEastAsia" w:hAnsiTheme="minorEastAsia" w:eastAsiaTheme="minorEastAsia"/>
                <w:bCs/>
                <w:color w:val="000000"/>
                <w:sz w:val="24"/>
                <w:szCs w:val="24"/>
              </w:rPr>
              <w:t>对应活动</w:t>
            </w:r>
          </w:p>
        </w:tc>
      </w:tr>
      <w:tr w14:paraId="1A1C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92" w:type="pct"/>
            <w:vAlign w:val="center"/>
          </w:tcPr>
          <w:p w14:paraId="4BAE4B05">
            <w:pPr>
              <w:adjustRightInd w:val="0"/>
              <w:snapToGrid w:val="0"/>
              <w:jc w:val="center"/>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物资保障部</w:t>
            </w:r>
          </w:p>
        </w:tc>
        <w:tc>
          <w:tcPr>
            <w:tcW w:w="1349" w:type="pct"/>
            <w:vAlign w:val="center"/>
          </w:tcPr>
          <w:p w14:paraId="4CC0A018">
            <w:pPr>
              <w:adjustRightInd w:val="0"/>
              <w:snapToGrid w:val="0"/>
              <w:rPr>
                <w:rFonts w:hint="eastAsia" w:asciiTheme="minorEastAsia" w:hAnsiTheme="minorEastAsia" w:eastAsiaTheme="minorEastAsia"/>
                <w:bCs/>
                <w:color w:val="000000"/>
                <w:sz w:val="24"/>
                <w:szCs w:val="24"/>
                <w:highlight w:val="none"/>
                <w:lang w:eastAsia="zh-CN"/>
              </w:rPr>
            </w:pPr>
            <w:r>
              <w:rPr>
                <w:rFonts w:hint="eastAsia" w:asciiTheme="minorEastAsia" w:hAnsiTheme="minorEastAsia" w:eastAsiaTheme="minorEastAsia"/>
                <w:bCs/>
                <w:color w:val="000000"/>
                <w:sz w:val="24"/>
                <w:szCs w:val="24"/>
                <w:highlight w:val="none"/>
                <w:lang w:eastAsia="zh-CN"/>
              </w:rPr>
              <w:t>业务端由</w:t>
            </w:r>
          </w:p>
          <w:p w14:paraId="0AAB3539">
            <w:pPr>
              <w:adjustRightInd w:val="0"/>
              <w:snapToGrid w:val="0"/>
              <w:rPr>
                <w:rFonts w:hint="eastAsia" w:asciiTheme="minorEastAsia" w:hAnsiTheme="minorEastAsia" w:eastAsiaTheme="minorEastAsia"/>
                <w:bCs/>
                <w:color w:val="000000"/>
                <w:sz w:val="24"/>
                <w:szCs w:val="24"/>
                <w:highlight w:val="none"/>
                <w:lang w:eastAsia="zh-CN"/>
              </w:rPr>
            </w:pPr>
            <w:r>
              <w:rPr>
                <w:rFonts w:hint="eastAsia" w:asciiTheme="minorEastAsia" w:hAnsiTheme="minorEastAsia" w:eastAsiaTheme="minorEastAsia"/>
                <w:bCs/>
                <w:color w:val="000000"/>
                <w:sz w:val="24"/>
                <w:szCs w:val="24"/>
                <w:highlight w:val="none"/>
                <w:lang w:eastAsia="zh-CN"/>
              </w:rPr>
              <w:t>部长助理负责：</w:t>
            </w:r>
          </w:p>
          <w:p w14:paraId="11DBE2BA">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1.</w:t>
            </w:r>
            <w:r>
              <w:rPr>
                <w:rFonts w:asciiTheme="minorEastAsia" w:hAnsiTheme="minorEastAsia" w:eastAsiaTheme="minorEastAsia"/>
                <w:bCs/>
                <w:color w:val="000000"/>
                <w:sz w:val="24"/>
                <w:szCs w:val="24"/>
                <w:lang w:eastAsia="zh-CN"/>
              </w:rPr>
              <w:t>需求分析</w:t>
            </w:r>
            <w:r>
              <w:rPr>
                <w:rFonts w:hint="eastAsia" w:asciiTheme="minorEastAsia" w:hAnsiTheme="minorEastAsia" w:eastAsiaTheme="minorEastAsia"/>
                <w:bCs/>
                <w:color w:val="000000"/>
                <w:sz w:val="24"/>
                <w:szCs w:val="24"/>
                <w:lang w:eastAsia="zh-CN"/>
              </w:rPr>
              <w:t>；</w:t>
            </w:r>
          </w:p>
          <w:p w14:paraId="63DBE36A">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2.</w:t>
            </w:r>
            <w:r>
              <w:rPr>
                <w:rFonts w:asciiTheme="minorEastAsia" w:hAnsiTheme="minorEastAsia" w:eastAsiaTheme="minorEastAsia"/>
                <w:bCs/>
                <w:color w:val="000000"/>
                <w:sz w:val="24"/>
                <w:szCs w:val="24"/>
                <w:lang w:eastAsia="zh-CN"/>
              </w:rPr>
              <w:t>流程设计</w:t>
            </w:r>
            <w:r>
              <w:rPr>
                <w:rFonts w:hint="eastAsia" w:asciiTheme="minorEastAsia" w:hAnsiTheme="minorEastAsia" w:eastAsiaTheme="minorEastAsia"/>
                <w:bCs/>
                <w:color w:val="000000"/>
                <w:sz w:val="24"/>
                <w:szCs w:val="24"/>
                <w:lang w:eastAsia="zh-CN"/>
              </w:rPr>
              <w:t>；</w:t>
            </w:r>
          </w:p>
          <w:p w14:paraId="6805591D">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3.</w:t>
            </w:r>
            <w:r>
              <w:rPr>
                <w:rFonts w:asciiTheme="minorEastAsia" w:hAnsiTheme="minorEastAsia" w:eastAsiaTheme="minorEastAsia"/>
                <w:bCs/>
                <w:color w:val="000000"/>
                <w:sz w:val="24"/>
                <w:szCs w:val="24"/>
                <w:lang w:eastAsia="zh-CN"/>
              </w:rPr>
              <w:t>灰度测试</w:t>
            </w:r>
            <w:r>
              <w:rPr>
                <w:rFonts w:hint="eastAsia" w:asciiTheme="minorEastAsia" w:hAnsiTheme="minorEastAsia" w:eastAsiaTheme="minorEastAsia"/>
                <w:bCs/>
                <w:color w:val="000000"/>
                <w:sz w:val="24"/>
                <w:szCs w:val="24"/>
                <w:lang w:eastAsia="zh-CN"/>
              </w:rPr>
              <w:t>；</w:t>
            </w:r>
          </w:p>
          <w:p w14:paraId="1F5507C6">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4.</w:t>
            </w:r>
            <w:r>
              <w:rPr>
                <w:rFonts w:asciiTheme="minorEastAsia" w:hAnsiTheme="minorEastAsia" w:eastAsiaTheme="minorEastAsia"/>
                <w:bCs/>
                <w:color w:val="000000"/>
                <w:sz w:val="24"/>
                <w:szCs w:val="24"/>
                <w:lang w:eastAsia="zh-CN"/>
              </w:rPr>
              <w:t>用户培训</w:t>
            </w:r>
            <w:r>
              <w:rPr>
                <w:rFonts w:hint="eastAsia" w:asciiTheme="minorEastAsia" w:hAnsiTheme="minorEastAsia" w:eastAsiaTheme="minorEastAsia"/>
                <w:bCs/>
                <w:color w:val="000000"/>
                <w:sz w:val="24"/>
                <w:szCs w:val="24"/>
                <w:lang w:eastAsia="zh-CN"/>
              </w:rPr>
              <w:t>；</w:t>
            </w:r>
          </w:p>
          <w:p w14:paraId="34A8734A">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5.</w:t>
            </w:r>
            <w:r>
              <w:rPr>
                <w:rFonts w:asciiTheme="minorEastAsia" w:hAnsiTheme="minorEastAsia" w:eastAsiaTheme="minorEastAsia"/>
                <w:bCs/>
                <w:color w:val="000000"/>
                <w:sz w:val="24"/>
                <w:szCs w:val="24"/>
                <w:lang w:eastAsia="zh-CN"/>
              </w:rPr>
              <w:t>问题收集</w:t>
            </w:r>
            <w:r>
              <w:rPr>
                <w:rFonts w:hint="eastAsia" w:asciiTheme="minorEastAsia" w:hAnsiTheme="minorEastAsia" w:eastAsiaTheme="minorEastAsia"/>
                <w:bCs/>
                <w:color w:val="000000"/>
                <w:sz w:val="24"/>
                <w:szCs w:val="24"/>
                <w:lang w:eastAsia="zh-CN"/>
              </w:rPr>
              <w:t>；</w:t>
            </w:r>
          </w:p>
          <w:p w14:paraId="46E872CF">
            <w:pPr>
              <w:adjustRightInd w:val="0"/>
              <w:snapToGrid w:val="0"/>
              <w:rPr>
                <w:rFonts w:hint="eastAsia" w:asciiTheme="minorEastAsia" w:hAnsiTheme="minorEastAsia" w:eastAsiaTheme="minorEastAsia"/>
                <w:bCs/>
                <w:color w:val="000000"/>
                <w:sz w:val="24"/>
                <w:szCs w:val="24"/>
                <w:lang w:eastAsia="zh-CN"/>
              </w:rPr>
            </w:pPr>
          </w:p>
          <w:p w14:paraId="3013A750">
            <w:pPr>
              <w:adjustRightInd w:val="0"/>
              <w:snapToGrid w:val="0"/>
              <w:rPr>
                <w:rFonts w:hint="eastAsia" w:asciiTheme="minorEastAsia" w:hAnsiTheme="minorEastAsia" w:eastAsiaTheme="minorEastAsia"/>
                <w:bCs/>
                <w:color w:val="000000"/>
                <w:sz w:val="24"/>
                <w:szCs w:val="24"/>
                <w:highlight w:val="none"/>
                <w:lang w:eastAsia="zh-CN"/>
              </w:rPr>
            </w:pPr>
            <w:r>
              <w:rPr>
                <w:rFonts w:hint="eastAsia" w:asciiTheme="minorEastAsia" w:hAnsiTheme="minorEastAsia" w:eastAsiaTheme="minorEastAsia"/>
                <w:bCs/>
                <w:color w:val="000000"/>
                <w:sz w:val="24"/>
                <w:szCs w:val="24"/>
                <w:highlight w:val="none"/>
                <w:lang w:eastAsia="zh-CN"/>
              </w:rPr>
              <w:t>技术端由</w:t>
            </w:r>
          </w:p>
          <w:p w14:paraId="20FF9A39">
            <w:pPr>
              <w:adjustRightInd w:val="0"/>
              <w:snapToGrid w:val="0"/>
              <w:rPr>
                <w:rFonts w:hint="eastAsia" w:asciiTheme="minorEastAsia" w:hAnsiTheme="minorEastAsia" w:eastAsiaTheme="minorEastAsia"/>
                <w:bCs/>
                <w:color w:val="000000"/>
                <w:sz w:val="24"/>
                <w:szCs w:val="24"/>
                <w:highlight w:val="none"/>
                <w:lang w:eastAsia="zh-CN"/>
              </w:rPr>
            </w:pPr>
            <w:r>
              <w:rPr>
                <w:rFonts w:hint="eastAsia" w:asciiTheme="minorEastAsia" w:hAnsiTheme="minorEastAsia" w:eastAsiaTheme="minorEastAsia"/>
                <w:bCs/>
                <w:color w:val="000000"/>
                <w:sz w:val="24"/>
                <w:szCs w:val="24"/>
                <w:highlight w:val="none"/>
                <w:lang w:eastAsia="zh-CN"/>
              </w:rPr>
              <w:t>技术员负责：</w:t>
            </w:r>
          </w:p>
          <w:p w14:paraId="0A1B7CD6">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1.</w:t>
            </w:r>
            <w:r>
              <w:rPr>
                <w:rFonts w:asciiTheme="minorEastAsia" w:hAnsiTheme="minorEastAsia" w:eastAsiaTheme="minorEastAsia"/>
                <w:bCs/>
                <w:color w:val="000000"/>
                <w:sz w:val="24"/>
                <w:szCs w:val="24"/>
                <w:lang w:eastAsia="zh-CN"/>
              </w:rPr>
              <w:t>技术设计</w:t>
            </w:r>
            <w:r>
              <w:rPr>
                <w:rFonts w:hint="eastAsia" w:asciiTheme="minorEastAsia" w:hAnsiTheme="minorEastAsia" w:eastAsiaTheme="minorEastAsia"/>
                <w:bCs/>
                <w:color w:val="000000"/>
                <w:sz w:val="24"/>
                <w:szCs w:val="24"/>
                <w:lang w:eastAsia="zh-CN"/>
              </w:rPr>
              <w:t>；</w:t>
            </w:r>
          </w:p>
          <w:p w14:paraId="11F71D5D">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2.</w:t>
            </w:r>
            <w:r>
              <w:rPr>
                <w:rFonts w:asciiTheme="minorEastAsia" w:hAnsiTheme="minorEastAsia" w:eastAsiaTheme="minorEastAsia"/>
                <w:bCs/>
                <w:color w:val="000000"/>
                <w:sz w:val="24"/>
                <w:szCs w:val="24"/>
                <w:lang w:eastAsia="zh-CN"/>
              </w:rPr>
              <w:t>表单开发</w:t>
            </w:r>
            <w:r>
              <w:rPr>
                <w:rFonts w:hint="eastAsia" w:asciiTheme="minorEastAsia" w:hAnsiTheme="minorEastAsia" w:eastAsiaTheme="minorEastAsia"/>
                <w:bCs/>
                <w:color w:val="000000"/>
                <w:sz w:val="24"/>
                <w:szCs w:val="24"/>
                <w:lang w:eastAsia="zh-CN"/>
              </w:rPr>
              <w:t>；</w:t>
            </w:r>
          </w:p>
          <w:p w14:paraId="4FD79F9A">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3.</w:t>
            </w:r>
            <w:r>
              <w:rPr>
                <w:rFonts w:asciiTheme="minorEastAsia" w:hAnsiTheme="minorEastAsia" w:eastAsiaTheme="minorEastAsia"/>
                <w:bCs/>
                <w:color w:val="000000"/>
                <w:sz w:val="24"/>
                <w:szCs w:val="24"/>
                <w:lang w:eastAsia="zh-CN"/>
              </w:rPr>
              <w:t>数据迁移</w:t>
            </w:r>
            <w:r>
              <w:rPr>
                <w:rFonts w:hint="eastAsia" w:asciiTheme="minorEastAsia" w:hAnsiTheme="minorEastAsia" w:eastAsiaTheme="minorEastAsia"/>
                <w:bCs/>
                <w:color w:val="000000"/>
                <w:sz w:val="24"/>
                <w:szCs w:val="24"/>
                <w:lang w:eastAsia="zh-CN"/>
              </w:rPr>
              <w:t>；</w:t>
            </w:r>
          </w:p>
          <w:p w14:paraId="0FC2D58A">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4.</w:t>
            </w:r>
            <w:r>
              <w:rPr>
                <w:rFonts w:asciiTheme="minorEastAsia" w:hAnsiTheme="minorEastAsia" w:eastAsiaTheme="minorEastAsia"/>
                <w:bCs/>
                <w:color w:val="000000"/>
                <w:sz w:val="24"/>
                <w:szCs w:val="24"/>
                <w:lang w:eastAsia="zh-CN"/>
              </w:rPr>
              <w:t>部署发布</w:t>
            </w:r>
            <w:r>
              <w:rPr>
                <w:rFonts w:hint="eastAsia" w:asciiTheme="minorEastAsia" w:hAnsiTheme="minorEastAsia" w:eastAsiaTheme="minorEastAsia"/>
                <w:bCs/>
                <w:color w:val="000000"/>
                <w:sz w:val="24"/>
                <w:szCs w:val="24"/>
                <w:lang w:eastAsia="zh-CN"/>
              </w:rPr>
              <w:t>；</w:t>
            </w:r>
          </w:p>
          <w:p w14:paraId="7880CFE3">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5.</w:t>
            </w:r>
            <w:r>
              <w:rPr>
                <w:rFonts w:asciiTheme="minorEastAsia" w:hAnsiTheme="minorEastAsia" w:eastAsiaTheme="minorEastAsia"/>
                <w:bCs/>
                <w:color w:val="000000"/>
                <w:sz w:val="24"/>
                <w:szCs w:val="24"/>
                <w:lang w:eastAsia="zh-CN"/>
              </w:rPr>
              <w:t>跟踪缺陷修复</w:t>
            </w:r>
            <w:r>
              <w:rPr>
                <w:rFonts w:hint="eastAsia" w:asciiTheme="minorEastAsia" w:hAnsiTheme="minorEastAsia" w:eastAsiaTheme="minorEastAsia"/>
                <w:bCs/>
                <w:color w:val="000000"/>
                <w:sz w:val="24"/>
                <w:szCs w:val="24"/>
                <w:lang w:eastAsia="zh-CN"/>
              </w:rPr>
              <w:t>。</w:t>
            </w:r>
          </w:p>
        </w:tc>
        <w:tc>
          <w:tcPr>
            <w:tcW w:w="2758" w:type="pct"/>
            <w:vAlign w:val="center"/>
          </w:tcPr>
          <w:p w14:paraId="618D4FB5">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业务端：</w:t>
            </w:r>
          </w:p>
          <w:p w14:paraId="7A6EDAEF">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1.收到勤哲Excel服务器模块需求后组织模块开发会议；</w:t>
            </w:r>
          </w:p>
          <w:p w14:paraId="0E2129B7">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2.测试验证时收集问题；</w:t>
            </w:r>
            <w:r>
              <w:rPr>
                <w:rFonts w:asciiTheme="minorEastAsia" w:hAnsiTheme="minorEastAsia" w:eastAsiaTheme="minorEastAsia"/>
                <w:bCs/>
                <w:color w:val="000000"/>
                <w:sz w:val="24"/>
                <w:szCs w:val="24"/>
                <w:lang w:eastAsia="zh-CN"/>
              </w:rPr>
              <w:t xml:space="preserve"> </w:t>
            </w:r>
          </w:p>
          <w:p w14:paraId="275D942C">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3.编制用户指南。</w:t>
            </w:r>
          </w:p>
          <w:p w14:paraId="7CE635C5">
            <w:pPr>
              <w:adjustRightInd w:val="0"/>
              <w:snapToGrid w:val="0"/>
              <w:rPr>
                <w:rFonts w:hint="eastAsia" w:asciiTheme="minorEastAsia" w:hAnsiTheme="minorEastAsia" w:eastAsiaTheme="minorEastAsia"/>
                <w:bCs/>
                <w:color w:val="000000"/>
                <w:sz w:val="24"/>
                <w:szCs w:val="24"/>
                <w:lang w:eastAsia="zh-CN"/>
              </w:rPr>
            </w:pPr>
          </w:p>
          <w:p w14:paraId="778382AC">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技术端：</w:t>
            </w:r>
          </w:p>
          <w:p w14:paraId="54A4ECA7">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1.数据模型设计；</w:t>
            </w:r>
          </w:p>
          <w:p w14:paraId="37046CE2">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2.界面原型设计；</w:t>
            </w:r>
          </w:p>
          <w:p w14:paraId="61CC4CF2">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3.将需求部门按模型传递的数据导入模块；</w:t>
            </w:r>
          </w:p>
          <w:p w14:paraId="00FB20B9">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4.制定测试计划并组织测试活动；</w:t>
            </w:r>
          </w:p>
          <w:p w14:paraId="1C1328B9">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5.模块的上线部署；</w:t>
            </w:r>
          </w:p>
          <w:p w14:paraId="00B425D7">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6.持续跟踪缺陷并修复bug。</w:t>
            </w:r>
          </w:p>
        </w:tc>
      </w:tr>
      <w:tr w14:paraId="363DD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92" w:type="pct"/>
            <w:vAlign w:val="center"/>
          </w:tcPr>
          <w:p w14:paraId="0E9BA843">
            <w:pPr>
              <w:adjustRightInd w:val="0"/>
              <w:snapToGrid w:val="0"/>
              <w:jc w:val="center"/>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其他部门</w:t>
            </w:r>
          </w:p>
        </w:tc>
        <w:tc>
          <w:tcPr>
            <w:tcW w:w="1349" w:type="pct"/>
            <w:vAlign w:val="center"/>
          </w:tcPr>
          <w:p w14:paraId="5807DEA9">
            <w:pPr>
              <w:adjustRightInd w:val="0"/>
              <w:snapToGrid w:val="0"/>
              <w:rPr>
                <w:rFonts w:hint="eastAsia" w:asciiTheme="minorEastAsia" w:hAnsiTheme="minorEastAsia" w:eastAsiaTheme="minorEastAsia"/>
                <w:bCs/>
                <w:color w:val="000000"/>
                <w:sz w:val="24"/>
                <w:szCs w:val="24"/>
                <w:highlight w:val="none"/>
                <w:lang w:eastAsia="zh-CN"/>
              </w:rPr>
            </w:pPr>
            <w:r>
              <w:rPr>
                <w:rFonts w:hint="eastAsia" w:asciiTheme="minorEastAsia" w:hAnsiTheme="minorEastAsia" w:eastAsiaTheme="minorEastAsia"/>
                <w:bCs/>
                <w:color w:val="000000"/>
                <w:sz w:val="24"/>
                <w:szCs w:val="24"/>
                <w:highlight w:val="none"/>
                <w:lang w:eastAsia="zh-CN"/>
              </w:rPr>
              <w:t>部门主管领导：</w:t>
            </w:r>
          </w:p>
          <w:p w14:paraId="7C19A572">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1.</w:t>
            </w:r>
            <w:r>
              <w:rPr>
                <w:rFonts w:asciiTheme="minorEastAsia" w:hAnsiTheme="minorEastAsia" w:eastAsiaTheme="minorEastAsia"/>
                <w:bCs/>
                <w:color w:val="000000"/>
                <w:sz w:val="24"/>
                <w:szCs w:val="24"/>
                <w:lang w:eastAsia="zh-CN"/>
              </w:rPr>
              <w:t>提交</w:t>
            </w:r>
            <w:r>
              <w:rPr>
                <w:rFonts w:hint="eastAsia" w:asciiTheme="minorEastAsia" w:hAnsiTheme="minorEastAsia" w:eastAsiaTheme="minorEastAsia"/>
                <w:bCs/>
                <w:color w:val="000000"/>
                <w:sz w:val="24"/>
                <w:szCs w:val="24"/>
                <w:lang w:eastAsia="zh-CN"/>
              </w:rPr>
              <w:t>需求；</w:t>
            </w:r>
          </w:p>
          <w:p w14:paraId="69C63EFF">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2.反馈修订意见；</w:t>
            </w:r>
          </w:p>
          <w:p w14:paraId="2825C432">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3.参与表单及工作流设计；</w:t>
            </w:r>
          </w:p>
          <w:p w14:paraId="78378B7E">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4.权限矩阵；</w:t>
            </w:r>
          </w:p>
          <w:p w14:paraId="46CE6438">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5.灰度测试；</w:t>
            </w:r>
          </w:p>
          <w:p w14:paraId="0492BD6D">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6.迁移数据准备。</w:t>
            </w:r>
          </w:p>
        </w:tc>
        <w:tc>
          <w:tcPr>
            <w:tcW w:w="2758" w:type="pct"/>
            <w:vAlign w:val="center"/>
          </w:tcPr>
          <w:p w14:paraId="3C89B655">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1.提交《模块需求单》；</w:t>
            </w:r>
          </w:p>
          <w:p w14:paraId="7DA6D914">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2.在开发会议上给出反馈意见；</w:t>
            </w:r>
          </w:p>
          <w:p w14:paraId="03390FE3">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3.规定权限矩阵；</w:t>
            </w:r>
          </w:p>
          <w:p w14:paraId="2306BC9A">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4.在数据模型和表单设计阶段参与设计；</w:t>
            </w:r>
          </w:p>
          <w:p w14:paraId="6FF9AC24">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5.参与模块测试；</w:t>
            </w:r>
          </w:p>
          <w:p w14:paraId="0C79C316">
            <w:pPr>
              <w:adjustRightInd w:val="0"/>
              <w:snapToGrid w:val="0"/>
              <w:rPr>
                <w:rFonts w:hint="eastAsia" w:asciiTheme="minorEastAsia" w:hAnsiTheme="minorEastAsia" w:eastAsiaTheme="minorEastAsia"/>
                <w:bCs/>
                <w:color w:val="000000"/>
                <w:sz w:val="24"/>
                <w:szCs w:val="24"/>
                <w:lang w:eastAsia="zh-CN"/>
              </w:rPr>
            </w:pPr>
            <w:r>
              <w:rPr>
                <w:rFonts w:hint="eastAsia" w:asciiTheme="minorEastAsia" w:hAnsiTheme="minorEastAsia" w:eastAsiaTheme="minorEastAsia"/>
                <w:bCs/>
                <w:color w:val="000000"/>
                <w:sz w:val="24"/>
                <w:szCs w:val="24"/>
                <w:lang w:eastAsia="zh-CN"/>
              </w:rPr>
              <w:t>6.模块上线后，按模型准备数据并传递至物资保障部。</w:t>
            </w:r>
          </w:p>
        </w:tc>
      </w:tr>
    </w:tbl>
    <w:p w14:paraId="2A887175">
      <w:pPr>
        <w:widowControl w:val="0"/>
        <w:spacing w:before="312" w:beforeLines="100" w:after="312" w:afterLines="100" w:line="440" w:lineRule="exact"/>
        <w:jc w:val="left"/>
        <w:rPr>
          <w:rFonts w:hint="eastAsia" w:ascii="黑体" w:hAnsi="黑体" w:eastAsia="黑体" w:cs="黑体"/>
          <w:kern w:val="2"/>
          <w:sz w:val="28"/>
          <w:lang w:val="en-US" w:eastAsia="zh-CN" w:bidi="ar-SA"/>
        </w:rPr>
      </w:pPr>
      <w:r>
        <w:rPr>
          <w:rFonts w:hint="eastAsia" w:ascii="黑体" w:hAnsi="黑体" w:eastAsia="黑体" w:cs="黑体"/>
          <w:kern w:val="2"/>
          <w:sz w:val="28"/>
          <w:lang w:val="en-US" w:eastAsia="zh-CN" w:bidi="ar-SA"/>
        </w:rPr>
        <w:t>5 规定</w:t>
      </w:r>
    </w:p>
    <w:p w14:paraId="7E9D83FF">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5.1提出需求</w:t>
      </w:r>
    </w:p>
    <w:p w14:paraId="087848D8">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有模块开发需求的部门，应当在“模块开发”模块中提交《模块需求单》，需求单的主要内容包括：</w:t>
      </w:r>
    </w:p>
    <w:p w14:paraId="3D612DA9">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是否变更现有模块；</w:t>
      </w:r>
    </w:p>
    <w:p w14:paraId="29306461">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模块类型（明细查询、记录类模板、审批模板等）；</w:t>
      </w:r>
    </w:p>
    <w:p w14:paraId="42E9B7D2">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数据来源（其他模块或人工录入）；</w:t>
      </w:r>
    </w:p>
    <w:p w14:paraId="0BF799E4">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受影响模块的清单。</w:t>
      </w:r>
    </w:p>
    <w:p w14:paraId="053E7B68">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模块需求单由需求部门成员编制，需求部门负责人审核，生产或经营副总批准，物资保障部负责人接收。</w:t>
      </w:r>
    </w:p>
    <w:p w14:paraId="19286FFB">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5.2模块开发会议</w:t>
      </w:r>
    </w:p>
    <w:p w14:paraId="50A25897">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物资保障部负责发起至少两次模块开发会议，需求部门的参会人员由其部门主管领导召集。一次会议议程如下：</w:t>
      </w:r>
    </w:p>
    <w:p w14:paraId="34B2F425">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default" w:ascii="Times New Roman" w:hAnsi="Times New Roman" w:eastAsia="宋体" w:cs="Times New Roman"/>
          <w:kern w:val="2"/>
          <w:sz w:val="28"/>
          <w:szCs w:val="28"/>
          <w:lang w:val="en-US" w:eastAsia="zh-CN" w:bidi="ar-SA"/>
        </w:rPr>
        <w:t>a)</w:t>
      </w:r>
      <w:r>
        <w:rPr>
          <w:rFonts w:hint="eastAsia" w:ascii="Times New Roman" w:hAnsi="Times New Roman" w:eastAsia="宋体" w:cs="Times New Roman"/>
          <w:kern w:val="2"/>
          <w:sz w:val="28"/>
          <w:szCs w:val="28"/>
          <w:lang w:eastAsia="zh-CN" w:bidi="ar-SA"/>
        </w:rPr>
        <w:t>需求分析——明确用户的最终目标，及是否可由勤哲Excel系统实现；</w:t>
      </w:r>
    </w:p>
    <w:p w14:paraId="3BF182A0">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default" w:ascii="Times New Roman" w:hAnsi="Times New Roman" w:eastAsia="宋体" w:cs="Times New Roman"/>
          <w:kern w:val="2"/>
          <w:sz w:val="28"/>
          <w:szCs w:val="28"/>
          <w:lang w:val="en-US" w:eastAsia="zh-CN" w:bidi="ar-SA"/>
        </w:rPr>
        <w:t>b)</w:t>
      </w:r>
      <w:r>
        <w:rPr>
          <w:rFonts w:hint="eastAsia" w:ascii="Times New Roman" w:hAnsi="Times New Roman" w:eastAsia="宋体" w:cs="Times New Roman"/>
          <w:kern w:val="2"/>
          <w:sz w:val="28"/>
          <w:szCs w:val="28"/>
          <w:lang w:eastAsia="zh-CN" w:bidi="ar-SA"/>
        </w:rPr>
        <w:t>定义模板——明确数据字典、主表、明细表、表间关系、数据规范、工作流、角色、事件、引用、权限矩阵等要素；</w:t>
      </w:r>
    </w:p>
    <w:p w14:paraId="1A9C2C14">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default" w:ascii="Times New Roman" w:hAnsi="Times New Roman" w:eastAsia="宋体" w:cs="Times New Roman"/>
          <w:kern w:val="2"/>
          <w:sz w:val="28"/>
          <w:szCs w:val="28"/>
          <w:lang w:val="en-US" w:eastAsia="zh-CN" w:bidi="ar-SA"/>
        </w:rPr>
        <w:t>c)</w:t>
      </w:r>
      <w:r>
        <w:rPr>
          <w:rFonts w:hint="eastAsia" w:ascii="Times New Roman" w:hAnsi="Times New Roman" w:eastAsia="宋体" w:cs="Times New Roman"/>
          <w:kern w:val="2"/>
          <w:sz w:val="28"/>
          <w:szCs w:val="28"/>
          <w:lang w:eastAsia="zh-CN" w:bidi="ar-SA"/>
        </w:rPr>
        <w:t>项目对接——明确需求部门的主对接人、测试参与者；</w:t>
      </w:r>
    </w:p>
    <w:p w14:paraId="3C9724EC">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二次会议议程如下（一般发生在完成测试后）：</w:t>
      </w:r>
    </w:p>
    <w:p w14:paraId="13FEF320">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需求扩展——进一步说明测试过程中发现的相关需求（不包含重大改动，如数据模型、表间关系变更及事件触发）；</w:t>
      </w:r>
    </w:p>
    <w:p w14:paraId="1C885473">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上线部署前工作——确定生产环境中的灰度测试周期、出具用户操作指南；</w:t>
      </w:r>
    </w:p>
    <w:p w14:paraId="00B41910">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数据迁移的准备——需求部门按照灰度测试的数据模型准备数据，测试结束后，模块上线前迁移。</w:t>
      </w:r>
    </w:p>
    <w:p w14:paraId="5799EFA4">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5.3灰度测试程序</w:t>
      </w:r>
    </w:p>
    <w:p w14:paraId="70954025">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模块设计完成后，物资保障部搭建测试环境，并通知测试参与者进行功能性测试。测试内容包括单元测试与集成测试。</w:t>
      </w:r>
    </w:p>
    <w:p w14:paraId="5AC01997">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测试阶段发现bug或功能性问题时，应当做好缺陷记录并由主要对接人反馈至物资保障部，反馈方式包括书面、OA短消息，不包含任何即时通讯类软件。</w:t>
      </w:r>
    </w:p>
    <w:p w14:paraId="21C832B0">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5.4模块上线</w:t>
      </w:r>
    </w:p>
    <w:p w14:paraId="13E91597">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模块上线前提如下：</w:t>
      </w:r>
    </w:p>
    <w:p w14:paraId="3F74A19D">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default" w:ascii="Times New Roman" w:hAnsi="Times New Roman" w:eastAsia="宋体" w:cs="Times New Roman"/>
          <w:kern w:val="2"/>
          <w:sz w:val="28"/>
          <w:szCs w:val="28"/>
          <w:lang w:val="en-US" w:eastAsia="zh-CN" w:bidi="ar-SA"/>
        </w:rPr>
        <w:t>a)</w:t>
      </w:r>
      <w:r>
        <w:rPr>
          <w:rFonts w:hint="eastAsia" w:ascii="Times New Roman" w:hAnsi="Times New Roman" w:eastAsia="宋体" w:cs="Times New Roman"/>
          <w:kern w:val="2"/>
          <w:sz w:val="28"/>
          <w:szCs w:val="28"/>
          <w:lang w:eastAsia="zh-CN" w:bidi="ar-SA"/>
        </w:rPr>
        <w:t>需求部门已明确表示灰度测试的结果满足使用需求；</w:t>
      </w:r>
    </w:p>
    <w:p w14:paraId="79DD4296">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default" w:ascii="Times New Roman" w:hAnsi="Times New Roman" w:eastAsia="宋体" w:cs="Times New Roman"/>
          <w:kern w:val="2"/>
          <w:sz w:val="28"/>
          <w:szCs w:val="28"/>
          <w:lang w:val="en-US" w:eastAsia="zh-CN" w:bidi="ar-SA"/>
        </w:rPr>
        <w:t>b)</w:t>
      </w:r>
      <w:r>
        <w:rPr>
          <w:rFonts w:hint="eastAsia" w:ascii="Times New Roman" w:hAnsi="Times New Roman" w:eastAsia="宋体" w:cs="Times New Roman"/>
          <w:kern w:val="2"/>
          <w:sz w:val="28"/>
          <w:szCs w:val="28"/>
          <w:lang w:eastAsia="zh-CN" w:bidi="ar-SA"/>
        </w:rPr>
        <w:t>数据迁移工作已经完成。如数据尚未开始迁移，模块急需上线时，需求部门应当做出迁移计划，并确保迁移计划开始前，该模块下不存在流程中表单。物资保障部根据迁移计划暂停相关人员的新增、修改、审批等权限，在迁移工作结束后恢复权限；</w:t>
      </w:r>
    </w:p>
    <w:p w14:paraId="7E2C110D">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default" w:ascii="Times New Roman" w:hAnsi="Times New Roman" w:eastAsia="宋体" w:cs="Times New Roman"/>
          <w:kern w:val="2"/>
          <w:sz w:val="28"/>
          <w:szCs w:val="28"/>
          <w:lang w:val="en-US" w:eastAsia="zh-CN" w:bidi="ar-SA"/>
        </w:rPr>
        <w:t>c)</w:t>
      </w:r>
      <w:r>
        <w:rPr>
          <w:rFonts w:hint="eastAsia" w:ascii="Times New Roman" w:hAnsi="Times New Roman" w:eastAsia="宋体" w:cs="Times New Roman"/>
          <w:kern w:val="2"/>
          <w:sz w:val="28"/>
          <w:szCs w:val="28"/>
          <w:lang w:eastAsia="zh-CN" w:bidi="ar-SA"/>
        </w:rPr>
        <w:t>用户操作指南的培训已经完成。如用户培训工作未完成，但模块急需上线时，需求部门自行组织培训工作；</w:t>
      </w:r>
    </w:p>
    <w:p w14:paraId="7602E5EB">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default" w:ascii="Times New Roman" w:hAnsi="Times New Roman" w:eastAsia="宋体" w:cs="Times New Roman"/>
          <w:kern w:val="2"/>
          <w:sz w:val="28"/>
          <w:szCs w:val="28"/>
          <w:lang w:val="en-US" w:eastAsia="zh-CN" w:bidi="ar-SA"/>
        </w:rPr>
        <w:t>d)</w:t>
      </w:r>
      <w:r>
        <w:rPr>
          <w:rFonts w:hint="eastAsia" w:ascii="Times New Roman" w:hAnsi="Times New Roman" w:eastAsia="宋体" w:cs="Times New Roman"/>
          <w:kern w:val="2"/>
          <w:sz w:val="28"/>
          <w:szCs w:val="28"/>
          <w:lang w:eastAsia="zh-CN" w:bidi="ar-SA"/>
        </w:rPr>
        <w:t>受影响的模块不在开发、修改流程中。</w:t>
      </w:r>
    </w:p>
    <w:p w14:paraId="63773BCA">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5.5运维业务</w:t>
      </w:r>
    </w:p>
    <w:p w14:paraId="3D7B5F50">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模块上线后，模块申请单将被正式关闭。后续的运营维护工作不在模块开发业务范围内。</w:t>
      </w:r>
    </w:p>
    <w:p w14:paraId="79737634">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6 流程</w:t>
      </w:r>
    </w:p>
    <w:p w14:paraId="71ED30FB">
      <w:pPr>
        <w:adjustRightInd w:val="0"/>
        <w:snapToGrid w:val="0"/>
        <w:outlineLvl w:val="0"/>
        <w:rPr>
          <w:rFonts w:hint="eastAsia" w:asciiTheme="minorEastAsia" w:hAnsiTheme="minorEastAsia" w:eastAsiaTheme="minorEastAsia"/>
          <w:bCs/>
          <w:sz w:val="28"/>
          <w:szCs w:val="28"/>
          <w:lang w:eastAsia="zh-CN"/>
        </w:rPr>
      </w:pPr>
      <w:r>
        <w:rPr>
          <w:rFonts w:hint="eastAsia" w:asciiTheme="minorEastAsia" w:hAnsiTheme="minorEastAsia" w:eastAsiaTheme="minorEastAsia"/>
          <w:bCs/>
          <w:sz w:val="28"/>
          <w:szCs w:val="28"/>
        </w:rPr>
        <w:object>
          <v:shape id="_x0000_i1025" o:spt="75" type="#_x0000_t75" style="height:225pt;width:424.8pt;" o:ole="t" filled="f" o:preferrelative="t" stroked="f" coordsize="21600,21600">
            <v:path/>
            <v:fill on="f" focussize="0,0"/>
            <v:stroke on="f"/>
            <v:imagedata r:id="rId7" o:title=""/>
            <o:lock v:ext="edit" aspectratio="t"/>
            <w10:wrap type="none"/>
            <w10:anchorlock/>
          </v:shape>
          <o:OLEObject Type="Embed" ProgID="Visio.Drawing.15" ShapeID="_x0000_i1025" DrawAspect="Content" ObjectID="_1468075725" r:id="rId6">
            <o:LockedField>false</o:LockedField>
          </o:OLEObject>
        </w:object>
      </w:r>
    </w:p>
    <w:p w14:paraId="34B1DB83">
      <w:pPr>
        <w:spacing w:before="312" w:beforeLines="100" w:after="312" w:afterLines="100" w:line="440" w:lineRule="exact"/>
        <w:jc w:val="left"/>
        <w:rPr>
          <w:rFonts w:hint="eastAsia" w:ascii="黑体" w:hAnsi="黑体" w:eastAsia="黑体" w:cs="黑体"/>
          <w:sz w:val="28"/>
          <w:lang w:val="en-US" w:eastAsia="zh-CN"/>
        </w:rPr>
      </w:pPr>
      <w:bookmarkStart w:id="0" w:name="_Hlk203133622"/>
      <w:r>
        <w:rPr>
          <w:rFonts w:hint="eastAsia" w:ascii="黑体" w:hAnsi="黑体" w:eastAsia="黑体" w:cs="黑体"/>
          <w:sz w:val="28"/>
          <w:lang w:val="en-US" w:eastAsia="zh-CN"/>
        </w:rPr>
        <w:t>7 规定表格</w:t>
      </w:r>
    </w:p>
    <w:bookmarkEnd w:id="0"/>
    <w:p w14:paraId="6B50B3AD">
      <w:pPr>
        <w:widowControl w:val="0"/>
        <w:spacing w:line="440" w:lineRule="exact"/>
        <w:ind w:firstLine="560" w:firstLineChars="200"/>
        <w:jc w:val="left"/>
        <w:rPr>
          <w:rFonts w:hint="eastAsia" w:ascii="黑体" w:hAnsi="黑体" w:eastAsia="黑体" w:cs="黑体"/>
          <w:sz w:val="28"/>
          <w:lang w:val="en-US" w:eastAsia="zh-CN"/>
        </w:rPr>
      </w:pPr>
      <w:r>
        <w:rPr>
          <w:rFonts w:hint="eastAsia" w:ascii="Times New Roman" w:hAnsi="Times New Roman" w:eastAsia="宋体" w:cs="Times New Roman"/>
          <w:kern w:val="2"/>
          <w:sz w:val="28"/>
          <w:szCs w:val="28"/>
          <w:lang w:eastAsia="zh-CN" w:bidi="ar-SA"/>
        </w:rPr>
        <w:t>无</w:t>
      </w:r>
    </w:p>
    <w:p w14:paraId="53988DE8">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8 记录控制</w:t>
      </w:r>
    </w:p>
    <w:p w14:paraId="1021523E">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本制度由</w:t>
      </w:r>
      <w:r>
        <w:rPr>
          <w:rFonts w:hint="eastAsia" w:ascii="Times New Roman" w:hAnsi="Times New Roman" w:cs="Times New Roman"/>
          <w:kern w:val="2"/>
          <w:sz w:val="28"/>
          <w:szCs w:val="28"/>
          <w:lang w:val="en-US" w:eastAsia="zh-CN" w:bidi="ar-SA"/>
        </w:rPr>
        <w:t>物资保障部</w:t>
      </w:r>
      <w:r>
        <w:rPr>
          <w:rFonts w:hint="eastAsia" w:ascii="Times New Roman" w:hAnsi="Times New Roman" w:eastAsia="宋体" w:cs="Times New Roman"/>
          <w:kern w:val="2"/>
          <w:sz w:val="28"/>
          <w:szCs w:val="28"/>
          <w:lang w:eastAsia="zh-CN" w:bidi="ar-SA"/>
        </w:rPr>
        <w:t>和传阅部门各保存一份，保存期限为长期。</w:t>
      </w:r>
    </w:p>
    <w:p w14:paraId="78E2A230">
      <w:pPr>
        <w:adjustRightInd w:val="0"/>
        <w:snapToGrid w:val="0"/>
        <w:spacing w:before="97" w:beforeLines="30"/>
        <w:outlineLvl w:val="0"/>
        <w:rPr>
          <w:rFonts w:hint="eastAsia" w:asciiTheme="minorEastAsia" w:hAnsiTheme="minorEastAsia" w:eastAsiaTheme="minorEastAsia"/>
          <w:bCs/>
          <w:sz w:val="28"/>
          <w:szCs w:val="28"/>
          <w:lang w:eastAsia="zh-CN"/>
        </w:rPr>
      </w:pPr>
    </w:p>
    <w:sectPr>
      <w:footerReference r:id="rId4" w:type="default"/>
      <w:pgSz w:w="11906" w:h="16838"/>
      <w:pgMar w:top="1440" w:right="1797" w:bottom="1440" w:left="1797" w:header="0" w:footer="668" w:gutter="0"/>
      <w:pgNumType w:fmt="numberInDash" w:start="1"/>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0C12F">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10306C">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910306C">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F1DAD">
    <w:pPr>
      <w:pStyle w:val="11"/>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00440B9C"/>
    <w:rsid w:val="00006713"/>
    <w:rsid w:val="000128C5"/>
    <w:rsid w:val="0001432C"/>
    <w:rsid w:val="0001556C"/>
    <w:rsid w:val="000162D8"/>
    <w:rsid w:val="00017F63"/>
    <w:rsid w:val="00020355"/>
    <w:rsid w:val="000203FF"/>
    <w:rsid w:val="000274D3"/>
    <w:rsid w:val="00027EBF"/>
    <w:rsid w:val="00032102"/>
    <w:rsid w:val="00033917"/>
    <w:rsid w:val="00037805"/>
    <w:rsid w:val="00046AAB"/>
    <w:rsid w:val="000472BF"/>
    <w:rsid w:val="0005006F"/>
    <w:rsid w:val="00054B7B"/>
    <w:rsid w:val="000562AB"/>
    <w:rsid w:val="00060F5B"/>
    <w:rsid w:val="000611AB"/>
    <w:rsid w:val="0007789C"/>
    <w:rsid w:val="00077FAB"/>
    <w:rsid w:val="000847E5"/>
    <w:rsid w:val="000925F8"/>
    <w:rsid w:val="000A5FDB"/>
    <w:rsid w:val="000A7738"/>
    <w:rsid w:val="000B2DA8"/>
    <w:rsid w:val="000C0D82"/>
    <w:rsid w:val="000C111B"/>
    <w:rsid w:val="000D23BD"/>
    <w:rsid w:val="000D3788"/>
    <w:rsid w:val="000D478B"/>
    <w:rsid w:val="000D5F26"/>
    <w:rsid w:val="000D6BC0"/>
    <w:rsid w:val="00101304"/>
    <w:rsid w:val="00102F7A"/>
    <w:rsid w:val="00103AB4"/>
    <w:rsid w:val="0010529E"/>
    <w:rsid w:val="00106396"/>
    <w:rsid w:val="00113419"/>
    <w:rsid w:val="00116396"/>
    <w:rsid w:val="001253CF"/>
    <w:rsid w:val="00131F86"/>
    <w:rsid w:val="0013334B"/>
    <w:rsid w:val="00136DC9"/>
    <w:rsid w:val="00144DA9"/>
    <w:rsid w:val="0015125A"/>
    <w:rsid w:val="0015184E"/>
    <w:rsid w:val="0015667D"/>
    <w:rsid w:val="001572E9"/>
    <w:rsid w:val="00165E80"/>
    <w:rsid w:val="001711D8"/>
    <w:rsid w:val="001771F0"/>
    <w:rsid w:val="00184461"/>
    <w:rsid w:val="001937AF"/>
    <w:rsid w:val="001947D8"/>
    <w:rsid w:val="001953E2"/>
    <w:rsid w:val="001B4C93"/>
    <w:rsid w:val="001B7A55"/>
    <w:rsid w:val="001E0AB5"/>
    <w:rsid w:val="001E7068"/>
    <w:rsid w:val="001E76A5"/>
    <w:rsid w:val="001F491F"/>
    <w:rsid w:val="00235823"/>
    <w:rsid w:val="002361E1"/>
    <w:rsid w:val="00242160"/>
    <w:rsid w:val="00242869"/>
    <w:rsid w:val="00246FBD"/>
    <w:rsid w:val="00266520"/>
    <w:rsid w:val="00266760"/>
    <w:rsid w:val="0027424E"/>
    <w:rsid w:val="00280220"/>
    <w:rsid w:val="002807AC"/>
    <w:rsid w:val="002826A7"/>
    <w:rsid w:val="00284E72"/>
    <w:rsid w:val="00286732"/>
    <w:rsid w:val="002A0546"/>
    <w:rsid w:val="002A5A16"/>
    <w:rsid w:val="002A718A"/>
    <w:rsid w:val="002B65B0"/>
    <w:rsid w:val="002D6BA7"/>
    <w:rsid w:val="002E199A"/>
    <w:rsid w:val="002F56C1"/>
    <w:rsid w:val="002F6725"/>
    <w:rsid w:val="00302AF6"/>
    <w:rsid w:val="00327B9A"/>
    <w:rsid w:val="0033071A"/>
    <w:rsid w:val="003353BD"/>
    <w:rsid w:val="00347823"/>
    <w:rsid w:val="0035692C"/>
    <w:rsid w:val="003576FA"/>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D4224"/>
    <w:rsid w:val="003E2C07"/>
    <w:rsid w:val="003E2ED0"/>
    <w:rsid w:val="003E60FF"/>
    <w:rsid w:val="003E7344"/>
    <w:rsid w:val="003F0021"/>
    <w:rsid w:val="003F00F8"/>
    <w:rsid w:val="003F51E7"/>
    <w:rsid w:val="0040120F"/>
    <w:rsid w:val="004034D4"/>
    <w:rsid w:val="00406661"/>
    <w:rsid w:val="00410DAB"/>
    <w:rsid w:val="00420F7A"/>
    <w:rsid w:val="00423533"/>
    <w:rsid w:val="00425994"/>
    <w:rsid w:val="00426889"/>
    <w:rsid w:val="00440599"/>
    <w:rsid w:val="00440B9C"/>
    <w:rsid w:val="00441842"/>
    <w:rsid w:val="00444A1A"/>
    <w:rsid w:val="00444C30"/>
    <w:rsid w:val="004469CB"/>
    <w:rsid w:val="0044732F"/>
    <w:rsid w:val="004523F6"/>
    <w:rsid w:val="00456CB5"/>
    <w:rsid w:val="00462B0A"/>
    <w:rsid w:val="00464F06"/>
    <w:rsid w:val="004729F4"/>
    <w:rsid w:val="00477450"/>
    <w:rsid w:val="00477DA2"/>
    <w:rsid w:val="00481675"/>
    <w:rsid w:val="00483077"/>
    <w:rsid w:val="00484A8D"/>
    <w:rsid w:val="00485A52"/>
    <w:rsid w:val="004874E5"/>
    <w:rsid w:val="004947FB"/>
    <w:rsid w:val="004A0433"/>
    <w:rsid w:val="004B59B5"/>
    <w:rsid w:val="004D112C"/>
    <w:rsid w:val="004E572E"/>
    <w:rsid w:val="004F0D96"/>
    <w:rsid w:val="004F67DD"/>
    <w:rsid w:val="0050064B"/>
    <w:rsid w:val="0050557E"/>
    <w:rsid w:val="00506F8F"/>
    <w:rsid w:val="005126CE"/>
    <w:rsid w:val="00514148"/>
    <w:rsid w:val="005268B6"/>
    <w:rsid w:val="00532888"/>
    <w:rsid w:val="0053341F"/>
    <w:rsid w:val="005352D6"/>
    <w:rsid w:val="005422CF"/>
    <w:rsid w:val="00542CE7"/>
    <w:rsid w:val="005460EA"/>
    <w:rsid w:val="005571E7"/>
    <w:rsid w:val="00564C7C"/>
    <w:rsid w:val="00576701"/>
    <w:rsid w:val="00586ED9"/>
    <w:rsid w:val="005910D7"/>
    <w:rsid w:val="00592B07"/>
    <w:rsid w:val="00592FEC"/>
    <w:rsid w:val="00596A7C"/>
    <w:rsid w:val="005A0202"/>
    <w:rsid w:val="005A0795"/>
    <w:rsid w:val="005A38FC"/>
    <w:rsid w:val="005A4F61"/>
    <w:rsid w:val="005A7F68"/>
    <w:rsid w:val="005B7DB6"/>
    <w:rsid w:val="005D3B8F"/>
    <w:rsid w:val="005D7C54"/>
    <w:rsid w:val="005E77F5"/>
    <w:rsid w:val="005F2A04"/>
    <w:rsid w:val="00620661"/>
    <w:rsid w:val="00623F0B"/>
    <w:rsid w:val="00625830"/>
    <w:rsid w:val="00632591"/>
    <w:rsid w:val="0063792B"/>
    <w:rsid w:val="00642A74"/>
    <w:rsid w:val="00646940"/>
    <w:rsid w:val="00647D7C"/>
    <w:rsid w:val="00652A02"/>
    <w:rsid w:val="006554E8"/>
    <w:rsid w:val="00655812"/>
    <w:rsid w:val="00656A93"/>
    <w:rsid w:val="006570C3"/>
    <w:rsid w:val="00664459"/>
    <w:rsid w:val="00665B8E"/>
    <w:rsid w:val="00677B85"/>
    <w:rsid w:val="006912AE"/>
    <w:rsid w:val="00694E29"/>
    <w:rsid w:val="006A59B6"/>
    <w:rsid w:val="006B06A0"/>
    <w:rsid w:val="006B4AE4"/>
    <w:rsid w:val="006C2DC0"/>
    <w:rsid w:val="006D1A5A"/>
    <w:rsid w:val="006D3366"/>
    <w:rsid w:val="006D4FA5"/>
    <w:rsid w:val="006F55BB"/>
    <w:rsid w:val="00700D46"/>
    <w:rsid w:val="007075F6"/>
    <w:rsid w:val="00711166"/>
    <w:rsid w:val="007208BC"/>
    <w:rsid w:val="007233FD"/>
    <w:rsid w:val="007373D9"/>
    <w:rsid w:val="00737FE9"/>
    <w:rsid w:val="00740625"/>
    <w:rsid w:val="007467F5"/>
    <w:rsid w:val="00753AE4"/>
    <w:rsid w:val="00770B02"/>
    <w:rsid w:val="00792AAC"/>
    <w:rsid w:val="007955DD"/>
    <w:rsid w:val="007A18E0"/>
    <w:rsid w:val="007A5B64"/>
    <w:rsid w:val="007A6283"/>
    <w:rsid w:val="007B098B"/>
    <w:rsid w:val="007B6CDE"/>
    <w:rsid w:val="007C6C6D"/>
    <w:rsid w:val="007D5E6B"/>
    <w:rsid w:val="007F087C"/>
    <w:rsid w:val="007F3E54"/>
    <w:rsid w:val="007F45F5"/>
    <w:rsid w:val="00804E55"/>
    <w:rsid w:val="008055DD"/>
    <w:rsid w:val="0081094C"/>
    <w:rsid w:val="00822032"/>
    <w:rsid w:val="008248B0"/>
    <w:rsid w:val="00827A13"/>
    <w:rsid w:val="00835715"/>
    <w:rsid w:val="00850BC8"/>
    <w:rsid w:val="00856294"/>
    <w:rsid w:val="0086615C"/>
    <w:rsid w:val="00870479"/>
    <w:rsid w:val="00872486"/>
    <w:rsid w:val="00872793"/>
    <w:rsid w:val="0087579F"/>
    <w:rsid w:val="00881244"/>
    <w:rsid w:val="0088375C"/>
    <w:rsid w:val="008949E4"/>
    <w:rsid w:val="008A3DD6"/>
    <w:rsid w:val="008D134E"/>
    <w:rsid w:val="008E3E5D"/>
    <w:rsid w:val="008F5F0F"/>
    <w:rsid w:val="00915FDF"/>
    <w:rsid w:val="009210B2"/>
    <w:rsid w:val="009216FA"/>
    <w:rsid w:val="00922CDB"/>
    <w:rsid w:val="009268EA"/>
    <w:rsid w:val="009305CF"/>
    <w:rsid w:val="009344A3"/>
    <w:rsid w:val="00936CFB"/>
    <w:rsid w:val="009371CF"/>
    <w:rsid w:val="00941FF3"/>
    <w:rsid w:val="00945052"/>
    <w:rsid w:val="00946F2C"/>
    <w:rsid w:val="00952D99"/>
    <w:rsid w:val="0095458B"/>
    <w:rsid w:val="00955E40"/>
    <w:rsid w:val="009618B5"/>
    <w:rsid w:val="00971955"/>
    <w:rsid w:val="00971C96"/>
    <w:rsid w:val="00983BF7"/>
    <w:rsid w:val="009857FD"/>
    <w:rsid w:val="009942EA"/>
    <w:rsid w:val="009975DB"/>
    <w:rsid w:val="009A335B"/>
    <w:rsid w:val="009B222A"/>
    <w:rsid w:val="009B7844"/>
    <w:rsid w:val="009C129B"/>
    <w:rsid w:val="009C7F13"/>
    <w:rsid w:val="009E65B1"/>
    <w:rsid w:val="009F5CF8"/>
    <w:rsid w:val="00A03E8F"/>
    <w:rsid w:val="00A1247B"/>
    <w:rsid w:val="00A12DC2"/>
    <w:rsid w:val="00A1416A"/>
    <w:rsid w:val="00A263F6"/>
    <w:rsid w:val="00A41532"/>
    <w:rsid w:val="00A46890"/>
    <w:rsid w:val="00A55CD2"/>
    <w:rsid w:val="00A55CFC"/>
    <w:rsid w:val="00A56F15"/>
    <w:rsid w:val="00A67CB4"/>
    <w:rsid w:val="00A7798D"/>
    <w:rsid w:val="00A91EC7"/>
    <w:rsid w:val="00AA37BD"/>
    <w:rsid w:val="00AB0BC4"/>
    <w:rsid w:val="00AD1E1E"/>
    <w:rsid w:val="00AE037C"/>
    <w:rsid w:val="00AE3414"/>
    <w:rsid w:val="00AE43D7"/>
    <w:rsid w:val="00AE7D1F"/>
    <w:rsid w:val="00AF01FF"/>
    <w:rsid w:val="00AF3214"/>
    <w:rsid w:val="00AF7DB3"/>
    <w:rsid w:val="00B0008A"/>
    <w:rsid w:val="00B03DCF"/>
    <w:rsid w:val="00B0524A"/>
    <w:rsid w:val="00B17D93"/>
    <w:rsid w:val="00B25027"/>
    <w:rsid w:val="00B435CA"/>
    <w:rsid w:val="00B47017"/>
    <w:rsid w:val="00B638A9"/>
    <w:rsid w:val="00B66FF8"/>
    <w:rsid w:val="00B77B22"/>
    <w:rsid w:val="00B81513"/>
    <w:rsid w:val="00B877CB"/>
    <w:rsid w:val="00B91F96"/>
    <w:rsid w:val="00B93E4E"/>
    <w:rsid w:val="00BB0702"/>
    <w:rsid w:val="00BC0712"/>
    <w:rsid w:val="00BC0C8D"/>
    <w:rsid w:val="00BC2CF1"/>
    <w:rsid w:val="00BC3057"/>
    <w:rsid w:val="00BC44E0"/>
    <w:rsid w:val="00BD5EF9"/>
    <w:rsid w:val="00BD6924"/>
    <w:rsid w:val="00BD6DDF"/>
    <w:rsid w:val="00BE615D"/>
    <w:rsid w:val="00BF089E"/>
    <w:rsid w:val="00BF3C1C"/>
    <w:rsid w:val="00BF5DA8"/>
    <w:rsid w:val="00BF6815"/>
    <w:rsid w:val="00C00093"/>
    <w:rsid w:val="00C032FD"/>
    <w:rsid w:val="00C12F41"/>
    <w:rsid w:val="00C166DF"/>
    <w:rsid w:val="00C17193"/>
    <w:rsid w:val="00C17651"/>
    <w:rsid w:val="00C204A7"/>
    <w:rsid w:val="00C27991"/>
    <w:rsid w:val="00C27D84"/>
    <w:rsid w:val="00C476FC"/>
    <w:rsid w:val="00C51E9F"/>
    <w:rsid w:val="00C61BF0"/>
    <w:rsid w:val="00C64A01"/>
    <w:rsid w:val="00C64C35"/>
    <w:rsid w:val="00C71295"/>
    <w:rsid w:val="00C73480"/>
    <w:rsid w:val="00C76463"/>
    <w:rsid w:val="00C87E0E"/>
    <w:rsid w:val="00CC136E"/>
    <w:rsid w:val="00CC4684"/>
    <w:rsid w:val="00CC46E1"/>
    <w:rsid w:val="00CD5FFE"/>
    <w:rsid w:val="00CE2B6C"/>
    <w:rsid w:val="00CF6F8E"/>
    <w:rsid w:val="00D00341"/>
    <w:rsid w:val="00D00D29"/>
    <w:rsid w:val="00D116A7"/>
    <w:rsid w:val="00D154EE"/>
    <w:rsid w:val="00D16985"/>
    <w:rsid w:val="00D20105"/>
    <w:rsid w:val="00D21027"/>
    <w:rsid w:val="00D23A51"/>
    <w:rsid w:val="00D33A12"/>
    <w:rsid w:val="00D41A12"/>
    <w:rsid w:val="00D437E8"/>
    <w:rsid w:val="00D6346D"/>
    <w:rsid w:val="00D647D7"/>
    <w:rsid w:val="00D75EE3"/>
    <w:rsid w:val="00D81F30"/>
    <w:rsid w:val="00D91BB2"/>
    <w:rsid w:val="00D95AA8"/>
    <w:rsid w:val="00DA12EB"/>
    <w:rsid w:val="00DB4BA1"/>
    <w:rsid w:val="00DC1432"/>
    <w:rsid w:val="00DC160C"/>
    <w:rsid w:val="00DC40FA"/>
    <w:rsid w:val="00DC708D"/>
    <w:rsid w:val="00DD43B5"/>
    <w:rsid w:val="00DD4E55"/>
    <w:rsid w:val="00DF2378"/>
    <w:rsid w:val="00DF2B22"/>
    <w:rsid w:val="00DF77DD"/>
    <w:rsid w:val="00E00D42"/>
    <w:rsid w:val="00E05AF7"/>
    <w:rsid w:val="00E11F84"/>
    <w:rsid w:val="00E122A5"/>
    <w:rsid w:val="00E20D45"/>
    <w:rsid w:val="00E2237A"/>
    <w:rsid w:val="00E2240F"/>
    <w:rsid w:val="00E309FB"/>
    <w:rsid w:val="00E32D1F"/>
    <w:rsid w:val="00E376DB"/>
    <w:rsid w:val="00E45689"/>
    <w:rsid w:val="00E50A1A"/>
    <w:rsid w:val="00E54308"/>
    <w:rsid w:val="00E70299"/>
    <w:rsid w:val="00E73766"/>
    <w:rsid w:val="00E80D8F"/>
    <w:rsid w:val="00E84681"/>
    <w:rsid w:val="00E96923"/>
    <w:rsid w:val="00EC1AE7"/>
    <w:rsid w:val="00EC711F"/>
    <w:rsid w:val="00ED7180"/>
    <w:rsid w:val="00EE6121"/>
    <w:rsid w:val="00EF2EA9"/>
    <w:rsid w:val="00F04620"/>
    <w:rsid w:val="00F056BA"/>
    <w:rsid w:val="00F208DA"/>
    <w:rsid w:val="00F272F7"/>
    <w:rsid w:val="00F41679"/>
    <w:rsid w:val="00F5064F"/>
    <w:rsid w:val="00F56346"/>
    <w:rsid w:val="00F75E29"/>
    <w:rsid w:val="00F764D6"/>
    <w:rsid w:val="00F7765F"/>
    <w:rsid w:val="00F923D7"/>
    <w:rsid w:val="00F92536"/>
    <w:rsid w:val="00F92E12"/>
    <w:rsid w:val="00FA1BA7"/>
    <w:rsid w:val="00FB105C"/>
    <w:rsid w:val="00FB3F05"/>
    <w:rsid w:val="00FB4F38"/>
    <w:rsid w:val="00FB77BD"/>
    <w:rsid w:val="00FC598A"/>
    <w:rsid w:val="00FC62DA"/>
    <w:rsid w:val="00FD22C6"/>
    <w:rsid w:val="00FD3476"/>
    <w:rsid w:val="00FD661A"/>
    <w:rsid w:val="00FE0A19"/>
    <w:rsid w:val="00FE45D0"/>
    <w:rsid w:val="00FE6BEA"/>
    <w:rsid w:val="00FF1BC1"/>
    <w:rsid w:val="00FF2C13"/>
    <w:rsid w:val="06FB0B0A"/>
    <w:rsid w:val="0AE43E13"/>
    <w:rsid w:val="0C215E37"/>
    <w:rsid w:val="0C4D02A9"/>
    <w:rsid w:val="0ED10B0F"/>
    <w:rsid w:val="1144665F"/>
    <w:rsid w:val="11457A88"/>
    <w:rsid w:val="13C75A78"/>
    <w:rsid w:val="192E6E10"/>
    <w:rsid w:val="1EA46778"/>
    <w:rsid w:val="248655F6"/>
    <w:rsid w:val="28D05F30"/>
    <w:rsid w:val="2CF96C64"/>
    <w:rsid w:val="324A2F33"/>
    <w:rsid w:val="388B4F89"/>
    <w:rsid w:val="3A32082B"/>
    <w:rsid w:val="3AF02091"/>
    <w:rsid w:val="3DA91870"/>
    <w:rsid w:val="439A02CB"/>
    <w:rsid w:val="49D45DBA"/>
    <w:rsid w:val="4F444112"/>
    <w:rsid w:val="528A7214"/>
    <w:rsid w:val="5A80020F"/>
    <w:rsid w:val="615D19A6"/>
    <w:rsid w:val="62132BEE"/>
    <w:rsid w:val="68C54D4A"/>
    <w:rsid w:val="6B947060"/>
    <w:rsid w:val="6B9F1613"/>
    <w:rsid w:val="6DFF40FC"/>
    <w:rsid w:val="6ED01F8A"/>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en-US" w:bidi="en-US"/>
    </w:rPr>
  </w:style>
  <w:style w:type="paragraph" w:styleId="2">
    <w:name w:val="heading 1"/>
    <w:basedOn w:val="1"/>
    <w:next w:val="1"/>
    <w:link w:val="20"/>
    <w:qFormat/>
    <w:uiPriority w:val="0"/>
    <w:pPr>
      <w:keepNext/>
      <w:keepLines/>
      <w:spacing w:before="340" w:after="330" w:line="578" w:lineRule="auto"/>
      <w:outlineLvl w:val="0"/>
    </w:pPr>
    <w:rPr>
      <w:rFonts w:ascii="Times New Roman" w:hAnsi="Times New Roman"/>
      <w:b/>
      <w:bCs/>
      <w:kern w:val="44"/>
      <w:sz w:val="44"/>
      <w:szCs w:val="44"/>
      <w:lang w:bidi="ar-SA"/>
    </w:rPr>
  </w:style>
  <w:style w:type="paragraph" w:styleId="3">
    <w:name w:val="heading 2"/>
    <w:basedOn w:val="1"/>
    <w:next w:val="1"/>
    <w:link w:val="22"/>
    <w:qFormat/>
    <w:uiPriority w:val="0"/>
    <w:pPr>
      <w:keepNext/>
      <w:spacing w:line="400" w:lineRule="atLeast"/>
      <w:jc w:val="center"/>
      <w:outlineLvl w:val="1"/>
    </w:pPr>
    <w:rPr>
      <w:rFonts w:ascii="宋体" w:hAnsi="宋体"/>
      <w:i/>
      <w:iCs/>
      <w:kern w:val="2"/>
      <w:szCs w:val="28"/>
      <w:lang w:bidi="ar-SA"/>
    </w:rPr>
  </w:style>
  <w:style w:type="paragraph" w:styleId="4">
    <w:name w:val="heading 3"/>
    <w:basedOn w:val="1"/>
    <w:next w:val="1"/>
    <w:link w:val="25"/>
    <w:qFormat/>
    <w:uiPriority w:val="0"/>
    <w:pPr>
      <w:keepNext/>
      <w:spacing w:line="440" w:lineRule="atLeast"/>
      <w:ind w:firstLine="1928" w:firstLineChars="800"/>
      <w:outlineLvl w:val="2"/>
    </w:pPr>
    <w:rPr>
      <w:rFonts w:ascii="宋体" w:hAnsi="宋体"/>
      <w:b/>
      <w:bCs/>
      <w:kern w:val="2"/>
      <w:lang w:bidi="ar-SA"/>
    </w:rPr>
  </w:style>
  <w:style w:type="paragraph" w:styleId="5">
    <w:name w:val="heading 4"/>
    <w:basedOn w:val="1"/>
    <w:next w:val="1"/>
    <w:link w:val="21"/>
    <w:qFormat/>
    <w:uiPriority w:val="0"/>
    <w:pPr>
      <w:keepNext/>
      <w:spacing w:line="400" w:lineRule="atLeast"/>
      <w:outlineLvl w:val="3"/>
    </w:pPr>
    <w:rPr>
      <w:rFonts w:ascii="Times New Roman" w:hAnsi="Times New Roman"/>
      <w:kern w:val="2"/>
      <w:sz w:val="28"/>
      <w:lang w:bidi="ar-SA"/>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2"/>
    <w:semiHidden/>
    <w:unhideWhenUsed/>
    <w:qFormat/>
    <w:uiPriority w:val="0"/>
  </w:style>
  <w:style w:type="paragraph" w:styleId="7">
    <w:name w:val="Body Text"/>
    <w:basedOn w:val="1"/>
    <w:qFormat/>
    <w:uiPriority w:val="0"/>
    <w:pPr>
      <w:spacing w:line="440" w:lineRule="exact"/>
    </w:pPr>
  </w:style>
  <w:style w:type="paragraph" w:styleId="8">
    <w:name w:val="Date"/>
    <w:basedOn w:val="1"/>
    <w:next w:val="1"/>
    <w:link w:val="34"/>
    <w:qFormat/>
    <w:uiPriority w:val="0"/>
    <w:pPr>
      <w:ind w:left="100" w:leftChars="2500"/>
    </w:pPr>
  </w:style>
  <w:style w:type="paragraph" w:styleId="9">
    <w:name w:val="Balloon Text"/>
    <w:basedOn w:val="1"/>
    <w:link w:val="30"/>
    <w:qFormat/>
    <w:uiPriority w:val="0"/>
    <w:rPr>
      <w:sz w:val="18"/>
      <w:szCs w:val="18"/>
    </w:rPr>
  </w:style>
  <w:style w:type="paragraph" w:styleId="10">
    <w:name w:val="footer"/>
    <w:basedOn w:val="1"/>
    <w:link w:val="31"/>
    <w:qFormat/>
    <w:uiPriority w:val="99"/>
    <w:pPr>
      <w:tabs>
        <w:tab w:val="center" w:pos="4153"/>
        <w:tab w:val="right" w:pos="8306"/>
      </w:tabs>
      <w:snapToGrid w:val="0"/>
    </w:pPr>
    <w:rPr>
      <w:sz w:val="18"/>
      <w:szCs w:val="18"/>
    </w:rPr>
  </w:style>
  <w:style w:type="paragraph" w:styleId="11">
    <w:name w:val="header"/>
    <w:basedOn w:val="1"/>
    <w:link w:val="19"/>
    <w:qFormat/>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paragraph" w:styleId="12">
    <w:name w:val="Title"/>
    <w:basedOn w:val="1"/>
    <w:next w:val="1"/>
    <w:link w:val="23"/>
    <w:qFormat/>
    <w:uiPriority w:val="0"/>
    <w:pPr>
      <w:spacing w:before="240" w:after="60"/>
      <w:jc w:val="center"/>
      <w:outlineLvl w:val="0"/>
    </w:pPr>
    <w:rPr>
      <w:rFonts w:ascii="等线 Light" w:hAnsi="等线 Light"/>
      <w:b/>
      <w:bCs/>
      <w:sz w:val="32"/>
      <w:szCs w:val="32"/>
    </w:rPr>
  </w:style>
  <w:style w:type="paragraph" w:styleId="13">
    <w:name w:val="annotation subject"/>
    <w:basedOn w:val="6"/>
    <w:next w:val="6"/>
    <w:link w:val="33"/>
    <w:semiHidden/>
    <w:unhideWhenUsed/>
    <w:qFormat/>
    <w:uiPriority w:val="0"/>
    <w:rPr>
      <w:b/>
      <w:bCs/>
    </w:rPr>
  </w:style>
  <w:style w:type="table" w:styleId="15">
    <w:name w:val="Table Grid"/>
    <w:basedOn w:val="14"/>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annotation reference"/>
    <w:basedOn w:val="16"/>
    <w:semiHidden/>
    <w:unhideWhenUsed/>
    <w:qFormat/>
    <w:uiPriority w:val="0"/>
    <w:rPr>
      <w:sz w:val="21"/>
      <w:szCs w:val="21"/>
    </w:rPr>
  </w:style>
  <w:style w:type="character" w:customStyle="1" w:styleId="19">
    <w:name w:val="页眉 字符"/>
    <w:link w:val="11"/>
    <w:qFormat/>
    <w:uiPriority w:val="0"/>
    <w:rPr>
      <w:rFonts w:eastAsia="宋体"/>
      <w:kern w:val="2"/>
      <w:sz w:val="18"/>
      <w:szCs w:val="18"/>
      <w:lang w:val="en-US" w:eastAsia="zh-CN" w:bidi="ar-SA"/>
    </w:rPr>
  </w:style>
  <w:style w:type="character" w:customStyle="1" w:styleId="20">
    <w:name w:val="标题 1 字符"/>
    <w:link w:val="2"/>
    <w:qFormat/>
    <w:uiPriority w:val="0"/>
    <w:rPr>
      <w:b/>
      <w:bCs/>
      <w:kern w:val="44"/>
      <w:sz w:val="44"/>
      <w:szCs w:val="44"/>
    </w:rPr>
  </w:style>
  <w:style w:type="character" w:customStyle="1" w:styleId="21">
    <w:name w:val="标题 4 字符"/>
    <w:link w:val="5"/>
    <w:qFormat/>
    <w:uiPriority w:val="0"/>
    <w:rPr>
      <w:kern w:val="2"/>
      <w:sz w:val="28"/>
      <w:szCs w:val="24"/>
    </w:rPr>
  </w:style>
  <w:style w:type="character" w:customStyle="1" w:styleId="22">
    <w:name w:val="标题 2 字符"/>
    <w:link w:val="3"/>
    <w:qFormat/>
    <w:uiPriority w:val="0"/>
    <w:rPr>
      <w:rFonts w:ascii="宋体" w:hAnsi="宋体"/>
      <w:i/>
      <w:iCs/>
      <w:kern w:val="2"/>
      <w:sz w:val="24"/>
      <w:szCs w:val="28"/>
    </w:rPr>
  </w:style>
  <w:style w:type="character" w:customStyle="1" w:styleId="23">
    <w:name w:val="标题 字符"/>
    <w:link w:val="12"/>
    <w:qFormat/>
    <w:uiPriority w:val="0"/>
    <w:rPr>
      <w:rFonts w:ascii="等线 Light" w:hAnsi="等线 Light" w:cs="Times New Roman"/>
      <w:b/>
      <w:bCs/>
      <w:sz w:val="32"/>
      <w:szCs w:val="32"/>
      <w:lang w:eastAsia="en-US" w:bidi="en-US"/>
    </w:rPr>
  </w:style>
  <w:style w:type="character" w:styleId="24">
    <w:name w:val="Placeholder Text"/>
    <w:semiHidden/>
    <w:qFormat/>
    <w:uiPriority w:val="99"/>
    <w:rPr>
      <w:color w:val="808080"/>
    </w:rPr>
  </w:style>
  <w:style w:type="character" w:customStyle="1" w:styleId="25">
    <w:name w:val="标题 3 字符"/>
    <w:link w:val="4"/>
    <w:qFormat/>
    <w:uiPriority w:val="0"/>
    <w:rPr>
      <w:rFonts w:ascii="宋体" w:hAnsi="宋体"/>
      <w:b/>
      <w:bCs/>
      <w:kern w:val="2"/>
      <w:sz w:val="24"/>
      <w:szCs w:val="24"/>
    </w:rPr>
  </w:style>
  <w:style w:type="paragraph" w:customStyle="1" w:styleId="26">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7">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8">
    <w:name w:val="列出段落1"/>
    <w:basedOn w:val="1"/>
    <w:qFormat/>
    <w:uiPriority w:val="99"/>
    <w:pPr>
      <w:ind w:firstLine="420" w:firstLineChars="200"/>
    </w:pPr>
  </w:style>
  <w:style w:type="paragraph" w:styleId="29">
    <w:name w:val="List Paragraph"/>
    <w:basedOn w:val="1"/>
    <w:qFormat/>
    <w:uiPriority w:val="99"/>
    <w:pPr>
      <w:ind w:firstLine="420" w:firstLineChars="200"/>
    </w:pPr>
    <w:rPr>
      <w:szCs w:val="22"/>
    </w:rPr>
  </w:style>
  <w:style w:type="character" w:customStyle="1" w:styleId="30">
    <w:name w:val="批注框文本 字符"/>
    <w:link w:val="9"/>
    <w:qFormat/>
    <w:uiPriority w:val="0"/>
    <w:rPr>
      <w:rFonts w:ascii="Calibri" w:hAnsi="Calibri"/>
      <w:sz w:val="18"/>
      <w:szCs w:val="18"/>
      <w:lang w:eastAsia="en-US" w:bidi="en-US"/>
    </w:rPr>
  </w:style>
  <w:style w:type="character" w:customStyle="1" w:styleId="31">
    <w:name w:val="页脚 字符"/>
    <w:basedOn w:val="16"/>
    <w:link w:val="10"/>
    <w:qFormat/>
    <w:uiPriority w:val="99"/>
    <w:rPr>
      <w:rFonts w:ascii="Calibri" w:hAnsi="Calibri"/>
      <w:sz w:val="18"/>
      <w:szCs w:val="18"/>
      <w:lang w:eastAsia="en-US" w:bidi="en-US"/>
    </w:rPr>
  </w:style>
  <w:style w:type="character" w:customStyle="1" w:styleId="32">
    <w:name w:val="批注文字 字符"/>
    <w:basedOn w:val="16"/>
    <w:link w:val="6"/>
    <w:semiHidden/>
    <w:qFormat/>
    <w:uiPriority w:val="0"/>
    <w:rPr>
      <w:rFonts w:ascii="Calibri" w:hAnsi="Calibri"/>
      <w:sz w:val="24"/>
      <w:szCs w:val="24"/>
      <w:lang w:eastAsia="en-US" w:bidi="en-US"/>
    </w:rPr>
  </w:style>
  <w:style w:type="character" w:customStyle="1" w:styleId="33">
    <w:name w:val="批注主题 字符"/>
    <w:basedOn w:val="32"/>
    <w:link w:val="13"/>
    <w:semiHidden/>
    <w:qFormat/>
    <w:uiPriority w:val="0"/>
    <w:rPr>
      <w:rFonts w:ascii="Calibri" w:hAnsi="Calibri"/>
      <w:b/>
      <w:bCs/>
      <w:sz w:val="24"/>
      <w:szCs w:val="24"/>
      <w:lang w:eastAsia="en-US" w:bidi="en-US"/>
    </w:rPr>
  </w:style>
  <w:style w:type="character" w:customStyle="1" w:styleId="34">
    <w:name w:val="日期 字符"/>
    <w:basedOn w:val="16"/>
    <w:link w:val="8"/>
    <w:qFormat/>
    <w:uiPriority w:val="0"/>
    <w:rPr>
      <w:rFonts w:ascii="Calibri" w:hAnsi="Calibri"/>
      <w:sz w:val="24"/>
      <w:szCs w:val="24"/>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8</Pages>
  <Words>1822</Words>
  <Characters>1905</Characters>
  <Lines>33</Lines>
  <Paragraphs>9</Paragraphs>
  <TotalTime>0</TotalTime>
  <ScaleCrop>false</ScaleCrop>
  <LinksUpToDate>false</LinksUpToDate>
  <CharactersWithSpaces>1920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2025-06-23T03:24:00Z</dcterms:created>
  <dc:creator>雨林木风</dc:creator>
  <cp:lastModifiedBy>G</cp:lastModifiedBy>
  <cp:lastPrinted>2019-07-02T02:25:00Z</cp:lastPrinted>
  <dcterms:modified xsi:type="dcterms:W3CDTF">2025-10-11T08:10:41Z</dcterms:modified>
  <dc:title>江西昌兴航空装备有限公司是依托我国署名的航空企业昌河飞机工业集团公司的技术支持，所成立的一家航空装备制造企业</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1E31623DC1384CDE9AD671B0698D20BE_13</vt:lpwstr>
  </property>
  <property fmtid="{D5CDD505-2E9C-101B-9397-08002B2CF9AE}" pid="4" name="KSOTemplateDocerSaveRecord">
    <vt:lpwstr>eyJoZGlkIjoiOGI4NjI5OTBmMDM1ODFlMDkzNDFlZTFiMWNhZWU5ZTMiLCJ1c2VySWQiOiIyNDc2ODcxNzgifQ==</vt:lpwstr>
  </property>
</Properties>
</file>