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3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58"/>
        <w:gridCol w:w="663"/>
        <w:gridCol w:w="391"/>
        <w:gridCol w:w="5"/>
        <w:gridCol w:w="594"/>
        <w:gridCol w:w="532"/>
        <w:gridCol w:w="286"/>
        <w:gridCol w:w="780"/>
        <w:gridCol w:w="823"/>
        <w:gridCol w:w="13"/>
        <w:gridCol w:w="171"/>
        <w:gridCol w:w="1036"/>
        <w:gridCol w:w="102"/>
        <w:gridCol w:w="309"/>
        <w:gridCol w:w="707"/>
        <w:gridCol w:w="84"/>
        <w:gridCol w:w="457"/>
        <w:gridCol w:w="368"/>
        <w:gridCol w:w="250"/>
        <w:gridCol w:w="1034"/>
      </w:tblGrid>
      <w:tr w14:paraId="62307B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76" w:hRule="atLeast"/>
          <w:jc w:val="center"/>
        </w:trPr>
        <w:tc>
          <w:tcPr>
            <w:tcW w:w="9363" w:type="dxa"/>
            <w:gridSpan w:val="20"/>
            <w:tcBorders>
              <w:top w:val="single" w:color="auto" w:sz="12" w:space="0"/>
              <w:left w:val="single" w:color="auto" w:sz="12" w:space="0"/>
              <w:right w:val="single" w:color="auto" w:sz="12" w:space="0"/>
            </w:tcBorders>
            <w:vAlign w:val="center"/>
          </w:tcPr>
          <w:p w14:paraId="781ECE42">
            <w:pPr>
              <w:widowControl w:val="0"/>
              <w:kinsoku/>
              <w:autoSpaceDE/>
              <w:autoSpaceDN/>
              <w:adjustRightInd/>
              <w:snapToGrid/>
              <w:spacing w:after="0" w:line="360" w:lineRule="auto"/>
              <w:jc w:val="center"/>
              <w:textAlignment w:val="auto"/>
              <w:rPr>
                <w:rFonts w:hint="eastAsia" w:ascii="黑体" w:hAnsi="Times" w:eastAsia="黑体" w:cs="Times New Roman"/>
                <w:bCs/>
                <w:snapToGrid/>
                <w:spacing w:val="20"/>
                <w:kern w:val="2"/>
                <w:sz w:val="36"/>
                <w:szCs w:val="36"/>
                <w:lang w:val="en-US" w:eastAsia="zh-CN"/>
              </w:rPr>
            </w:pPr>
            <w:r>
              <w:rPr>
                <w:rFonts w:hint="eastAsia" w:ascii="黑体" w:hAnsi="Times" w:eastAsia="黑体" w:cs="Times New Roman"/>
                <w:bCs/>
                <w:snapToGrid/>
                <w:spacing w:val="20"/>
                <w:kern w:val="2"/>
                <w:sz w:val="36"/>
                <w:szCs w:val="36"/>
                <w:lang w:val="en-US" w:eastAsia="zh-CN"/>
              </w:rPr>
              <w:t>沈阳昌兴复材航空科技有限责任公司</w:t>
            </w:r>
          </w:p>
          <w:p w14:paraId="4AD5C5A2">
            <w:pPr>
              <w:widowControl w:val="0"/>
              <w:kinsoku/>
              <w:autoSpaceDE/>
              <w:autoSpaceDN/>
              <w:adjustRightInd/>
              <w:snapToGrid/>
              <w:spacing w:after="0" w:line="360" w:lineRule="auto"/>
              <w:jc w:val="center"/>
              <w:textAlignment w:val="auto"/>
              <w:rPr>
                <w:rFonts w:ascii="宋体"/>
                <w:spacing w:val="160"/>
                <w:sz w:val="36"/>
                <w:szCs w:val="36"/>
              </w:rPr>
            </w:pPr>
            <w:r>
              <w:rPr>
                <w:rFonts w:hint="eastAsia" w:ascii="黑体" w:hAnsi="Times" w:eastAsia="黑体" w:cs="Times New Roman"/>
                <w:bCs/>
                <w:snapToGrid/>
                <w:spacing w:val="20"/>
                <w:kern w:val="2"/>
                <w:sz w:val="36"/>
                <w:szCs w:val="36"/>
                <w:lang w:val="en-US" w:eastAsia="zh-CN"/>
              </w:rPr>
              <w:t>制 度 文 件</w:t>
            </w:r>
          </w:p>
        </w:tc>
      </w:tr>
      <w:tr w14:paraId="09BC33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restart"/>
            <w:tcBorders>
              <w:left w:val="single" w:color="auto" w:sz="12" w:space="0"/>
            </w:tcBorders>
            <w:vAlign w:val="center"/>
          </w:tcPr>
          <w:p w14:paraId="2904CD7A">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文件名称</w:t>
            </w:r>
          </w:p>
        </w:tc>
        <w:tc>
          <w:tcPr>
            <w:tcW w:w="4733" w:type="dxa"/>
            <w:gridSpan w:val="11"/>
            <w:vMerge w:val="restart"/>
            <w:vAlign w:val="center"/>
          </w:tcPr>
          <w:p w14:paraId="177B37BF">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公司月度绩效考核管理规定（暂行）</w:t>
            </w:r>
          </w:p>
        </w:tc>
        <w:tc>
          <w:tcPr>
            <w:tcW w:w="1557" w:type="dxa"/>
            <w:gridSpan w:val="4"/>
            <w:tcBorders>
              <w:bottom w:val="single" w:color="auto" w:sz="4" w:space="0"/>
            </w:tcBorders>
            <w:vAlign w:val="center"/>
          </w:tcPr>
          <w:p w14:paraId="5C7D012D">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文件编号</w:t>
            </w:r>
          </w:p>
        </w:tc>
        <w:tc>
          <w:tcPr>
            <w:tcW w:w="1652" w:type="dxa"/>
            <w:gridSpan w:val="3"/>
            <w:tcBorders>
              <w:bottom w:val="single" w:color="auto" w:sz="4" w:space="0"/>
              <w:right w:val="single" w:color="auto" w:sz="12" w:space="0"/>
            </w:tcBorders>
            <w:vAlign w:val="center"/>
          </w:tcPr>
          <w:p w14:paraId="5B94BD90">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GLTX-JY-05</w:t>
            </w:r>
          </w:p>
        </w:tc>
      </w:tr>
      <w:tr w14:paraId="6687DE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7DFD4486">
            <w:pPr>
              <w:spacing w:before="40" w:line="400" w:lineRule="exact"/>
              <w:jc w:val="center"/>
              <w:rPr>
                <w:rFonts w:ascii="黑体" w:eastAsia="黑体"/>
                <w:sz w:val="30"/>
                <w:szCs w:val="30"/>
              </w:rPr>
            </w:pPr>
          </w:p>
        </w:tc>
        <w:tc>
          <w:tcPr>
            <w:tcW w:w="4733" w:type="dxa"/>
            <w:gridSpan w:val="11"/>
            <w:vMerge w:val="continue"/>
            <w:vAlign w:val="center"/>
          </w:tcPr>
          <w:p w14:paraId="434B651E">
            <w:pPr>
              <w:spacing w:line="400" w:lineRule="exact"/>
              <w:jc w:val="center"/>
              <w:rPr>
                <w:rFonts w:hint="eastAsia" w:ascii="黑体" w:hAnsi="宋体" w:eastAsia="黑体"/>
                <w:sz w:val="30"/>
                <w:szCs w:val="30"/>
              </w:rPr>
            </w:pPr>
          </w:p>
        </w:tc>
        <w:tc>
          <w:tcPr>
            <w:tcW w:w="1557" w:type="dxa"/>
            <w:gridSpan w:val="4"/>
            <w:tcBorders>
              <w:top w:val="single" w:color="auto" w:sz="4" w:space="0"/>
            </w:tcBorders>
            <w:vAlign w:val="center"/>
          </w:tcPr>
          <w:p w14:paraId="4E34ABB7">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版次</w:t>
            </w:r>
          </w:p>
        </w:tc>
        <w:tc>
          <w:tcPr>
            <w:tcW w:w="1652" w:type="dxa"/>
            <w:gridSpan w:val="3"/>
            <w:tcBorders>
              <w:top w:val="single" w:color="auto" w:sz="4" w:space="0"/>
              <w:right w:val="single" w:color="auto" w:sz="12" w:space="0"/>
            </w:tcBorders>
            <w:vAlign w:val="center"/>
          </w:tcPr>
          <w:p w14:paraId="1B973E80">
            <w:pPr>
              <w:widowControl w:val="0"/>
              <w:kinsoku/>
              <w:autoSpaceDE/>
              <w:autoSpaceDN/>
              <w:adjustRightInd/>
              <w:snapToGrid/>
              <w:spacing w:after="0" w:line="400" w:lineRule="exact"/>
              <w:jc w:val="center"/>
              <w:textAlignment w:val="auto"/>
              <w:rPr>
                <w:rFonts w:hint="default"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D</w:t>
            </w:r>
          </w:p>
        </w:tc>
      </w:tr>
      <w:tr w14:paraId="4EA584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3C39AF8A">
            <w:pPr>
              <w:spacing w:before="40" w:line="400" w:lineRule="exact"/>
              <w:jc w:val="center"/>
              <w:rPr>
                <w:rFonts w:ascii="黑体" w:eastAsia="黑体"/>
                <w:sz w:val="30"/>
                <w:szCs w:val="30"/>
              </w:rPr>
            </w:pPr>
          </w:p>
        </w:tc>
        <w:tc>
          <w:tcPr>
            <w:tcW w:w="4733" w:type="dxa"/>
            <w:gridSpan w:val="11"/>
            <w:vMerge w:val="continue"/>
            <w:vAlign w:val="center"/>
          </w:tcPr>
          <w:p w14:paraId="5FAE11AC">
            <w:pPr>
              <w:spacing w:line="400" w:lineRule="exact"/>
              <w:jc w:val="center"/>
              <w:rPr>
                <w:rFonts w:hint="eastAsia" w:ascii="黑体" w:hAnsi="宋体" w:eastAsia="黑体"/>
                <w:sz w:val="30"/>
                <w:szCs w:val="30"/>
              </w:rPr>
            </w:pPr>
          </w:p>
        </w:tc>
        <w:tc>
          <w:tcPr>
            <w:tcW w:w="1557" w:type="dxa"/>
            <w:gridSpan w:val="4"/>
            <w:tcBorders>
              <w:top w:val="single" w:color="auto" w:sz="4" w:space="0"/>
            </w:tcBorders>
            <w:vAlign w:val="center"/>
          </w:tcPr>
          <w:p w14:paraId="448DBB0C">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文件类别</w:t>
            </w:r>
          </w:p>
        </w:tc>
        <w:tc>
          <w:tcPr>
            <w:tcW w:w="1652" w:type="dxa"/>
            <w:gridSpan w:val="3"/>
            <w:tcBorders>
              <w:top w:val="single" w:color="auto" w:sz="4" w:space="0"/>
              <w:right w:val="single" w:color="auto" w:sz="12" w:space="0"/>
            </w:tcBorders>
            <w:vAlign w:val="center"/>
          </w:tcPr>
          <w:p w14:paraId="1F015831">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管理规定</w:t>
            </w:r>
          </w:p>
        </w:tc>
      </w:tr>
      <w:tr w14:paraId="5970AF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1421" w:type="dxa"/>
            <w:gridSpan w:val="2"/>
            <w:tcBorders>
              <w:left w:val="single" w:color="auto" w:sz="12" w:space="0"/>
            </w:tcBorders>
            <w:vAlign w:val="center"/>
          </w:tcPr>
          <w:p w14:paraId="674C2384">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发文部门</w:t>
            </w:r>
          </w:p>
        </w:tc>
        <w:tc>
          <w:tcPr>
            <w:tcW w:w="2588" w:type="dxa"/>
            <w:gridSpan w:val="6"/>
            <w:vAlign w:val="center"/>
          </w:tcPr>
          <w:p w14:paraId="4DDF24E1">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经营发展部</w:t>
            </w:r>
          </w:p>
        </w:tc>
        <w:tc>
          <w:tcPr>
            <w:tcW w:w="2145" w:type="dxa"/>
            <w:gridSpan w:val="5"/>
            <w:vAlign w:val="center"/>
          </w:tcPr>
          <w:p w14:paraId="418B3477">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共 22 页</w:t>
            </w:r>
          </w:p>
        </w:tc>
        <w:tc>
          <w:tcPr>
            <w:tcW w:w="1557" w:type="dxa"/>
            <w:gridSpan w:val="4"/>
            <w:vAlign w:val="center"/>
          </w:tcPr>
          <w:p w14:paraId="2D3918DC">
            <w:pPr>
              <w:widowControl w:val="0"/>
              <w:kinsoku/>
              <w:autoSpaceDE/>
              <w:autoSpaceDN/>
              <w:adjustRightInd/>
              <w:snapToGrid/>
              <w:spacing w:after="0" w:line="400" w:lineRule="exact"/>
              <w:jc w:val="center"/>
              <w:textAlignment w:val="auto"/>
              <w:rPr>
                <w:rFonts w:hint="eastAsia"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实施日期</w:t>
            </w:r>
          </w:p>
        </w:tc>
        <w:tc>
          <w:tcPr>
            <w:tcW w:w="1652" w:type="dxa"/>
            <w:gridSpan w:val="3"/>
            <w:tcBorders>
              <w:right w:val="single" w:color="auto" w:sz="12" w:space="0"/>
            </w:tcBorders>
            <w:vAlign w:val="center"/>
          </w:tcPr>
          <w:p w14:paraId="06322466">
            <w:pPr>
              <w:widowControl w:val="0"/>
              <w:kinsoku/>
              <w:autoSpaceDE/>
              <w:autoSpaceDN/>
              <w:adjustRightInd/>
              <w:snapToGrid/>
              <w:spacing w:after="0" w:line="400" w:lineRule="exact"/>
              <w:jc w:val="center"/>
              <w:textAlignment w:val="auto"/>
              <w:rPr>
                <w:rFonts w:hint="default" w:ascii="黑体" w:eastAsia="黑体" w:hAnsiTheme="minorHAnsi" w:cstheme="minorBidi"/>
                <w:snapToGrid/>
                <w:kern w:val="2"/>
                <w:sz w:val="28"/>
                <w:szCs w:val="36"/>
                <w:lang w:val="en-US" w:eastAsia="zh-CN"/>
              </w:rPr>
            </w:pPr>
            <w:r>
              <w:rPr>
                <w:rFonts w:hint="eastAsia" w:ascii="黑体" w:eastAsia="黑体" w:hAnsiTheme="minorHAnsi" w:cstheme="minorBidi"/>
                <w:snapToGrid/>
                <w:kern w:val="2"/>
                <w:sz w:val="28"/>
                <w:szCs w:val="36"/>
                <w:lang w:val="en-US" w:eastAsia="zh-CN"/>
              </w:rPr>
              <w:t>2026-4-30</w:t>
            </w:r>
          </w:p>
        </w:tc>
      </w:tr>
      <w:tr w14:paraId="7E0A31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9363" w:type="dxa"/>
            <w:gridSpan w:val="20"/>
            <w:tcBorders>
              <w:left w:val="single" w:color="auto" w:sz="12" w:space="0"/>
              <w:right w:val="single" w:color="auto" w:sz="12" w:space="0"/>
            </w:tcBorders>
            <w:vAlign w:val="center"/>
          </w:tcPr>
          <w:p w14:paraId="0EE72C0A">
            <w:pPr>
              <w:widowControl w:val="0"/>
              <w:kinsoku/>
              <w:autoSpaceDE/>
              <w:autoSpaceDN/>
              <w:adjustRightInd/>
              <w:snapToGrid/>
              <w:spacing w:after="0" w:line="240" w:lineRule="auto"/>
              <w:jc w:val="center"/>
              <w:textAlignment w:val="auto"/>
              <w:rPr>
                <w:rFonts w:hint="eastAsia" w:ascii="宋体" w:hAnsi="Times" w:eastAsia="宋体" w:cs="Times New Roman"/>
                <w:bCs/>
                <w:snapToGrid/>
                <w:kern w:val="2"/>
                <w:sz w:val="24"/>
                <w:szCs w:val="28"/>
                <w:lang w:val="en-US" w:eastAsia="zh-CN"/>
              </w:rPr>
            </w:pPr>
            <w:r>
              <w:rPr>
                <w:rFonts w:hint="eastAsia" w:ascii="宋体" w:hAnsi="Times" w:eastAsia="宋体" w:cs="Times New Roman"/>
                <w:bCs/>
                <w:snapToGrid/>
                <w:kern w:val="2"/>
                <w:sz w:val="24"/>
                <w:szCs w:val="28"/>
                <w:lang w:val="en-US" w:eastAsia="zh-CN"/>
              </w:rPr>
              <w:t>更    改    记    录</w:t>
            </w:r>
          </w:p>
        </w:tc>
      </w:tr>
      <w:tr w14:paraId="0F6478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2411" w:type="dxa"/>
            <w:gridSpan w:val="5"/>
            <w:tcBorders>
              <w:left w:val="single" w:color="auto" w:sz="12" w:space="0"/>
              <w:bottom w:val="single" w:color="auto" w:sz="6" w:space="0"/>
            </w:tcBorders>
            <w:vAlign w:val="center"/>
          </w:tcPr>
          <w:p w14:paraId="79D23876">
            <w:pPr>
              <w:widowControl w:val="0"/>
              <w:kinsoku/>
              <w:autoSpaceDE/>
              <w:autoSpaceDN/>
              <w:adjustRightInd/>
              <w:snapToGrid/>
              <w:spacing w:after="0" w:line="240" w:lineRule="auto"/>
              <w:jc w:val="center"/>
              <w:textAlignment w:val="auto"/>
              <w:rPr>
                <w:rFonts w:hint="eastAsia" w:ascii="宋体" w:hAnsi="Times" w:eastAsia="宋体" w:cs="Times New Roman"/>
                <w:bCs/>
                <w:snapToGrid/>
                <w:kern w:val="2"/>
                <w:sz w:val="24"/>
                <w:szCs w:val="28"/>
                <w:lang w:val="en-US" w:eastAsia="zh-CN"/>
              </w:rPr>
            </w:pPr>
            <w:r>
              <w:rPr>
                <w:rFonts w:hint="eastAsia" w:ascii="宋体" w:hAnsi="Times" w:eastAsia="宋体" w:cs="Times New Roman"/>
                <w:bCs/>
                <w:snapToGrid/>
                <w:kern w:val="2"/>
                <w:sz w:val="24"/>
                <w:szCs w:val="28"/>
                <w:lang w:val="en-US" w:eastAsia="zh-CN"/>
              </w:rPr>
              <w:t>页码</w:t>
            </w:r>
          </w:p>
        </w:tc>
        <w:tc>
          <w:tcPr>
            <w:tcW w:w="2421" w:type="dxa"/>
            <w:gridSpan w:val="4"/>
            <w:tcBorders>
              <w:bottom w:val="single" w:color="auto" w:sz="6" w:space="0"/>
            </w:tcBorders>
            <w:vAlign w:val="center"/>
          </w:tcPr>
          <w:p w14:paraId="053962F4">
            <w:pPr>
              <w:widowControl w:val="0"/>
              <w:kinsoku/>
              <w:autoSpaceDE/>
              <w:autoSpaceDN/>
              <w:adjustRightInd/>
              <w:snapToGrid/>
              <w:spacing w:after="0" w:line="240" w:lineRule="auto"/>
              <w:jc w:val="center"/>
              <w:textAlignment w:val="auto"/>
              <w:rPr>
                <w:rFonts w:hint="eastAsia" w:ascii="宋体" w:hAnsi="Times" w:eastAsia="宋体" w:cs="Times New Roman"/>
                <w:bCs/>
                <w:snapToGrid/>
                <w:kern w:val="2"/>
                <w:sz w:val="24"/>
                <w:szCs w:val="28"/>
                <w:lang w:val="en-US" w:eastAsia="zh-CN"/>
              </w:rPr>
            </w:pPr>
            <w:r>
              <w:rPr>
                <w:rFonts w:hint="eastAsia" w:ascii="宋体" w:hAnsi="Times" w:eastAsia="宋体" w:cs="Times New Roman"/>
                <w:bCs/>
                <w:snapToGrid/>
                <w:kern w:val="2"/>
                <w:sz w:val="24"/>
                <w:szCs w:val="28"/>
                <w:lang w:val="en-US" w:eastAsia="zh-CN"/>
              </w:rPr>
              <w:t>更改单编号</w:t>
            </w:r>
          </w:p>
        </w:tc>
        <w:tc>
          <w:tcPr>
            <w:tcW w:w="2422" w:type="dxa"/>
            <w:gridSpan w:val="7"/>
            <w:tcBorders>
              <w:bottom w:val="single" w:color="auto" w:sz="6" w:space="0"/>
            </w:tcBorders>
            <w:vAlign w:val="center"/>
          </w:tcPr>
          <w:p w14:paraId="7C8E80FD">
            <w:pPr>
              <w:widowControl w:val="0"/>
              <w:kinsoku/>
              <w:autoSpaceDE/>
              <w:autoSpaceDN/>
              <w:adjustRightInd/>
              <w:snapToGrid/>
              <w:spacing w:after="0" w:line="240" w:lineRule="auto"/>
              <w:jc w:val="center"/>
              <w:textAlignment w:val="auto"/>
              <w:rPr>
                <w:rFonts w:hint="eastAsia" w:ascii="宋体" w:hAnsi="Times" w:eastAsia="宋体" w:cs="Times New Roman"/>
                <w:bCs/>
                <w:snapToGrid/>
                <w:kern w:val="2"/>
                <w:sz w:val="24"/>
                <w:szCs w:val="28"/>
                <w:lang w:val="en-US" w:eastAsia="zh-CN"/>
              </w:rPr>
            </w:pPr>
            <w:r>
              <w:rPr>
                <w:rFonts w:hint="eastAsia" w:ascii="宋体" w:hAnsi="Times" w:eastAsia="宋体" w:cs="Times New Roman"/>
                <w:bCs/>
                <w:snapToGrid/>
                <w:kern w:val="2"/>
                <w:sz w:val="24"/>
                <w:szCs w:val="28"/>
                <w:lang w:val="en-US" w:eastAsia="zh-CN"/>
              </w:rPr>
              <w:t>更改者签字</w:t>
            </w:r>
          </w:p>
        </w:tc>
        <w:tc>
          <w:tcPr>
            <w:tcW w:w="2109" w:type="dxa"/>
            <w:gridSpan w:val="4"/>
            <w:tcBorders>
              <w:bottom w:val="single" w:color="auto" w:sz="6" w:space="0"/>
              <w:right w:val="single" w:color="auto" w:sz="12" w:space="0"/>
            </w:tcBorders>
            <w:vAlign w:val="center"/>
          </w:tcPr>
          <w:p w14:paraId="7B0B42DA">
            <w:pPr>
              <w:widowControl w:val="0"/>
              <w:kinsoku/>
              <w:autoSpaceDE/>
              <w:autoSpaceDN/>
              <w:adjustRightInd/>
              <w:snapToGrid/>
              <w:spacing w:after="0" w:line="240" w:lineRule="auto"/>
              <w:jc w:val="center"/>
              <w:textAlignment w:val="auto"/>
              <w:rPr>
                <w:rFonts w:hint="eastAsia" w:ascii="宋体" w:hAnsi="Times" w:eastAsia="宋体" w:cs="Times New Roman"/>
                <w:bCs/>
                <w:snapToGrid/>
                <w:kern w:val="2"/>
                <w:sz w:val="24"/>
                <w:szCs w:val="28"/>
                <w:lang w:val="en-US" w:eastAsia="zh-CN"/>
              </w:rPr>
            </w:pPr>
            <w:r>
              <w:rPr>
                <w:rFonts w:hint="eastAsia" w:ascii="宋体" w:hAnsi="Times" w:eastAsia="宋体" w:cs="Times New Roman"/>
                <w:bCs/>
                <w:snapToGrid/>
                <w:kern w:val="2"/>
                <w:sz w:val="24"/>
                <w:szCs w:val="28"/>
                <w:lang w:val="en-US" w:eastAsia="zh-CN"/>
              </w:rPr>
              <w:t>更改日期</w:t>
            </w:r>
          </w:p>
        </w:tc>
      </w:tr>
      <w:tr w14:paraId="3C1D52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4B445FC5">
            <w:pPr>
              <w:jc w:val="center"/>
              <w:rPr>
                <w:rFonts w:ascii="宋体"/>
              </w:rPr>
            </w:pPr>
          </w:p>
        </w:tc>
        <w:tc>
          <w:tcPr>
            <w:tcW w:w="2421" w:type="dxa"/>
            <w:gridSpan w:val="4"/>
            <w:tcBorders>
              <w:left w:val="single" w:color="auto" w:sz="6" w:space="0"/>
              <w:right w:val="single" w:color="auto" w:sz="6" w:space="0"/>
            </w:tcBorders>
            <w:vAlign w:val="center"/>
          </w:tcPr>
          <w:p w14:paraId="2052BFD1">
            <w:pPr>
              <w:jc w:val="center"/>
              <w:rPr>
                <w:rFonts w:ascii="宋体"/>
              </w:rPr>
            </w:pPr>
          </w:p>
        </w:tc>
        <w:tc>
          <w:tcPr>
            <w:tcW w:w="2422" w:type="dxa"/>
            <w:gridSpan w:val="7"/>
            <w:tcBorders>
              <w:left w:val="single" w:color="auto" w:sz="6" w:space="0"/>
              <w:right w:val="single" w:color="auto" w:sz="6" w:space="0"/>
            </w:tcBorders>
            <w:vAlign w:val="center"/>
          </w:tcPr>
          <w:p w14:paraId="37F7A2FD">
            <w:pPr>
              <w:jc w:val="center"/>
              <w:rPr>
                <w:rFonts w:ascii="宋体"/>
              </w:rPr>
            </w:pPr>
          </w:p>
        </w:tc>
        <w:tc>
          <w:tcPr>
            <w:tcW w:w="2109" w:type="dxa"/>
            <w:gridSpan w:val="4"/>
            <w:tcBorders>
              <w:left w:val="single" w:color="auto" w:sz="6" w:space="0"/>
              <w:right w:val="single" w:color="auto" w:sz="12" w:space="0"/>
            </w:tcBorders>
            <w:vAlign w:val="center"/>
          </w:tcPr>
          <w:p w14:paraId="74F00CAD">
            <w:pPr>
              <w:jc w:val="center"/>
              <w:rPr>
                <w:rFonts w:ascii="宋体"/>
              </w:rPr>
            </w:pPr>
          </w:p>
        </w:tc>
      </w:tr>
      <w:tr w14:paraId="7A03A9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5528BAA8">
            <w:pPr>
              <w:jc w:val="center"/>
              <w:rPr>
                <w:rFonts w:ascii="宋体"/>
              </w:rPr>
            </w:pPr>
          </w:p>
        </w:tc>
        <w:tc>
          <w:tcPr>
            <w:tcW w:w="2421" w:type="dxa"/>
            <w:gridSpan w:val="4"/>
            <w:tcBorders>
              <w:left w:val="single" w:color="auto" w:sz="6" w:space="0"/>
              <w:right w:val="single" w:color="auto" w:sz="6" w:space="0"/>
            </w:tcBorders>
            <w:vAlign w:val="center"/>
          </w:tcPr>
          <w:p w14:paraId="61E5AC7C">
            <w:pPr>
              <w:jc w:val="center"/>
              <w:rPr>
                <w:rFonts w:ascii="宋体"/>
              </w:rPr>
            </w:pPr>
          </w:p>
        </w:tc>
        <w:tc>
          <w:tcPr>
            <w:tcW w:w="2422" w:type="dxa"/>
            <w:gridSpan w:val="7"/>
            <w:tcBorders>
              <w:left w:val="single" w:color="auto" w:sz="6" w:space="0"/>
              <w:right w:val="single" w:color="auto" w:sz="6" w:space="0"/>
            </w:tcBorders>
            <w:vAlign w:val="center"/>
          </w:tcPr>
          <w:p w14:paraId="1E71912B">
            <w:pPr>
              <w:jc w:val="center"/>
              <w:rPr>
                <w:rFonts w:ascii="宋体"/>
              </w:rPr>
            </w:pPr>
          </w:p>
        </w:tc>
        <w:tc>
          <w:tcPr>
            <w:tcW w:w="2109" w:type="dxa"/>
            <w:gridSpan w:val="4"/>
            <w:tcBorders>
              <w:left w:val="single" w:color="auto" w:sz="6" w:space="0"/>
              <w:right w:val="single" w:color="auto" w:sz="12" w:space="0"/>
            </w:tcBorders>
            <w:vAlign w:val="center"/>
          </w:tcPr>
          <w:p w14:paraId="2F23050F">
            <w:pPr>
              <w:jc w:val="center"/>
              <w:rPr>
                <w:rFonts w:ascii="宋体"/>
              </w:rPr>
            </w:pPr>
          </w:p>
        </w:tc>
      </w:tr>
      <w:tr w14:paraId="2A12E4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4E186792">
            <w:pPr>
              <w:jc w:val="center"/>
              <w:rPr>
                <w:rFonts w:ascii="宋体"/>
              </w:rPr>
            </w:pPr>
          </w:p>
        </w:tc>
        <w:tc>
          <w:tcPr>
            <w:tcW w:w="2421" w:type="dxa"/>
            <w:gridSpan w:val="4"/>
            <w:tcBorders>
              <w:left w:val="single" w:color="auto" w:sz="6" w:space="0"/>
              <w:right w:val="single" w:color="auto" w:sz="6" w:space="0"/>
            </w:tcBorders>
            <w:vAlign w:val="center"/>
          </w:tcPr>
          <w:p w14:paraId="10B71A1E">
            <w:pPr>
              <w:jc w:val="center"/>
              <w:rPr>
                <w:rFonts w:ascii="宋体"/>
              </w:rPr>
            </w:pPr>
          </w:p>
        </w:tc>
        <w:tc>
          <w:tcPr>
            <w:tcW w:w="2422" w:type="dxa"/>
            <w:gridSpan w:val="7"/>
            <w:tcBorders>
              <w:left w:val="single" w:color="auto" w:sz="6" w:space="0"/>
              <w:right w:val="single" w:color="auto" w:sz="6" w:space="0"/>
            </w:tcBorders>
            <w:vAlign w:val="center"/>
          </w:tcPr>
          <w:p w14:paraId="3136C738">
            <w:pPr>
              <w:jc w:val="center"/>
              <w:rPr>
                <w:rFonts w:ascii="宋体"/>
              </w:rPr>
            </w:pPr>
          </w:p>
        </w:tc>
        <w:tc>
          <w:tcPr>
            <w:tcW w:w="2109" w:type="dxa"/>
            <w:gridSpan w:val="4"/>
            <w:tcBorders>
              <w:left w:val="single" w:color="auto" w:sz="6" w:space="0"/>
              <w:right w:val="single" w:color="auto" w:sz="12" w:space="0"/>
            </w:tcBorders>
            <w:vAlign w:val="center"/>
          </w:tcPr>
          <w:p w14:paraId="07B10F58">
            <w:pPr>
              <w:jc w:val="center"/>
              <w:rPr>
                <w:rFonts w:ascii="宋体"/>
              </w:rPr>
            </w:pPr>
          </w:p>
        </w:tc>
      </w:tr>
      <w:tr w14:paraId="55A534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674880FA">
            <w:pPr>
              <w:jc w:val="center"/>
              <w:rPr>
                <w:rFonts w:ascii="宋体"/>
              </w:rPr>
            </w:pPr>
          </w:p>
        </w:tc>
        <w:tc>
          <w:tcPr>
            <w:tcW w:w="2421" w:type="dxa"/>
            <w:gridSpan w:val="4"/>
            <w:tcBorders>
              <w:left w:val="single" w:color="auto" w:sz="6" w:space="0"/>
              <w:right w:val="single" w:color="auto" w:sz="6" w:space="0"/>
            </w:tcBorders>
            <w:vAlign w:val="center"/>
          </w:tcPr>
          <w:p w14:paraId="078CB926">
            <w:pPr>
              <w:jc w:val="center"/>
              <w:rPr>
                <w:rFonts w:ascii="宋体"/>
              </w:rPr>
            </w:pPr>
          </w:p>
        </w:tc>
        <w:tc>
          <w:tcPr>
            <w:tcW w:w="2422" w:type="dxa"/>
            <w:gridSpan w:val="7"/>
            <w:tcBorders>
              <w:left w:val="single" w:color="auto" w:sz="6" w:space="0"/>
              <w:right w:val="single" w:color="auto" w:sz="6" w:space="0"/>
            </w:tcBorders>
            <w:vAlign w:val="center"/>
          </w:tcPr>
          <w:p w14:paraId="1CF4AF25">
            <w:pPr>
              <w:jc w:val="center"/>
              <w:rPr>
                <w:rFonts w:ascii="宋体"/>
              </w:rPr>
            </w:pPr>
          </w:p>
        </w:tc>
        <w:tc>
          <w:tcPr>
            <w:tcW w:w="2109" w:type="dxa"/>
            <w:gridSpan w:val="4"/>
            <w:tcBorders>
              <w:left w:val="single" w:color="auto" w:sz="6" w:space="0"/>
              <w:right w:val="single" w:color="auto" w:sz="12" w:space="0"/>
            </w:tcBorders>
            <w:vAlign w:val="center"/>
          </w:tcPr>
          <w:p w14:paraId="1F3D603B">
            <w:pPr>
              <w:jc w:val="center"/>
              <w:rPr>
                <w:rFonts w:ascii="宋体"/>
              </w:rPr>
            </w:pPr>
          </w:p>
        </w:tc>
      </w:tr>
      <w:tr w14:paraId="7E1C80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10" w:hRule="atLeast"/>
          <w:jc w:val="center"/>
        </w:trPr>
        <w:tc>
          <w:tcPr>
            <w:tcW w:w="9363" w:type="dxa"/>
            <w:gridSpan w:val="20"/>
            <w:tcBorders>
              <w:left w:val="single" w:color="auto" w:sz="12" w:space="0"/>
              <w:right w:val="single" w:color="auto" w:sz="12" w:space="0"/>
            </w:tcBorders>
            <w:vAlign w:val="center"/>
          </w:tcPr>
          <w:p w14:paraId="5A176E64">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32"/>
                <w:szCs w:val="24"/>
              </w:rPr>
            </w:pPr>
            <w:r>
              <w:rPr>
                <w:rFonts w:hint="eastAsia" w:ascii="宋体"/>
                <w:sz w:val="24"/>
              </w:rPr>
              <w:t>分发路线</w:t>
            </w:r>
          </w:p>
        </w:tc>
      </w:tr>
      <w:tr w14:paraId="3D24E1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6" w:hRule="atLeast"/>
          <w:jc w:val="center"/>
        </w:trPr>
        <w:tc>
          <w:tcPr>
            <w:tcW w:w="758" w:type="dxa"/>
            <w:tcBorders>
              <w:left w:val="single" w:color="auto" w:sz="12" w:space="0"/>
            </w:tcBorders>
            <w:vAlign w:val="center"/>
          </w:tcPr>
          <w:p w14:paraId="2F33EE1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50"/>
                <w:sz w:val="24"/>
                <w:szCs w:val="24"/>
              </w:rPr>
            </w:pPr>
            <w:r>
              <w:rPr>
                <w:rFonts w:hint="eastAsia" w:ascii="宋体"/>
                <w:spacing w:val="50"/>
                <w:szCs w:val="21"/>
                <w:lang w:val="en-US" w:eastAsia="zh-CN"/>
              </w:rPr>
              <w:t>部门</w:t>
            </w:r>
          </w:p>
        </w:tc>
        <w:tc>
          <w:tcPr>
            <w:tcW w:w="1059" w:type="dxa"/>
            <w:gridSpan w:val="3"/>
            <w:vAlign w:val="center"/>
          </w:tcPr>
          <w:p w14:paraId="283CB830">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经营</w:t>
            </w:r>
          </w:p>
          <w:p w14:paraId="4D57B84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发展部</w:t>
            </w:r>
          </w:p>
        </w:tc>
        <w:tc>
          <w:tcPr>
            <w:tcW w:w="1126" w:type="dxa"/>
            <w:gridSpan w:val="2"/>
            <w:vAlign w:val="center"/>
          </w:tcPr>
          <w:p w14:paraId="3EFCCE83">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行政</w:t>
            </w:r>
          </w:p>
          <w:p w14:paraId="65FECF9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人事部</w:t>
            </w:r>
          </w:p>
        </w:tc>
        <w:tc>
          <w:tcPr>
            <w:tcW w:w="1066" w:type="dxa"/>
            <w:gridSpan w:val="2"/>
            <w:vAlign w:val="center"/>
          </w:tcPr>
          <w:p w14:paraId="17C1C9B2">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工程</w:t>
            </w:r>
          </w:p>
          <w:p w14:paraId="1D51583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技术部</w:t>
            </w:r>
          </w:p>
        </w:tc>
        <w:tc>
          <w:tcPr>
            <w:tcW w:w="1007" w:type="dxa"/>
            <w:gridSpan w:val="3"/>
            <w:vAlign w:val="center"/>
          </w:tcPr>
          <w:p w14:paraId="6431A237">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财务部</w:t>
            </w:r>
          </w:p>
        </w:tc>
        <w:tc>
          <w:tcPr>
            <w:tcW w:w="1036" w:type="dxa"/>
            <w:vAlign w:val="center"/>
          </w:tcPr>
          <w:p w14:paraId="680B3B5E">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质量</w:t>
            </w:r>
          </w:p>
          <w:p w14:paraId="26263E58">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pPr>
            <w:r>
              <w:rPr>
                <w:rFonts w:hint="eastAsia" w:ascii="宋体"/>
                <w:spacing w:val="50"/>
                <w:szCs w:val="21"/>
                <w:lang w:val="en-US" w:eastAsia="zh-CN"/>
              </w:rPr>
              <w:t>管理部</w:t>
            </w:r>
          </w:p>
        </w:tc>
        <w:tc>
          <w:tcPr>
            <w:tcW w:w="1118" w:type="dxa"/>
            <w:gridSpan w:val="3"/>
            <w:vAlign w:val="center"/>
          </w:tcPr>
          <w:p w14:paraId="7A681594">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项目</w:t>
            </w:r>
          </w:p>
          <w:p w14:paraId="0DC53897">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管理部</w:t>
            </w:r>
          </w:p>
        </w:tc>
        <w:tc>
          <w:tcPr>
            <w:tcW w:w="1159" w:type="dxa"/>
            <w:gridSpan w:val="4"/>
            <w:vAlign w:val="center"/>
          </w:tcPr>
          <w:p w14:paraId="055DC1E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物资</w:t>
            </w:r>
          </w:p>
          <w:p w14:paraId="73B43A1F">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保障部</w:t>
            </w:r>
          </w:p>
        </w:tc>
        <w:tc>
          <w:tcPr>
            <w:tcW w:w="1034" w:type="dxa"/>
            <w:tcBorders>
              <w:right w:val="single" w:color="auto" w:sz="12" w:space="0"/>
            </w:tcBorders>
            <w:vAlign w:val="center"/>
          </w:tcPr>
          <w:p w14:paraId="62E105F8">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spacing w:val="50"/>
                <w:szCs w:val="21"/>
                <w:lang w:val="en-US" w:eastAsia="zh-CN"/>
              </w:rPr>
              <w:t>复材车间</w:t>
            </w:r>
          </w:p>
        </w:tc>
      </w:tr>
      <w:tr w14:paraId="331BF1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3" w:hRule="atLeast"/>
          <w:jc w:val="center"/>
        </w:trPr>
        <w:tc>
          <w:tcPr>
            <w:tcW w:w="758" w:type="dxa"/>
            <w:tcBorders>
              <w:left w:val="single" w:color="auto" w:sz="12" w:space="0"/>
            </w:tcBorders>
            <w:vAlign w:val="center"/>
          </w:tcPr>
          <w:p w14:paraId="77C284FF">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50"/>
                <w:sz w:val="24"/>
                <w:szCs w:val="24"/>
              </w:rPr>
            </w:pPr>
            <w:r>
              <w:rPr>
                <w:rFonts w:hint="eastAsia" w:ascii="宋体"/>
                <w:spacing w:val="50"/>
                <w:szCs w:val="21"/>
              </w:rPr>
              <w:t>份数</w:t>
            </w:r>
          </w:p>
        </w:tc>
        <w:tc>
          <w:tcPr>
            <w:tcW w:w="1059" w:type="dxa"/>
            <w:gridSpan w:val="3"/>
            <w:vAlign w:val="center"/>
          </w:tcPr>
          <w:p w14:paraId="5B2928D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i w:val="0"/>
                <w:iCs w:val="0"/>
                <w:color w:val="auto"/>
                <w:w w:val="90"/>
                <w:szCs w:val="21"/>
              </w:rPr>
              <w:t>1</w:t>
            </w:r>
          </w:p>
        </w:tc>
        <w:tc>
          <w:tcPr>
            <w:tcW w:w="1126" w:type="dxa"/>
            <w:gridSpan w:val="2"/>
            <w:vAlign w:val="center"/>
          </w:tcPr>
          <w:p w14:paraId="3A371C4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i w:val="0"/>
                <w:iCs w:val="0"/>
                <w:color w:val="auto"/>
                <w:w w:val="90"/>
                <w:szCs w:val="21"/>
              </w:rPr>
              <w:t>1</w:t>
            </w:r>
          </w:p>
        </w:tc>
        <w:tc>
          <w:tcPr>
            <w:tcW w:w="1066" w:type="dxa"/>
            <w:gridSpan w:val="2"/>
            <w:vAlign w:val="center"/>
          </w:tcPr>
          <w:p w14:paraId="1816A8A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eastAsia="宋体"/>
                <w:w w:val="90"/>
                <w:sz w:val="24"/>
                <w:szCs w:val="24"/>
                <w:lang w:eastAsia="zh-CN"/>
              </w:rPr>
            </w:pPr>
            <w:r>
              <w:rPr>
                <w:rFonts w:hint="eastAsia" w:ascii="宋体"/>
                <w:i w:val="0"/>
                <w:iCs w:val="0"/>
                <w:color w:val="auto"/>
                <w:w w:val="90"/>
                <w:szCs w:val="21"/>
              </w:rPr>
              <w:t>1</w:t>
            </w:r>
          </w:p>
        </w:tc>
        <w:tc>
          <w:tcPr>
            <w:tcW w:w="1007" w:type="dxa"/>
            <w:gridSpan w:val="3"/>
            <w:vAlign w:val="center"/>
          </w:tcPr>
          <w:p w14:paraId="3597D59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r>
              <w:rPr>
                <w:rFonts w:hint="eastAsia" w:ascii="宋体"/>
                <w:i w:val="0"/>
                <w:iCs w:val="0"/>
                <w:color w:val="auto"/>
                <w:w w:val="90"/>
                <w:szCs w:val="21"/>
              </w:rPr>
              <w:t>1</w:t>
            </w:r>
          </w:p>
        </w:tc>
        <w:tc>
          <w:tcPr>
            <w:tcW w:w="1036" w:type="dxa"/>
            <w:vAlign w:val="center"/>
          </w:tcPr>
          <w:p w14:paraId="66C6D8F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pPr>
            <w:r>
              <w:rPr>
                <w:rFonts w:hint="eastAsia" w:ascii="宋体"/>
                <w:i w:val="0"/>
                <w:iCs w:val="0"/>
                <w:color w:val="auto"/>
                <w:w w:val="90"/>
                <w:szCs w:val="21"/>
              </w:rPr>
              <w:t>1</w:t>
            </w:r>
          </w:p>
        </w:tc>
        <w:tc>
          <w:tcPr>
            <w:tcW w:w="1118" w:type="dxa"/>
            <w:gridSpan w:val="3"/>
            <w:vAlign w:val="center"/>
          </w:tcPr>
          <w:p w14:paraId="311FF81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r>
              <w:rPr>
                <w:rFonts w:hint="eastAsia" w:ascii="宋体"/>
                <w:i w:val="0"/>
                <w:iCs w:val="0"/>
                <w:color w:val="auto"/>
                <w:w w:val="90"/>
                <w:szCs w:val="21"/>
              </w:rPr>
              <w:t>1</w:t>
            </w:r>
          </w:p>
        </w:tc>
        <w:tc>
          <w:tcPr>
            <w:tcW w:w="1159" w:type="dxa"/>
            <w:gridSpan w:val="4"/>
            <w:vAlign w:val="center"/>
          </w:tcPr>
          <w:p w14:paraId="697C3772">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r>
              <w:rPr>
                <w:rFonts w:hint="eastAsia" w:ascii="宋体"/>
                <w:i w:val="0"/>
                <w:iCs w:val="0"/>
                <w:color w:val="auto"/>
                <w:w w:val="90"/>
                <w:szCs w:val="21"/>
              </w:rPr>
              <w:t>1</w:t>
            </w:r>
          </w:p>
        </w:tc>
        <w:tc>
          <w:tcPr>
            <w:tcW w:w="1034" w:type="dxa"/>
            <w:tcBorders>
              <w:right w:val="single" w:color="auto" w:sz="12" w:space="0"/>
            </w:tcBorders>
            <w:vAlign w:val="center"/>
          </w:tcPr>
          <w:p w14:paraId="567BA53A">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r>
              <w:rPr>
                <w:rFonts w:hint="eastAsia" w:ascii="宋体"/>
                <w:i w:val="0"/>
                <w:iCs w:val="0"/>
                <w:color w:val="auto"/>
                <w:w w:val="90"/>
                <w:szCs w:val="21"/>
                <w:lang w:val="en-US" w:eastAsia="zh-CN"/>
              </w:rPr>
              <w:t>1</w:t>
            </w:r>
          </w:p>
        </w:tc>
      </w:tr>
      <w:tr w14:paraId="376B43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1" w:hRule="atLeast"/>
          <w:jc w:val="center"/>
        </w:trPr>
        <w:tc>
          <w:tcPr>
            <w:tcW w:w="758" w:type="dxa"/>
            <w:tcBorders>
              <w:left w:val="single" w:color="auto" w:sz="12" w:space="0"/>
            </w:tcBorders>
            <w:vAlign w:val="center"/>
          </w:tcPr>
          <w:p w14:paraId="313660A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50"/>
                <w:sz w:val="24"/>
                <w:szCs w:val="24"/>
              </w:rPr>
            </w:pPr>
            <w:r>
              <w:rPr>
                <w:rFonts w:hint="eastAsia" w:ascii="宋体"/>
                <w:spacing w:val="50"/>
                <w:szCs w:val="21"/>
                <w:lang w:val="en-US" w:eastAsia="zh-CN"/>
              </w:rPr>
              <w:t>部门</w:t>
            </w:r>
          </w:p>
        </w:tc>
        <w:tc>
          <w:tcPr>
            <w:tcW w:w="1059" w:type="dxa"/>
            <w:gridSpan w:val="3"/>
            <w:vAlign w:val="center"/>
          </w:tcPr>
          <w:p w14:paraId="3DF56A5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运维</w:t>
            </w:r>
          </w:p>
          <w:p w14:paraId="094C50CC">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r>
              <w:rPr>
                <w:rFonts w:hint="eastAsia" w:ascii="宋体"/>
                <w:spacing w:val="50"/>
                <w:szCs w:val="21"/>
                <w:lang w:val="en-US" w:eastAsia="zh-CN"/>
              </w:rPr>
              <w:t>安环部</w:t>
            </w:r>
          </w:p>
        </w:tc>
        <w:tc>
          <w:tcPr>
            <w:tcW w:w="1126" w:type="dxa"/>
            <w:gridSpan w:val="2"/>
            <w:vAlign w:val="center"/>
          </w:tcPr>
          <w:p w14:paraId="4F1B96A0">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c>
          <w:tcPr>
            <w:tcW w:w="1066" w:type="dxa"/>
            <w:gridSpan w:val="2"/>
            <w:vAlign w:val="center"/>
          </w:tcPr>
          <w:p w14:paraId="5EA3741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c>
          <w:tcPr>
            <w:tcW w:w="1007" w:type="dxa"/>
            <w:gridSpan w:val="3"/>
            <w:vAlign w:val="center"/>
          </w:tcPr>
          <w:p w14:paraId="6329930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c>
          <w:tcPr>
            <w:tcW w:w="1036" w:type="dxa"/>
            <w:vAlign w:val="center"/>
          </w:tcPr>
          <w:p w14:paraId="1311564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c>
          <w:tcPr>
            <w:tcW w:w="1118" w:type="dxa"/>
            <w:gridSpan w:val="3"/>
            <w:vAlign w:val="center"/>
          </w:tcPr>
          <w:p w14:paraId="4843871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c>
          <w:tcPr>
            <w:tcW w:w="1159" w:type="dxa"/>
            <w:gridSpan w:val="4"/>
            <w:vAlign w:val="center"/>
          </w:tcPr>
          <w:p w14:paraId="2124F804">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c>
          <w:tcPr>
            <w:tcW w:w="1034" w:type="dxa"/>
            <w:tcBorders>
              <w:right w:val="single" w:color="auto" w:sz="12" w:space="0"/>
            </w:tcBorders>
            <w:vAlign w:val="center"/>
          </w:tcPr>
          <w:p w14:paraId="219EEF0A">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50"/>
                <w:szCs w:val="21"/>
                <w:lang w:val="en-US" w:eastAsia="zh-CN"/>
              </w:rPr>
            </w:pPr>
          </w:p>
        </w:tc>
      </w:tr>
      <w:tr w14:paraId="5C544A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3" w:hRule="atLeast"/>
          <w:jc w:val="center"/>
        </w:trPr>
        <w:tc>
          <w:tcPr>
            <w:tcW w:w="758" w:type="dxa"/>
            <w:tcBorders>
              <w:left w:val="single" w:color="auto" w:sz="12" w:space="0"/>
            </w:tcBorders>
            <w:vAlign w:val="center"/>
          </w:tcPr>
          <w:p w14:paraId="437DE20F">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50"/>
                <w:sz w:val="24"/>
                <w:szCs w:val="24"/>
              </w:rPr>
            </w:pPr>
            <w:r>
              <w:rPr>
                <w:rFonts w:hint="eastAsia" w:ascii="宋体"/>
                <w:spacing w:val="50"/>
                <w:szCs w:val="21"/>
              </w:rPr>
              <w:t>份数</w:t>
            </w:r>
          </w:p>
        </w:tc>
        <w:tc>
          <w:tcPr>
            <w:tcW w:w="1059" w:type="dxa"/>
            <w:gridSpan w:val="3"/>
            <w:vAlign w:val="center"/>
          </w:tcPr>
          <w:p w14:paraId="61BEE28D">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eastAsia="宋体"/>
                <w:w w:val="90"/>
                <w:sz w:val="24"/>
                <w:szCs w:val="24"/>
                <w:lang w:val="en-US" w:eastAsia="zh-CN"/>
              </w:rPr>
            </w:pPr>
            <w:r>
              <w:rPr>
                <w:rFonts w:hint="eastAsia" w:ascii="宋体" w:eastAsia="宋体"/>
                <w:w w:val="90"/>
                <w:sz w:val="24"/>
                <w:szCs w:val="24"/>
                <w:lang w:val="en-US" w:eastAsia="zh-CN"/>
              </w:rPr>
              <w:t>1</w:t>
            </w:r>
          </w:p>
        </w:tc>
        <w:tc>
          <w:tcPr>
            <w:tcW w:w="1126" w:type="dxa"/>
            <w:gridSpan w:val="2"/>
            <w:vAlign w:val="center"/>
          </w:tcPr>
          <w:p w14:paraId="3C10F4A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p>
        </w:tc>
        <w:tc>
          <w:tcPr>
            <w:tcW w:w="1066" w:type="dxa"/>
            <w:gridSpan w:val="2"/>
            <w:vAlign w:val="center"/>
          </w:tcPr>
          <w:p w14:paraId="1CB5243F">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p>
        </w:tc>
        <w:tc>
          <w:tcPr>
            <w:tcW w:w="1007" w:type="dxa"/>
            <w:gridSpan w:val="3"/>
            <w:vAlign w:val="center"/>
          </w:tcPr>
          <w:p w14:paraId="1F1A24F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p>
        </w:tc>
        <w:tc>
          <w:tcPr>
            <w:tcW w:w="1036" w:type="dxa"/>
            <w:vAlign w:val="center"/>
          </w:tcPr>
          <w:p w14:paraId="27D847D2">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pPr>
          </w:p>
        </w:tc>
        <w:tc>
          <w:tcPr>
            <w:tcW w:w="1118" w:type="dxa"/>
            <w:gridSpan w:val="3"/>
            <w:vAlign w:val="center"/>
          </w:tcPr>
          <w:p w14:paraId="0C251EF3">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p>
        </w:tc>
        <w:tc>
          <w:tcPr>
            <w:tcW w:w="1159" w:type="dxa"/>
            <w:gridSpan w:val="4"/>
            <w:vAlign w:val="center"/>
          </w:tcPr>
          <w:p w14:paraId="0518DFFA">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p>
        </w:tc>
        <w:tc>
          <w:tcPr>
            <w:tcW w:w="1034" w:type="dxa"/>
            <w:tcBorders>
              <w:right w:val="single" w:color="auto" w:sz="12" w:space="0"/>
            </w:tcBorders>
            <w:vAlign w:val="center"/>
          </w:tcPr>
          <w:p w14:paraId="550FA77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w w:val="90"/>
                <w:sz w:val="24"/>
                <w:szCs w:val="24"/>
              </w:rPr>
            </w:pPr>
          </w:p>
        </w:tc>
      </w:tr>
      <w:tr w14:paraId="03D434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6" w:hRule="atLeast"/>
          <w:jc w:val="center"/>
        </w:trPr>
        <w:tc>
          <w:tcPr>
            <w:tcW w:w="1812" w:type="dxa"/>
            <w:gridSpan w:val="3"/>
            <w:tcBorders>
              <w:top w:val="single" w:color="auto" w:sz="6" w:space="0"/>
              <w:left w:val="single" w:color="auto" w:sz="12" w:space="0"/>
              <w:bottom w:val="single" w:color="auto" w:sz="6" w:space="0"/>
              <w:right w:val="single" w:color="auto" w:sz="6" w:space="0"/>
            </w:tcBorders>
            <w:vAlign w:val="center"/>
          </w:tcPr>
          <w:p w14:paraId="31035CC3">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100"/>
                <w:sz w:val="28"/>
                <w:szCs w:val="22"/>
              </w:rPr>
            </w:pPr>
            <w:r>
              <w:rPr>
                <w:rFonts w:hint="eastAsia" w:ascii="宋体"/>
                <w:spacing w:val="100"/>
                <w:sz w:val="24"/>
              </w:rPr>
              <w:t>编制</w:t>
            </w:r>
          </w:p>
        </w:tc>
        <w:tc>
          <w:tcPr>
            <w:tcW w:w="1417" w:type="dxa"/>
            <w:gridSpan w:val="4"/>
            <w:tcBorders>
              <w:top w:val="single" w:color="auto" w:sz="6" w:space="0"/>
              <w:left w:val="single" w:color="auto" w:sz="6" w:space="0"/>
              <w:bottom w:val="single" w:color="auto" w:sz="6" w:space="0"/>
              <w:right w:val="single" w:color="auto" w:sz="6" w:space="0"/>
            </w:tcBorders>
            <w:vAlign w:val="center"/>
          </w:tcPr>
          <w:p w14:paraId="5806E3F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c>
          <w:tcPr>
            <w:tcW w:w="1616" w:type="dxa"/>
            <w:gridSpan w:val="3"/>
            <w:tcBorders>
              <w:top w:val="single" w:color="auto" w:sz="6" w:space="0"/>
              <w:left w:val="single" w:color="auto" w:sz="6" w:space="0"/>
              <w:bottom w:val="single" w:color="auto" w:sz="6" w:space="0"/>
              <w:right w:val="single" w:color="auto" w:sz="6" w:space="0"/>
            </w:tcBorders>
            <w:vAlign w:val="center"/>
          </w:tcPr>
          <w:p w14:paraId="204752D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100"/>
                <w:sz w:val="28"/>
                <w:szCs w:val="22"/>
              </w:rPr>
            </w:pPr>
            <w:r>
              <w:rPr>
                <w:rFonts w:hint="eastAsia" w:ascii="宋体"/>
                <w:spacing w:val="100"/>
                <w:sz w:val="24"/>
              </w:rPr>
              <w:t>校对</w:t>
            </w:r>
          </w:p>
        </w:tc>
        <w:tc>
          <w:tcPr>
            <w:tcW w:w="1618" w:type="dxa"/>
            <w:gridSpan w:val="4"/>
            <w:tcBorders>
              <w:top w:val="single" w:color="auto" w:sz="6" w:space="0"/>
              <w:left w:val="single" w:color="auto" w:sz="6" w:space="0"/>
              <w:bottom w:val="single" w:color="auto" w:sz="6" w:space="0"/>
              <w:right w:val="single" w:color="auto" w:sz="6" w:space="0"/>
            </w:tcBorders>
            <w:vAlign w:val="center"/>
          </w:tcPr>
          <w:p w14:paraId="26655FEC">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c>
          <w:tcPr>
            <w:tcW w:w="1616" w:type="dxa"/>
            <w:gridSpan w:val="4"/>
            <w:tcBorders>
              <w:top w:val="single" w:color="auto" w:sz="6" w:space="0"/>
              <w:left w:val="single" w:color="auto" w:sz="6" w:space="0"/>
              <w:bottom w:val="single" w:color="auto" w:sz="6" w:space="0"/>
              <w:right w:val="single" w:color="auto" w:sz="6" w:space="0"/>
            </w:tcBorders>
            <w:vAlign w:val="center"/>
          </w:tcPr>
          <w:p w14:paraId="3957FB47">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100"/>
                <w:sz w:val="28"/>
                <w:szCs w:val="22"/>
              </w:rPr>
            </w:pPr>
            <w:r>
              <w:rPr>
                <w:rFonts w:hint="eastAsia" w:ascii="宋体"/>
                <w:spacing w:val="100"/>
                <w:sz w:val="24"/>
              </w:rPr>
              <w:t>审核</w:t>
            </w:r>
          </w:p>
        </w:tc>
        <w:tc>
          <w:tcPr>
            <w:tcW w:w="1284" w:type="dxa"/>
            <w:gridSpan w:val="2"/>
            <w:tcBorders>
              <w:top w:val="single" w:color="auto" w:sz="6" w:space="0"/>
              <w:left w:val="single" w:color="auto" w:sz="6" w:space="0"/>
              <w:bottom w:val="single" w:color="auto" w:sz="6" w:space="0"/>
              <w:right w:val="single" w:color="auto" w:sz="12" w:space="0"/>
            </w:tcBorders>
            <w:vAlign w:val="center"/>
          </w:tcPr>
          <w:p w14:paraId="0F098627">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r>
      <w:tr w14:paraId="7F6F37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812" w:type="dxa"/>
            <w:gridSpan w:val="3"/>
            <w:tcBorders>
              <w:top w:val="single" w:color="auto" w:sz="6" w:space="0"/>
              <w:left w:val="single" w:color="auto" w:sz="12" w:space="0"/>
              <w:bottom w:val="single" w:color="auto" w:sz="6" w:space="0"/>
              <w:right w:val="single" w:color="auto" w:sz="6" w:space="0"/>
            </w:tcBorders>
            <w:vAlign w:val="center"/>
          </w:tcPr>
          <w:p w14:paraId="4C8B31AD">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100"/>
                <w:sz w:val="28"/>
                <w:szCs w:val="22"/>
              </w:rPr>
            </w:pPr>
            <w:r>
              <w:rPr>
                <w:rFonts w:hint="eastAsia" w:ascii="宋体"/>
                <w:spacing w:val="100"/>
                <w:sz w:val="24"/>
                <w:lang w:val="en-US" w:eastAsia="zh-CN"/>
              </w:rPr>
              <w:t>标准化</w:t>
            </w:r>
          </w:p>
        </w:tc>
        <w:tc>
          <w:tcPr>
            <w:tcW w:w="1417" w:type="dxa"/>
            <w:gridSpan w:val="4"/>
            <w:tcBorders>
              <w:top w:val="single" w:color="auto" w:sz="6" w:space="0"/>
              <w:left w:val="single" w:color="auto" w:sz="6" w:space="0"/>
              <w:bottom w:val="single" w:color="auto" w:sz="6" w:space="0"/>
              <w:right w:val="single" w:color="auto" w:sz="6" w:space="0"/>
            </w:tcBorders>
            <w:vAlign w:val="center"/>
          </w:tcPr>
          <w:p w14:paraId="1D930E5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c>
          <w:tcPr>
            <w:tcW w:w="1616" w:type="dxa"/>
            <w:gridSpan w:val="3"/>
            <w:tcBorders>
              <w:top w:val="single" w:color="auto" w:sz="6" w:space="0"/>
              <w:left w:val="single" w:color="auto" w:sz="6" w:space="0"/>
              <w:bottom w:val="single" w:color="auto" w:sz="6" w:space="0"/>
              <w:right w:val="single" w:color="auto" w:sz="6" w:space="0"/>
            </w:tcBorders>
            <w:vAlign w:val="center"/>
          </w:tcPr>
          <w:p w14:paraId="4EE2415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100"/>
                <w:sz w:val="28"/>
                <w:szCs w:val="22"/>
              </w:rPr>
            </w:pPr>
            <w:r>
              <w:rPr>
                <w:rFonts w:hint="eastAsia" w:ascii="宋体"/>
                <w:spacing w:val="100"/>
                <w:sz w:val="24"/>
                <w:lang w:val="en-US" w:eastAsia="zh-CN"/>
              </w:rPr>
              <w:t>批准</w:t>
            </w:r>
          </w:p>
        </w:tc>
        <w:tc>
          <w:tcPr>
            <w:tcW w:w="1618" w:type="dxa"/>
            <w:gridSpan w:val="4"/>
            <w:tcBorders>
              <w:top w:val="single" w:color="auto" w:sz="6" w:space="0"/>
              <w:left w:val="single" w:color="auto" w:sz="6" w:space="0"/>
              <w:bottom w:val="single" w:color="auto" w:sz="6" w:space="0"/>
              <w:right w:val="single" w:color="auto" w:sz="6" w:space="0"/>
            </w:tcBorders>
            <w:vAlign w:val="center"/>
          </w:tcPr>
          <w:p w14:paraId="36A1AB6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c>
          <w:tcPr>
            <w:tcW w:w="1616" w:type="dxa"/>
            <w:gridSpan w:val="4"/>
            <w:tcBorders>
              <w:top w:val="single" w:color="auto" w:sz="6" w:space="0"/>
              <w:left w:val="single" w:color="auto" w:sz="6" w:space="0"/>
              <w:bottom w:val="single" w:color="auto" w:sz="6" w:space="0"/>
              <w:right w:val="single" w:color="auto" w:sz="6" w:space="0"/>
            </w:tcBorders>
            <w:vAlign w:val="center"/>
          </w:tcPr>
          <w:p w14:paraId="3402B32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pacing w:val="100"/>
                <w:sz w:val="28"/>
                <w:szCs w:val="22"/>
              </w:rPr>
            </w:pPr>
            <w:r>
              <w:rPr>
                <w:rFonts w:hint="eastAsia" w:ascii="宋体"/>
                <w:spacing w:val="100"/>
                <w:sz w:val="24"/>
                <w:lang w:val="en-US" w:eastAsia="zh-CN"/>
              </w:rPr>
              <w:t>归档</w:t>
            </w:r>
          </w:p>
        </w:tc>
        <w:tc>
          <w:tcPr>
            <w:tcW w:w="1284" w:type="dxa"/>
            <w:gridSpan w:val="2"/>
            <w:tcBorders>
              <w:top w:val="single" w:color="auto" w:sz="6" w:space="0"/>
              <w:left w:val="single" w:color="auto" w:sz="6" w:space="0"/>
              <w:bottom w:val="single" w:color="auto" w:sz="6" w:space="0"/>
              <w:right w:val="single" w:color="auto" w:sz="12" w:space="0"/>
            </w:tcBorders>
            <w:vAlign w:val="center"/>
          </w:tcPr>
          <w:p w14:paraId="62F3670D">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r>
      <w:tr w14:paraId="68A3CD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812" w:type="dxa"/>
            <w:gridSpan w:val="3"/>
            <w:tcBorders>
              <w:top w:val="single" w:color="auto" w:sz="6" w:space="0"/>
              <w:left w:val="single" w:color="auto" w:sz="12" w:space="0"/>
              <w:bottom w:val="single" w:color="auto" w:sz="12" w:space="0"/>
              <w:right w:val="single" w:color="auto" w:sz="6" w:space="0"/>
            </w:tcBorders>
            <w:vAlign w:val="center"/>
          </w:tcPr>
          <w:p w14:paraId="56B36EC3">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宋体"/>
                <w:spacing w:val="100"/>
                <w:sz w:val="24"/>
                <w:lang w:val="en-US" w:eastAsia="zh-CN"/>
              </w:rPr>
            </w:pPr>
            <w:r>
              <w:rPr>
                <w:rFonts w:hint="eastAsia" w:ascii="宋体"/>
                <w:spacing w:val="100"/>
                <w:sz w:val="24"/>
                <w:lang w:val="en-US" w:eastAsia="zh-CN"/>
              </w:rPr>
              <w:t>会签</w:t>
            </w:r>
          </w:p>
        </w:tc>
        <w:tc>
          <w:tcPr>
            <w:tcW w:w="7551" w:type="dxa"/>
            <w:gridSpan w:val="17"/>
            <w:tcBorders>
              <w:top w:val="single" w:color="auto" w:sz="6" w:space="0"/>
              <w:left w:val="single" w:color="auto" w:sz="6" w:space="0"/>
              <w:bottom w:val="single" w:color="auto" w:sz="12" w:space="0"/>
              <w:right w:val="single" w:color="auto" w:sz="6" w:space="0"/>
            </w:tcBorders>
            <w:vAlign w:val="center"/>
          </w:tcPr>
          <w:p w14:paraId="329C1AC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ascii="宋体"/>
                <w:sz w:val="28"/>
                <w:szCs w:val="22"/>
              </w:rPr>
            </w:pPr>
          </w:p>
        </w:tc>
      </w:tr>
    </w:tbl>
    <w:p w14:paraId="2BFBBB11">
      <w:pPr>
        <w:spacing w:line="360" w:lineRule="auto"/>
        <w:jc w:val="center"/>
        <w:rPr>
          <w:rFonts w:hint="eastAsia" w:ascii="黑体" w:hAnsi="黑体" w:eastAsia="黑体"/>
          <w:sz w:val="36"/>
          <w:szCs w:val="36"/>
          <w:lang w:eastAsia="zh-CN"/>
        </w:rPr>
        <w:sectPr>
          <w:pgSz w:w="11906" w:h="16838"/>
          <w:pgMar w:top="1440" w:right="1800" w:bottom="1440" w:left="1800" w:header="851" w:footer="992" w:gutter="0"/>
          <w:pgNumType w:fmt="decimal"/>
          <w:cols w:space="425" w:num="1"/>
          <w:docGrid w:type="lines" w:linePitch="312" w:charSpace="0"/>
        </w:sectPr>
      </w:pPr>
    </w:p>
    <w:p w14:paraId="56B17F3F">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1 目的</w:t>
      </w:r>
    </w:p>
    <w:p w14:paraId="128B6C0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heme="minorEastAsia" w:hAnsiTheme="minorEastAsia" w:eastAsiaTheme="minorEastAsia" w:cstheme="minorEastAsia"/>
          <w:snapToGrid/>
          <w:kern w:val="2"/>
          <w:sz w:val="28"/>
          <w:szCs w:val="28"/>
          <w:lang w:eastAsia="zh-CN"/>
        </w:rPr>
      </w:pPr>
      <w:r>
        <w:rPr>
          <w:rFonts w:hint="eastAsia" w:asciiTheme="minorEastAsia" w:hAnsiTheme="minorEastAsia" w:eastAsiaTheme="minorEastAsia" w:cstheme="minorEastAsia"/>
          <w:snapToGrid/>
          <w:kern w:val="2"/>
          <w:sz w:val="28"/>
          <w:szCs w:val="28"/>
          <w:lang w:eastAsia="zh-CN"/>
        </w:rPr>
        <w:t>为全面提升公司各部门工作效率和质量，强化公司内部管理，优化工作流程，确保部门高效执行公司战略，特制定本管理办法。</w:t>
      </w:r>
    </w:p>
    <w:p w14:paraId="428BE9E0">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2 适用范围</w:t>
      </w:r>
    </w:p>
    <w:p w14:paraId="289A4D2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heme="minorEastAsia" w:hAnsiTheme="minorEastAsia" w:eastAsiaTheme="minorEastAsia" w:cstheme="minorEastAsia"/>
          <w:snapToGrid/>
          <w:kern w:val="2"/>
          <w:sz w:val="28"/>
          <w:szCs w:val="28"/>
          <w:lang w:eastAsia="zh-CN"/>
        </w:rPr>
      </w:pPr>
      <w:r>
        <w:rPr>
          <w:rFonts w:hint="eastAsia" w:asciiTheme="minorEastAsia" w:hAnsiTheme="minorEastAsia" w:eastAsiaTheme="minorEastAsia" w:cstheme="minorEastAsia"/>
          <w:snapToGrid/>
          <w:kern w:val="2"/>
          <w:sz w:val="28"/>
          <w:szCs w:val="28"/>
          <w:lang w:eastAsia="zh-CN"/>
        </w:rPr>
        <w:t>本制度适用于沈阳昌兴复材航空科技有限责任公司各部门的月度绩效评价与考核。</w:t>
      </w:r>
    </w:p>
    <w:p w14:paraId="0F7601C7">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3 术语和定义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6828"/>
      </w:tblGrid>
      <w:tr w14:paraId="4C4A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694" w:type="dxa"/>
            <w:vAlign w:val="center"/>
          </w:tcPr>
          <w:p w14:paraId="0576CD87">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术语</w:t>
            </w:r>
          </w:p>
        </w:tc>
        <w:tc>
          <w:tcPr>
            <w:tcW w:w="6828" w:type="dxa"/>
            <w:vAlign w:val="center"/>
          </w:tcPr>
          <w:p w14:paraId="39B7692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定义</w:t>
            </w:r>
          </w:p>
        </w:tc>
      </w:tr>
      <w:tr w14:paraId="0881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694" w:type="dxa"/>
            <w:vAlign w:val="center"/>
          </w:tcPr>
          <w:p w14:paraId="29F3D69F">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重点任务</w:t>
            </w:r>
          </w:p>
        </w:tc>
        <w:tc>
          <w:tcPr>
            <w:tcW w:w="6828" w:type="dxa"/>
            <w:vAlign w:val="center"/>
          </w:tcPr>
          <w:p w14:paraId="0A7D6B14">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对公司业务拓展、市场份额提升、生产制造、客户关系维护等方面具有重大影响的特定工作任务，通常由公司级例会直接制定</w:t>
            </w:r>
          </w:p>
        </w:tc>
      </w:tr>
      <w:tr w14:paraId="7E54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vAlign w:val="center"/>
          </w:tcPr>
          <w:p w14:paraId="369F0F0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行动项</w:t>
            </w:r>
          </w:p>
        </w:tc>
        <w:tc>
          <w:tcPr>
            <w:tcW w:w="6828" w:type="dxa"/>
            <w:vAlign w:val="center"/>
          </w:tcPr>
          <w:p w14:paraId="1653EE94">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在日常工作中，为解决各类临时性问题、推进小型项目或落实紧急任务而设定的具体工作事项，通常由公司领导、公司级例会或项目管理部项目会议直接制定。</w:t>
            </w:r>
          </w:p>
        </w:tc>
      </w:tr>
    </w:tbl>
    <w:p w14:paraId="2116DE02">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4 职责</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7094"/>
      </w:tblGrid>
      <w:tr w14:paraId="6177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428" w:type="dxa"/>
            <w:vAlign w:val="center"/>
          </w:tcPr>
          <w:p w14:paraId="6629C17D">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部门</w:t>
            </w:r>
          </w:p>
        </w:tc>
        <w:tc>
          <w:tcPr>
            <w:tcW w:w="7094" w:type="dxa"/>
            <w:vAlign w:val="center"/>
          </w:tcPr>
          <w:p w14:paraId="0F1D54A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主要职责描述</w:t>
            </w:r>
          </w:p>
        </w:tc>
      </w:tr>
      <w:tr w14:paraId="4C2D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5761BB3D">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项目管理部</w:t>
            </w:r>
          </w:p>
        </w:tc>
        <w:tc>
          <w:tcPr>
            <w:tcW w:w="7094" w:type="dxa"/>
            <w:vAlign w:val="center"/>
          </w:tcPr>
          <w:p w14:paraId="4B4F5A60">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收集、整理各研制/批产项目进度、成本、质量、风险等相关数据；汇总各部门提交的项目执行数据，形成项目综合数据报表。组织对项目执行情况进行分析研判，包括项目进度偏差分析、风险评估及应对策略制定；定期召开项目分析会，对项目成本、质量等关键指标进行评估。牵头制定项目执行考核标准，对各项目组及相关协作部门（如复材车间、工程技术部等）的项目任务完成情况进行考核；根据考核结果提出奖惩建议。</w:t>
            </w:r>
          </w:p>
        </w:tc>
      </w:tr>
      <w:tr w14:paraId="4CBC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0580A02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复材车间</w:t>
            </w:r>
          </w:p>
        </w:tc>
        <w:tc>
          <w:tcPr>
            <w:tcW w:w="7094" w:type="dxa"/>
            <w:vAlign w:val="center"/>
          </w:tcPr>
          <w:p w14:paraId="5C9FFDBC">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提供车间生产进度、物料消耗、设备运行、安全生产、“6S”管理等相关数据；按时提交生产过程中的质量问题数据及统计分析结果。对车间生产数据进行初步分析，提出生产效率提升、成本控制等方面的改进建议；配合项目管理部对涉及车间生产的项目问题进行原因分析。配合项目管理部完成对车间生产任务执行情况的考核；参与对车间员工生产操作规范性、安全生产等方面的考核。</w:t>
            </w:r>
          </w:p>
        </w:tc>
      </w:tr>
      <w:tr w14:paraId="0E84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52E0107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物资保障部</w:t>
            </w:r>
          </w:p>
        </w:tc>
        <w:tc>
          <w:tcPr>
            <w:tcW w:w="7094" w:type="dxa"/>
            <w:vAlign w:val="center"/>
          </w:tcPr>
          <w:p w14:paraId="67CE4CD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提供库房物资出入库数据、库存盘点数据、材料及工装工具采购与使用数据；统计信息化设备及系统运行数据并定期报送。分析物资库存结构、采购周期等数据，提出物资储备优化建议；协助分析因物资供应问题对项目进度的影响。配合项目管理部对物资供应及时性、准确性进行考核；对物资管理相关岗位人员进行工作质量考核。</w:t>
            </w:r>
          </w:p>
        </w:tc>
      </w:tr>
      <w:tr w14:paraId="5283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29E07717">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质量管理部</w:t>
            </w:r>
          </w:p>
        </w:tc>
        <w:tc>
          <w:tcPr>
            <w:tcW w:w="7094" w:type="dxa"/>
            <w:vAlign w:val="center"/>
          </w:tcPr>
          <w:p w14:paraId="5765E46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质量体系建设及维护、实物质量控制、质量技术策划、质量体系运行、监视和测量设备，的管控、组织内部检验人员素质提升、产品质量稳定提升、外协供应商质量管理等相关工作。制定质量相关考核标准，对各部门质量工作进行考核；对检验人员的工作质量进行考核。</w:t>
            </w:r>
          </w:p>
        </w:tc>
      </w:tr>
      <w:tr w14:paraId="283F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6A4D7B39">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工程技术部</w:t>
            </w:r>
          </w:p>
        </w:tc>
        <w:tc>
          <w:tcPr>
            <w:tcW w:w="7094" w:type="dxa"/>
            <w:vAlign w:val="center"/>
          </w:tcPr>
          <w:p w14:paraId="11D50DF3">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提供项目研发进度数据、技术文件执行情况数据；收集并提交现场技术问题处理数据、工装及材料定额相关数据。分析研发项目技术指标达成情况，提出技术改进方向；对现场技术问题进行汇总分析，制定系统性解决方案。配合项目管理部对技术相关工作（如技术文件下发及时性、现场技术问题解决效率）进行考核；对技术人员的工作成果进行考核</w:t>
            </w:r>
          </w:p>
        </w:tc>
      </w:tr>
      <w:tr w14:paraId="77F8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2235EC9D">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经营发展部</w:t>
            </w:r>
          </w:p>
        </w:tc>
        <w:tc>
          <w:tcPr>
            <w:tcW w:w="7094" w:type="dxa"/>
            <w:vAlign w:val="center"/>
          </w:tcPr>
          <w:p w14:paraId="2A8A202E">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提供项目订单任务数据、物资采购数据、合同执行数据；统计报废物资处置及成本核算相关数据。分析订单执行情况、采购成本变动原因，提出经营策略调整建议；对合同履约风险进行评估并制定应对措施。配合项目管理部对项目订单完成情况进行考核；对物资采购及合同管理相关岗位人员进行工作考核；对各部门经营指标分解及日常工作、公司级重点任务和行动项完成情况进行考核。</w:t>
            </w:r>
          </w:p>
        </w:tc>
      </w:tr>
      <w:tr w14:paraId="1CD7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1AB53E53">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财务部</w:t>
            </w:r>
          </w:p>
        </w:tc>
        <w:tc>
          <w:tcPr>
            <w:tcW w:w="7094" w:type="dxa"/>
            <w:vAlign w:val="center"/>
          </w:tcPr>
          <w:p w14:paraId="5ABA5625">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以审计的角度对月度考核分数进行评估</w:t>
            </w:r>
          </w:p>
        </w:tc>
      </w:tr>
      <w:tr w14:paraId="7103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7F7B773E">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运维安环部</w:t>
            </w:r>
          </w:p>
        </w:tc>
        <w:tc>
          <w:tcPr>
            <w:tcW w:w="7094" w:type="dxa"/>
            <w:vAlign w:val="center"/>
          </w:tcPr>
          <w:p w14:paraId="76A73DA1">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设备维护、设备保养、工装维护、工装定检、工装返修、安全生产、精益生产、“6S”管理、环境保护、劳动保护、职业健康、数据统计与分析等工作;配合项目管理部对运维安环相关工作进行考核；对运维安环相关人员的工作成果进行考核</w:t>
            </w:r>
          </w:p>
        </w:tc>
      </w:tr>
      <w:tr w14:paraId="7DCA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3754F448">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各部门领导</w:t>
            </w:r>
          </w:p>
        </w:tc>
        <w:tc>
          <w:tcPr>
            <w:tcW w:w="7094" w:type="dxa"/>
            <w:vAlign w:val="center"/>
          </w:tcPr>
          <w:p w14:paraId="1BB47C5B">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负责汇总整理__部月度经营指标任务及重点工作计划进展情况并呈报经营发展部依据既定标准进行监督考察，确保信息准确、完整。对发现的问题及时反馈给相关责任人，并跟进整改情况；对__部月度经营指标任务及重点工作计划进行审核和批准，确保计划符合公司战略方向和__部实际工作需求。对__部工作计划调整申请进行审批，综合考量申请原因、影响程度等因素，做出合理决策。</w:t>
            </w:r>
          </w:p>
        </w:tc>
      </w:tr>
      <w:tr w14:paraId="4AAC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vAlign w:val="center"/>
          </w:tcPr>
          <w:p w14:paraId="0F739FAF">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公司总经理、副总经理</w:t>
            </w:r>
          </w:p>
        </w:tc>
        <w:tc>
          <w:tcPr>
            <w:tcW w:w="7094" w:type="dxa"/>
            <w:vAlign w:val="center"/>
          </w:tcPr>
          <w:p w14:paraId="464D2216">
            <w:pPr>
              <w:keepNext w:val="0"/>
              <w:keepLines w:val="0"/>
              <w:pageBreakBefore w:val="0"/>
              <w:widowControl/>
              <w:kinsoku w:val="0"/>
              <w:wordWrap/>
              <w:overflowPunct/>
              <w:topLinePunct w:val="0"/>
              <w:autoSpaceDE w:val="0"/>
              <w:autoSpaceDN w:val="0"/>
              <w:bidi w:val="0"/>
              <w:adjustRightInd w:val="0"/>
              <w:snapToGrid w:val="0"/>
              <w:spacing w:after="0" w:line="240" w:lineRule="auto"/>
              <w:jc w:val="center"/>
              <w:textAlignment w:val="baseline"/>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对__部工作计划调整申请进行最终审批，从公司整体战略和资源配置角度出发，保障决策的科学性和合理性。对__部考核工作进行宏观指导和监督，确保考核制度有效执行。</w:t>
            </w:r>
          </w:p>
        </w:tc>
      </w:tr>
    </w:tbl>
    <w:p w14:paraId="373E949E">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left"/>
        <w:textAlignment w:val="auto"/>
        <w:rPr>
          <w:rFonts w:hint="eastAsia" w:ascii="Times New Roman" w:hAnsi="Times New Roman" w:eastAsia="黑体" w:cs="黑体"/>
          <w:b w:val="0"/>
          <w:bCs w:val="0"/>
          <w:sz w:val="28"/>
          <w:highlight w:val="none"/>
          <w:lang w:val="en-US" w:eastAsia="zh-CN"/>
        </w:rPr>
      </w:pPr>
      <w:r>
        <w:rPr>
          <w:rFonts w:hint="eastAsia" w:ascii="Times New Roman" w:hAnsi="Times New Roman" w:eastAsia="黑体" w:cs="黑体"/>
          <w:b w:val="0"/>
          <w:bCs w:val="0"/>
          <w:sz w:val="28"/>
          <w:highlight w:val="none"/>
          <w:lang w:val="en-US" w:eastAsia="zh-CN"/>
        </w:rPr>
        <w:t>5 工作程序</w:t>
      </w:r>
    </w:p>
    <w:p w14:paraId="1ED8834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5.1项目管理维度考核管理规定</w:t>
      </w:r>
    </w:p>
    <w:p w14:paraId="75BC62C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5.1.1复材车间考核办法</w:t>
      </w:r>
    </w:p>
    <w:p w14:paraId="3F733DB8">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588E2405">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分值为100分。考核总分由生产进度完成率得分、产值得分、部门相关行动项完成率、产品报废扣分及和关键件抢工得分，乘以权重后累计求和得出。</w:t>
      </w:r>
    </w:p>
    <w:p w14:paraId="77AA258B">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2）考核指标及权重</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4"/>
        <w:gridCol w:w="2534"/>
        <w:gridCol w:w="4000"/>
        <w:gridCol w:w="934"/>
      </w:tblGrid>
      <w:tr w14:paraId="50104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8928C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25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451E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F949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9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E1B6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权重</w:t>
            </w:r>
          </w:p>
        </w:tc>
      </w:tr>
      <w:tr w14:paraId="6334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1"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2AD393">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25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788AF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D2083">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9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EFA60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占考核分值40%</w:t>
            </w:r>
          </w:p>
        </w:tc>
      </w:tr>
      <w:tr w14:paraId="39984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E867E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5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E80C0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1D82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452DDCA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189B7698">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9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52C75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7736D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3"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5EBBB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25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258C7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复材车间生产进度完成率按照95%进行考核，即按照月度计划完成率为95%，该项考核指标为满分</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1F5CF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9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F7D20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占考核分值的40%</w:t>
            </w:r>
          </w:p>
        </w:tc>
      </w:tr>
      <w:tr w14:paraId="721B0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3"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0CF0E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5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F5364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8E7C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7BB28B6A">
            <w:pPr>
              <w:keepNext w:val="0"/>
              <w:keepLines w:val="0"/>
              <w:pageBreakBefore w:val="0"/>
              <w:widowControl/>
              <w:numPr>
                <w:ilvl w:val="0"/>
                <w:numId w:val="0"/>
              </w:numPr>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sz w:val="24"/>
                <w:szCs w:val="24"/>
                <w:lang w:val="en-US" w:eastAsia="en-US" w:bidi="ar-SA"/>
              </w:rPr>
              <w:t>1.</w:t>
            </w:r>
            <w:r>
              <w:rPr>
                <w:rFonts w:hint="eastAsia" w:ascii="宋体" w:hAnsi="宋体" w:eastAsia="宋体" w:cs="宋体"/>
                <w:i w:val="0"/>
                <w:iCs w:val="0"/>
                <w:snapToGrid w:val="0"/>
                <w:color w:val="000000"/>
                <w:kern w:val="0"/>
                <w:sz w:val="24"/>
                <w:szCs w:val="24"/>
                <w:u w:val="none"/>
                <w:lang w:val="en-US" w:eastAsia="zh-CN" w:bidi="ar"/>
              </w:rPr>
              <w:t>月度计划表</w:t>
            </w:r>
          </w:p>
          <w:p w14:paraId="27181BC1">
            <w:pPr>
              <w:keepNext w:val="0"/>
              <w:keepLines w:val="0"/>
              <w:pageBreakBefore w:val="0"/>
              <w:widowControl/>
              <w:numPr>
                <w:ilvl w:val="0"/>
                <w:numId w:val="0"/>
              </w:numPr>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9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A6E5B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46681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67"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9ACD2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25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0CEE6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考核复材车间根据项目管理部下发行动项展开相关工作保证生产任务顺利进行的程度。</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3B8F9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9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D8ACC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51355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1"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F4774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5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7AE15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4001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9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105BD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8181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97" w:hRule="atLeast"/>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3B6B3">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产品报废管控</w:t>
            </w:r>
          </w:p>
        </w:tc>
        <w:tc>
          <w:tcPr>
            <w:tcW w:w="25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7E6FE">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考核复材车间对产品报废的事前预防、过程控制情况，确保报废率与报废损失持续下降。</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770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产品发生报废后，依据报废金额认定主要责任部门为复材车间，对其进行扣分处理。</w:t>
            </w:r>
          </w:p>
          <w:p w14:paraId="70111DD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报废金额</w:t>
            </w:r>
            <w:r>
              <w:rPr>
                <w:rFonts w:ascii="宋体" w:hAnsi="宋体" w:eastAsia="宋体" w:cs="宋体"/>
                <w:sz w:val="24"/>
                <w:szCs w:val="24"/>
              </w:rPr>
              <w:t>≤</w:t>
            </w:r>
            <w:r>
              <w:rPr>
                <w:rFonts w:hint="eastAsia" w:ascii="宋体" w:hAnsi="宋体" w:eastAsia="宋体" w:cs="宋体"/>
                <w:sz w:val="24"/>
                <w:szCs w:val="24"/>
                <w:lang w:val="en-US" w:eastAsia="zh-CN"/>
              </w:rPr>
              <w:t>5万元扣1分</w:t>
            </w:r>
          </w:p>
          <w:p w14:paraId="6F2F84E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ascii="宋体" w:hAnsi="宋体" w:eastAsia="宋体" w:cs="宋体"/>
                <w:sz w:val="24"/>
                <w:szCs w:val="24"/>
              </w:rPr>
              <w:t>5万&lt;</w:t>
            </w: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1</w:t>
            </w:r>
            <w:r>
              <w:rPr>
                <w:rFonts w:ascii="宋体" w:hAnsi="宋体" w:eastAsia="宋体" w:cs="宋体"/>
                <w:sz w:val="24"/>
                <w:szCs w:val="24"/>
              </w:rPr>
              <w:t>0万</w:t>
            </w:r>
            <w:r>
              <w:rPr>
                <w:rFonts w:hint="eastAsia" w:ascii="宋体" w:hAnsi="宋体" w:eastAsia="宋体" w:cs="宋体"/>
                <w:sz w:val="24"/>
                <w:szCs w:val="24"/>
                <w:lang w:val="en-US" w:eastAsia="zh-CN"/>
              </w:rPr>
              <w:t>扣3分</w:t>
            </w:r>
          </w:p>
          <w:p w14:paraId="36F2271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&gt;10万元扣5分</w:t>
            </w:r>
          </w:p>
          <w:p w14:paraId="45857556">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&gt;20万元扣10分</w:t>
            </w:r>
          </w:p>
        </w:tc>
        <w:tc>
          <w:tcPr>
            <w:tcW w:w="9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91C97">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20945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97"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84686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关键件抢工率</w:t>
            </w:r>
          </w:p>
        </w:tc>
        <w:tc>
          <w:tcPr>
            <w:tcW w:w="25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508AC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抢工是用于衡量在生产过程中，抢工件因各种原因外部原因需要进行紧急赶工的情况的指标（例如沈飞子件、海鹰净边铣切等）。该指标反映了生产计划执行过程中关键件生产的稳定性和可控性，由项目管理部根据紧急情况发起并编制抢工计划。</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B001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抢工1项，并按抢工计划完成，额外增加0.5分，总分值10分。</w:t>
            </w:r>
          </w:p>
          <w:p w14:paraId="08B7238E">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抢工任务未完成1项扣0.5分</w:t>
            </w:r>
          </w:p>
        </w:tc>
        <w:tc>
          <w:tcPr>
            <w:tcW w:w="9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989E3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抢工率考核不占生产考核分值，总分分值为10分</w:t>
            </w:r>
          </w:p>
        </w:tc>
      </w:tr>
      <w:tr w14:paraId="586EC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69407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5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59467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6B23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数据来源：抢工计划为项目管理部申请的抢工计划申请表数量</w:t>
            </w:r>
          </w:p>
        </w:tc>
        <w:tc>
          <w:tcPr>
            <w:tcW w:w="9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87FCD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bl>
    <w:p w14:paraId="3482E994">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50902174">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default"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复材车间考核总分=产值完成率+生产进度完成率+行动项完成率得分+关键件抢工率得分+产品报废扣分</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1957"/>
        <w:gridCol w:w="2074"/>
        <w:gridCol w:w="2074"/>
      </w:tblGrid>
      <w:tr w14:paraId="2471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8296" w:type="dxa"/>
            <w:gridSpan w:val="4"/>
            <w:vAlign w:val="center"/>
          </w:tcPr>
          <w:p w14:paraId="241A4486">
            <w:pPr>
              <w:keepNext w:val="0"/>
              <w:keepLines w:val="0"/>
              <w:pageBreakBefore w:val="0"/>
              <w:wordWrap/>
              <w:overflowPunct/>
              <w:topLinePunct w:val="0"/>
              <w:bidi w:val="0"/>
              <w:spacing w:after="0" w:line="240" w:lineRule="auto"/>
              <w:jc w:val="center"/>
              <w:rPr>
                <w:rFonts w:hint="eastAsia" w:asciiTheme="majorEastAsia" w:hAnsiTheme="majorEastAsia" w:eastAsiaTheme="majorEastAsia" w:cstheme="majorEastAsia"/>
                <w:b w:val="0"/>
                <w:bCs w:val="0"/>
                <w:sz w:val="24"/>
                <w:szCs w:val="24"/>
                <w:lang w:eastAsia="zh-CN"/>
              </w:rPr>
            </w:pPr>
            <w:r>
              <w:rPr>
                <w:rFonts w:hint="eastAsia" w:asciiTheme="majorEastAsia" w:hAnsiTheme="majorEastAsia" w:eastAsiaTheme="majorEastAsia" w:cstheme="majorEastAsia"/>
                <w:b w:val="0"/>
                <w:bCs w:val="0"/>
                <w:sz w:val="24"/>
                <w:szCs w:val="24"/>
                <w:lang w:eastAsia="zh-CN"/>
              </w:rPr>
              <w:t>复材车间考核项目表</w:t>
            </w:r>
          </w:p>
        </w:tc>
      </w:tr>
      <w:tr w14:paraId="054E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1" w:type="dxa"/>
            <w:vAlign w:val="center"/>
          </w:tcPr>
          <w:p w14:paraId="1C2F232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考核项目</w:t>
            </w:r>
          </w:p>
        </w:tc>
        <w:tc>
          <w:tcPr>
            <w:tcW w:w="1957" w:type="dxa"/>
            <w:vAlign w:val="center"/>
          </w:tcPr>
          <w:p w14:paraId="2B1CEEE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权重比率</w:t>
            </w:r>
          </w:p>
        </w:tc>
        <w:tc>
          <w:tcPr>
            <w:tcW w:w="2074" w:type="dxa"/>
            <w:vAlign w:val="center"/>
          </w:tcPr>
          <w:p w14:paraId="461AC1F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分值</w:t>
            </w:r>
          </w:p>
        </w:tc>
        <w:tc>
          <w:tcPr>
            <w:tcW w:w="2074" w:type="dxa"/>
            <w:vAlign w:val="center"/>
          </w:tcPr>
          <w:p w14:paraId="17E4853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考核周期</w:t>
            </w:r>
          </w:p>
        </w:tc>
      </w:tr>
      <w:tr w14:paraId="37A2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1" w:type="dxa"/>
            <w:vAlign w:val="center"/>
          </w:tcPr>
          <w:p w14:paraId="01DB29A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val="en-US" w:eastAsia="zh-CN"/>
              </w:rPr>
              <w:t>产值完成率</w:t>
            </w:r>
          </w:p>
        </w:tc>
        <w:tc>
          <w:tcPr>
            <w:tcW w:w="1957" w:type="dxa"/>
            <w:vAlign w:val="center"/>
          </w:tcPr>
          <w:p w14:paraId="2C82444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val="en-US" w:eastAsia="zh-CN"/>
              </w:rPr>
              <w:t>40</w:t>
            </w:r>
            <w:r>
              <w:rPr>
                <w:rFonts w:hint="eastAsia" w:asciiTheme="majorEastAsia" w:hAnsiTheme="majorEastAsia" w:eastAsiaTheme="majorEastAsia" w:cstheme="majorEastAsia"/>
                <w:b w:val="0"/>
                <w:bCs w:val="0"/>
                <w:snapToGrid/>
                <w:kern w:val="2"/>
                <w:sz w:val="24"/>
                <w:szCs w:val="24"/>
                <w:lang w:eastAsia="zh-CN"/>
              </w:rPr>
              <w:t>%</w:t>
            </w:r>
          </w:p>
        </w:tc>
        <w:tc>
          <w:tcPr>
            <w:tcW w:w="2074" w:type="dxa"/>
            <w:vAlign w:val="center"/>
          </w:tcPr>
          <w:p w14:paraId="48E1575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40</w:t>
            </w:r>
          </w:p>
        </w:tc>
        <w:tc>
          <w:tcPr>
            <w:tcW w:w="2074" w:type="dxa"/>
            <w:vAlign w:val="center"/>
          </w:tcPr>
          <w:p w14:paraId="1057069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月</w:t>
            </w:r>
          </w:p>
        </w:tc>
      </w:tr>
      <w:tr w14:paraId="2254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1" w:type="dxa"/>
            <w:vAlign w:val="center"/>
          </w:tcPr>
          <w:p w14:paraId="6D47A76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val="en-US" w:eastAsia="zh-CN"/>
              </w:rPr>
              <w:t>生产进度完成</w:t>
            </w:r>
            <w:r>
              <w:rPr>
                <w:rFonts w:hint="eastAsia" w:asciiTheme="majorEastAsia" w:hAnsiTheme="majorEastAsia" w:eastAsiaTheme="majorEastAsia" w:cstheme="majorEastAsia"/>
                <w:b w:val="0"/>
                <w:bCs w:val="0"/>
                <w:snapToGrid/>
                <w:kern w:val="2"/>
                <w:sz w:val="24"/>
                <w:szCs w:val="24"/>
                <w:lang w:eastAsia="zh-CN"/>
              </w:rPr>
              <w:t>率</w:t>
            </w:r>
          </w:p>
        </w:tc>
        <w:tc>
          <w:tcPr>
            <w:tcW w:w="1957" w:type="dxa"/>
            <w:vAlign w:val="center"/>
          </w:tcPr>
          <w:p w14:paraId="0EEFF9B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val="en-US" w:eastAsia="zh-CN"/>
              </w:rPr>
              <w:t>40</w:t>
            </w:r>
            <w:r>
              <w:rPr>
                <w:rFonts w:hint="eastAsia" w:asciiTheme="majorEastAsia" w:hAnsiTheme="majorEastAsia" w:eastAsiaTheme="majorEastAsia" w:cstheme="majorEastAsia"/>
                <w:b w:val="0"/>
                <w:bCs w:val="0"/>
                <w:snapToGrid/>
                <w:kern w:val="2"/>
                <w:sz w:val="24"/>
                <w:szCs w:val="24"/>
                <w:lang w:eastAsia="zh-CN"/>
              </w:rPr>
              <w:t>%</w:t>
            </w:r>
          </w:p>
        </w:tc>
        <w:tc>
          <w:tcPr>
            <w:tcW w:w="2074" w:type="dxa"/>
            <w:vAlign w:val="center"/>
          </w:tcPr>
          <w:p w14:paraId="72E00F4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40</w:t>
            </w:r>
          </w:p>
        </w:tc>
        <w:tc>
          <w:tcPr>
            <w:tcW w:w="2074" w:type="dxa"/>
            <w:vAlign w:val="center"/>
          </w:tcPr>
          <w:p w14:paraId="03C2682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val="en-US" w:eastAsia="zh-CN"/>
              </w:rPr>
              <w:t>月</w:t>
            </w:r>
          </w:p>
        </w:tc>
      </w:tr>
      <w:tr w14:paraId="5FDF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1" w:type="dxa"/>
            <w:vAlign w:val="center"/>
          </w:tcPr>
          <w:p w14:paraId="041B98A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行动项完成率</w:t>
            </w:r>
          </w:p>
        </w:tc>
        <w:tc>
          <w:tcPr>
            <w:tcW w:w="1957" w:type="dxa"/>
            <w:vAlign w:val="center"/>
          </w:tcPr>
          <w:p w14:paraId="11285DB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val="en-US" w:eastAsia="zh-CN"/>
              </w:rPr>
              <w:t>2</w:t>
            </w:r>
            <w:r>
              <w:rPr>
                <w:rFonts w:hint="eastAsia" w:asciiTheme="majorEastAsia" w:hAnsiTheme="majorEastAsia" w:eastAsiaTheme="majorEastAsia" w:cstheme="majorEastAsia"/>
                <w:b w:val="0"/>
                <w:bCs w:val="0"/>
                <w:snapToGrid/>
                <w:kern w:val="2"/>
                <w:sz w:val="24"/>
                <w:szCs w:val="24"/>
                <w:lang w:eastAsia="zh-CN"/>
              </w:rPr>
              <w:t>0%</w:t>
            </w:r>
          </w:p>
        </w:tc>
        <w:tc>
          <w:tcPr>
            <w:tcW w:w="2074" w:type="dxa"/>
            <w:vAlign w:val="center"/>
          </w:tcPr>
          <w:p w14:paraId="496B2C4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10</w:t>
            </w:r>
          </w:p>
        </w:tc>
        <w:tc>
          <w:tcPr>
            <w:tcW w:w="2074" w:type="dxa"/>
            <w:vAlign w:val="center"/>
          </w:tcPr>
          <w:p w14:paraId="4782F4A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eastAsia="zh-CN"/>
              </w:rPr>
            </w:pPr>
            <w:r>
              <w:rPr>
                <w:rFonts w:hint="eastAsia" w:asciiTheme="majorEastAsia" w:hAnsiTheme="majorEastAsia" w:eastAsiaTheme="majorEastAsia" w:cstheme="majorEastAsia"/>
                <w:b w:val="0"/>
                <w:bCs w:val="0"/>
                <w:snapToGrid/>
                <w:kern w:val="2"/>
                <w:sz w:val="24"/>
                <w:szCs w:val="24"/>
                <w:lang w:eastAsia="zh-CN"/>
              </w:rPr>
              <w:t>月</w:t>
            </w:r>
          </w:p>
        </w:tc>
      </w:tr>
      <w:tr w14:paraId="586A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1" w:type="dxa"/>
            <w:shd w:val="clear" w:color="auto" w:fill="auto"/>
            <w:vAlign w:val="center"/>
          </w:tcPr>
          <w:p w14:paraId="08A4621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关键件</w:t>
            </w:r>
            <w:r>
              <w:rPr>
                <w:rFonts w:hint="eastAsia" w:asciiTheme="majorEastAsia" w:hAnsiTheme="majorEastAsia" w:eastAsiaTheme="majorEastAsia" w:cstheme="majorEastAsia"/>
                <w:b w:val="0"/>
                <w:bCs w:val="0"/>
                <w:snapToGrid/>
                <w:kern w:val="2"/>
                <w:sz w:val="24"/>
                <w:szCs w:val="24"/>
                <w:lang w:eastAsia="zh-CN"/>
              </w:rPr>
              <w:t>抢工率</w:t>
            </w:r>
          </w:p>
        </w:tc>
        <w:tc>
          <w:tcPr>
            <w:tcW w:w="1957" w:type="dxa"/>
            <w:shd w:val="clear" w:color="auto" w:fill="auto"/>
            <w:vAlign w:val="center"/>
          </w:tcPr>
          <w:p w14:paraId="5952663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eastAsia="zh-CN"/>
              </w:rPr>
              <w:t>0</w:t>
            </w:r>
          </w:p>
        </w:tc>
        <w:tc>
          <w:tcPr>
            <w:tcW w:w="2074" w:type="dxa"/>
            <w:shd w:val="clear" w:color="auto" w:fill="auto"/>
            <w:vAlign w:val="center"/>
          </w:tcPr>
          <w:p w14:paraId="6A6B74A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eastAsia="zh-CN"/>
              </w:rPr>
              <w:t>10</w:t>
            </w:r>
          </w:p>
        </w:tc>
        <w:tc>
          <w:tcPr>
            <w:tcW w:w="2074" w:type="dxa"/>
            <w:shd w:val="clear" w:color="auto" w:fill="auto"/>
            <w:vAlign w:val="center"/>
          </w:tcPr>
          <w:p w14:paraId="66813CC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eastAsia="zh-CN"/>
              </w:rPr>
              <w:t>按需（</w:t>
            </w:r>
            <w:r>
              <w:rPr>
                <w:rFonts w:hint="eastAsia" w:asciiTheme="majorEastAsia" w:hAnsiTheme="majorEastAsia" w:eastAsiaTheme="majorEastAsia" w:cstheme="majorEastAsia"/>
                <w:b w:val="0"/>
                <w:bCs w:val="0"/>
                <w:snapToGrid/>
                <w:kern w:val="2"/>
                <w:sz w:val="24"/>
                <w:szCs w:val="24"/>
                <w:lang w:val="en-US" w:eastAsia="zh-CN"/>
              </w:rPr>
              <w:t>加分制）</w:t>
            </w:r>
          </w:p>
        </w:tc>
      </w:tr>
      <w:tr w14:paraId="23AC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1" w:type="dxa"/>
            <w:shd w:val="clear" w:color="auto" w:fill="auto"/>
            <w:vAlign w:val="center"/>
          </w:tcPr>
          <w:p w14:paraId="59D4E03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产品报废管控</w:t>
            </w:r>
          </w:p>
        </w:tc>
        <w:tc>
          <w:tcPr>
            <w:tcW w:w="1957" w:type="dxa"/>
            <w:shd w:val="clear" w:color="auto" w:fill="auto"/>
            <w:vAlign w:val="center"/>
          </w:tcPr>
          <w:p w14:paraId="1F0D7A8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0</w:t>
            </w:r>
          </w:p>
        </w:tc>
        <w:tc>
          <w:tcPr>
            <w:tcW w:w="2074" w:type="dxa"/>
            <w:shd w:val="clear" w:color="auto" w:fill="auto"/>
            <w:vAlign w:val="center"/>
          </w:tcPr>
          <w:p w14:paraId="4C95ECA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10</w:t>
            </w:r>
          </w:p>
        </w:tc>
        <w:tc>
          <w:tcPr>
            <w:tcW w:w="2074" w:type="dxa"/>
            <w:shd w:val="clear" w:color="auto" w:fill="auto"/>
            <w:vAlign w:val="center"/>
          </w:tcPr>
          <w:p w14:paraId="2EED75D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7369B47F">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4）外部因素处理</w:t>
      </w:r>
    </w:p>
    <w:p w14:paraId="3E348F17">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车间任务若因物料、设备等外部原因导致生产任务未完成，车间需在每月25日之前统一整理未完成任务明细表，交由项目管理部进行核实，每月30日之前将核实结果反馈至经营发展部，经营发展部对相应责任部门进行扣分处理，每项0.5分，上限10分。</w:t>
      </w:r>
    </w:p>
    <w:p w14:paraId="3B8D1961">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5.1.2工程技术部考核办法</w:t>
      </w:r>
    </w:p>
    <w:p w14:paraId="319F702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71D4B53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分值为100分。考核总分由生产进度完成率得分、产值得分、部门相关行动项完成率及产品报废扣分，乘以权重后累计求和得出。</w:t>
      </w:r>
    </w:p>
    <w:p w14:paraId="41D802B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2）考核指标及权重</w:t>
      </w:r>
    </w:p>
    <w:tbl>
      <w:tblPr>
        <w:tblStyle w:val="6"/>
        <w:tblW w:w="9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2589"/>
        <w:gridCol w:w="4200"/>
        <w:gridCol w:w="1282"/>
      </w:tblGrid>
      <w:tr w14:paraId="14182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D77B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指标项</w:t>
            </w:r>
          </w:p>
        </w:tc>
        <w:tc>
          <w:tcPr>
            <w:tcW w:w="25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58EB9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考核内容</w:t>
            </w: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9B51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评分标准</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0413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权重</w:t>
            </w:r>
          </w:p>
        </w:tc>
      </w:tr>
      <w:tr w14:paraId="1E051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9" w:hRule="atLeast"/>
          <w:jc w:val="center"/>
        </w:trPr>
        <w:tc>
          <w:tcPr>
            <w:tcW w:w="9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48B89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生产进度完成率得分</w:t>
            </w:r>
          </w:p>
        </w:tc>
        <w:tc>
          <w:tcPr>
            <w:tcW w:w="258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18A3A6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工程技术部生产进度完成率按照95%进行考核，即按照月度计划完成率为95%，该项考核指标为满分</w:t>
            </w: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F003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计算公式为：生产进度完成率=（实际交付数量÷计划生产数量）×100%+5%</w:t>
            </w:r>
          </w:p>
        </w:tc>
        <w:tc>
          <w:tcPr>
            <w:tcW w:w="12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7E86F9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占考核分值的30%</w:t>
            </w:r>
          </w:p>
        </w:tc>
      </w:tr>
      <w:tr w14:paraId="47E66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83C94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5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A1148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5ECF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数据来源：</w:t>
            </w:r>
          </w:p>
          <w:p w14:paraId="66C0D7D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1.月度计划表</w:t>
            </w:r>
            <w:r>
              <w:rPr>
                <w:rFonts w:hint="eastAsia" w:ascii="宋体" w:hAnsi="宋体" w:eastAsia="宋体" w:cs="宋体"/>
                <w:i w:val="0"/>
                <w:iCs w:val="0"/>
                <w:color w:val="000000"/>
                <w:sz w:val="24"/>
                <w:szCs w:val="24"/>
                <w:u w:val="none"/>
                <w:lang w:val="en-US" w:eastAsia="zh-CN"/>
              </w:rPr>
              <w:br w:type="textWrapping"/>
            </w:r>
            <w:r>
              <w:rPr>
                <w:rFonts w:hint="eastAsia" w:ascii="宋体" w:hAnsi="宋体" w:eastAsia="宋体" w:cs="宋体"/>
                <w:i w:val="0"/>
                <w:iCs w:val="0"/>
                <w:color w:val="000000"/>
                <w:sz w:val="24"/>
                <w:szCs w:val="24"/>
                <w:u w:val="none"/>
                <w:lang w:val="en-US" w:eastAsia="zh-CN"/>
              </w:rPr>
              <w:t>2.交付报表</w:t>
            </w:r>
          </w:p>
        </w:tc>
        <w:tc>
          <w:tcPr>
            <w:tcW w:w="12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FFB9A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6CBA6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8" w:hRule="atLeast"/>
          <w:jc w:val="center"/>
        </w:trPr>
        <w:tc>
          <w:tcPr>
            <w:tcW w:w="9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B493D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258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69FA0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67A4E2">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1282" w:type="dxa"/>
            <w:vMerge w:val="restart"/>
            <w:tcBorders>
              <w:top w:val="single" w:color="000000" w:sz="4" w:space="0"/>
              <w:left w:val="single" w:color="000000" w:sz="4" w:space="0"/>
              <w:right w:val="single" w:color="000000" w:sz="4" w:space="0"/>
            </w:tcBorders>
            <w:shd w:val="clear" w:color="auto" w:fill="auto"/>
            <w:vAlign w:val="center"/>
          </w:tcPr>
          <w:p w14:paraId="7E7D994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占考核分值的30%</w:t>
            </w:r>
          </w:p>
        </w:tc>
      </w:tr>
      <w:tr w14:paraId="777F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7"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98767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lang w:val="en-US" w:eastAsia="zh-CN"/>
              </w:rPr>
            </w:pPr>
          </w:p>
        </w:tc>
        <w:tc>
          <w:tcPr>
            <w:tcW w:w="25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05C67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lang w:val="en-US" w:eastAsia="zh-CN"/>
              </w:rPr>
            </w:pP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B0C3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646E30F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3F559C6F">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1282" w:type="dxa"/>
            <w:vMerge w:val="continue"/>
            <w:tcBorders>
              <w:left w:val="single" w:color="000000" w:sz="4" w:space="0"/>
              <w:bottom w:val="single" w:color="000000" w:sz="4" w:space="0"/>
              <w:right w:val="single" w:color="000000" w:sz="4" w:space="0"/>
            </w:tcBorders>
            <w:shd w:val="clear" w:color="auto" w:fill="auto"/>
            <w:vAlign w:val="center"/>
          </w:tcPr>
          <w:p w14:paraId="53DF523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lang w:val="en-US" w:eastAsia="zh-CN"/>
              </w:rPr>
            </w:pPr>
          </w:p>
        </w:tc>
      </w:tr>
      <w:tr w14:paraId="5110B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4" w:hRule="atLeast"/>
          <w:jc w:val="center"/>
        </w:trPr>
        <w:tc>
          <w:tcPr>
            <w:tcW w:w="9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8923A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行动项完成情况</w:t>
            </w:r>
          </w:p>
        </w:tc>
        <w:tc>
          <w:tcPr>
            <w:tcW w:w="258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9F751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考核工程技术部根据项目管理部下发行动项展开相关工作保证生产任务顺利进行的程度。</w:t>
            </w: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E56A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12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3F9DC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占考核分值的40%</w:t>
            </w:r>
          </w:p>
        </w:tc>
      </w:tr>
      <w:tr w14:paraId="0396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55049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5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C284B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EC8C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12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AE0BB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AB2D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3A8A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产品报废管控</w:t>
            </w:r>
          </w:p>
        </w:tc>
        <w:tc>
          <w:tcPr>
            <w:tcW w:w="25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3C77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考核工程技术部对产品报废的事前预防、过程控制情况，确保报废率与报废损失持续下降。</w:t>
            </w: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75B0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产品发生报废后，依据报废金额认定主要责任部门为工程技术部，对其进行扣分处理。</w:t>
            </w:r>
          </w:p>
          <w:p w14:paraId="2A8AF09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报废金额</w:t>
            </w:r>
            <w:r>
              <w:rPr>
                <w:rFonts w:ascii="宋体" w:hAnsi="宋体" w:eastAsia="宋体" w:cs="宋体"/>
                <w:sz w:val="24"/>
                <w:szCs w:val="24"/>
              </w:rPr>
              <w:t>≤</w:t>
            </w:r>
            <w:r>
              <w:rPr>
                <w:rFonts w:hint="eastAsia" w:ascii="宋体" w:hAnsi="宋体" w:eastAsia="宋体" w:cs="宋体"/>
                <w:sz w:val="24"/>
                <w:szCs w:val="24"/>
                <w:lang w:val="en-US" w:eastAsia="zh-CN"/>
              </w:rPr>
              <w:t>5万元扣1分</w:t>
            </w:r>
          </w:p>
          <w:p w14:paraId="743209F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ascii="宋体" w:hAnsi="宋体" w:eastAsia="宋体" w:cs="宋体"/>
                <w:sz w:val="24"/>
                <w:szCs w:val="24"/>
              </w:rPr>
              <w:t>5万&lt;</w:t>
            </w: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1</w:t>
            </w:r>
            <w:r>
              <w:rPr>
                <w:rFonts w:ascii="宋体" w:hAnsi="宋体" w:eastAsia="宋体" w:cs="宋体"/>
                <w:sz w:val="24"/>
                <w:szCs w:val="24"/>
              </w:rPr>
              <w:t>0万</w:t>
            </w:r>
            <w:r>
              <w:rPr>
                <w:rFonts w:hint="eastAsia" w:ascii="宋体" w:hAnsi="宋体" w:eastAsia="宋体" w:cs="宋体"/>
                <w:sz w:val="24"/>
                <w:szCs w:val="24"/>
                <w:lang w:val="en-US" w:eastAsia="zh-CN"/>
              </w:rPr>
              <w:t>扣3分</w:t>
            </w:r>
          </w:p>
          <w:p w14:paraId="1E15EE9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&gt;10万元扣5分</w:t>
            </w:r>
          </w:p>
          <w:p w14:paraId="3CFFC33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&gt;20万元扣10分</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7497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47472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60" w:type="dxa"/>
            <w:vMerge w:val="restart"/>
            <w:tcBorders>
              <w:top w:val="single" w:color="000000" w:sz="4" w:space="0"/>
              <w:left w:val="single" w:color="000000" w:sz="4" w:space="0"/>
              <w:right w:val="single" w:color="000000" w:sz="4" w:space="0"/>
            </w:tcBorders>
            <w:shd w:val="clear" w:color="auto" w:fill="auto"/>
            <w:vAlign w:val="center"/>
          </w:tcPr>
          <w:p w14:paraId="35BA510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2589" w:type="dxa"/>
            <w:vMerge w:val="restart"/>
            <w:tcBorders>
              <w:top w:val="single" w:color="000000" w:sz="4" w:space="0"/>
              <w:left w:val="single" w:color="000000" w:sz="4" w:space="0"/>
              <w:right w:val="single" w:color="000000" w:sz="4" w:space="0"/>
            </w:tcBorders>
            <w:shd w:val="clear" w:color="auto" w:fill="auto"/>
            <w:vAlign w:val="center"/>
          </w:tcPr>
          <w:p w14:paraId="3E6426D6">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考核由于工程技术部的原因导致复材车间无法开工交付延期</w:t>
            </w: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AC40BD">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责任部门为工程技术部，每项0.5分</w:t>
            </w:r>
          </w:p>
        </w:tc>
        <w:tc>
          <w:tcPr>
            <w:tcW w:w="1282" w:type="dxa"/>
            <w:vMerge w:val="restart"/>
            <w:tcBorders>
              <w:top w:val="single" w:color="000000" w:sz="4" w:space="0"/>
              <w:left w:val="single" w:color="000000" w:sz="4" w:space="0"/>
              <w:right w:val="single" w:color="000000" w:sz="4" w:space="0"/>
            </w:tcBorders>
            <w:shd w:val="clear" w:color="auto" w:fill="auto"/>
            <w:vAlign w:val="center"/>
          </w:tcPr>
          <w:p w14:paraId="5B32AC8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5B16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960" w:type="dxa"/>
            <w:vMerge w:val="continue"/>
            <w:tcBorders>
              <w:left w:val="single" w:color="000000" w:sz="4" w:space="0"/>
              <w:bottom w:val="single" w:color="000000" w:sz="4" w:space="0"/>
              <w:right w:val="single" w:color="000000" w:sz="4" w:space="0"/>
            </w:tcBorders>
            <w:shd w:val="clear" w:color="auto" w:fill="auto"/>
            <w:vAlign w:val="center"/>
          </w:tcPr>
          <w:p w14:paraId="2F15ABB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589" w:type="dxa"/>
            <w:vMerge w:val="continue"/>
            <w:tcBorders>
              <w:left w:val="single" w:color="000000" w:sz="4" w:space="0"/>
              <w:bottom w:val="single" w:color="000000" w:sz="4" w:space="0"/>
              <w:right w:val="single" w:color="000000" w:sz="4" w:space="0"/>
            </w:tcBorders>
            <w:shd w:val="clear" w:color="auto" w:fill="auto"/>
            <w:vAlign w:val="center"/>
          </w:tcPr>
          <w:p w14:paraId="4F64B4EA">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p>
        </w:tc>
        <w:tc>
          <w:tcPr>
            <w:tcW w:w="42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3FB3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数据来源：复材车间《未完成任务明细表》</w:t>
            </w:r>
          </w:p>
        </w:tc>
        <w:tc>
          <w:tcPr>
            <w:tcW w:w="1282" w:type="dxa"/>
            <w:vMerge w:val="continue"/>
            <w:tcBorders>
              <w:left w:val="single" w:color="000000" w:sz="4" w:space="0"/>
              <w:bottom w:val="single" w:color="000000" w:sz="4" w:space="0"/>
              <w:right w:val="single" w:color="000000" w:sz="4" w:space="0"/>
            </w:tcBorders>
            <w:shd w:val="clear" w:color="auto" w:fill="auto"/>
            <w:vAlign w:val="center"/>
          </w:tcPr>
          <w:p w14:paraId="0EB2E7D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bl>
    <w:p w14:paraId="35FBC113">
      <w:pPr>
        <w:keepNext w:val="0"/>
        <w:keepLines w:val="0"/>
        <w:pageBreakBefore w:val="0"/>
        <w:widowControl/>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1DB0FC4D">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default"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工程技术部考核总分=生产进度完成率得分+产值完成率得分+行动项完成率得分+产品报废扣分</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4"/>
        <w:gridCol w:w="1694"/>
        <w:gridCol w:w="2074"/>
        <w:gridCol w:w="2074"/>
      </w:tblGrid>
      <w:tr w14:paraId="0328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8296" w:type="dxa"/>
            <w:gridSpan w:val="4"/>
            <w:vAlign w:val="center"/>
          </w:tcPr>
          <w:p w14:paraId="34655FC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z w:val="24"/>
                <w:szCs w:val="24"/>
                <w:lang w:eastAsia="zh-CN"/>
              </w:rPr>
              <w:t>工程技术部考核项目表</w:t>
            </w:r>
          </w:p>
        </w:tc>
      </w:tr>
      <w:tr w14:paraId="0241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vAlign w:val="center"/>
          </w:tcPr>
          <w:p w14:paraId="2F52326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1694" w:type="dxa"/>
            <w:vAlign w:val="center"/>
          </w:tcPr>
          <w:p w14:paraId="5126347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2074" w:type="dxa"/>
            <w:vAlign w:val="center"/>
          </w:tcPr>
          <w:p w14:paraId="2D658CB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2074" w:type="dxa"/>
            <w:vAlign w:val="center"/>
          </w:tcPr>
          <w:p w14:paraId="12E652F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3212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vAlign w:val="center"/>
          </w:tcPr>
          <w:p w14:paraId="2006419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1694" w:type="dxa"/>
            <w:vAlign w:val="center"/>
          </w:tcPr>
          <w:p w14:paraId="7BBB45E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30</w:t>
            </w:r>
            <w:r>
              <w:rPr>
                <w:rFonts w:hint="eastAsia" w:ascii="宋体" w:hAnsi="宋体" w:eastAsia="宋体" w:cs="宋体"/>
                <w:b w:val="0"/>
                <w:bCs w:val="0"/>
                <w:snapToGrid/>
                <w:kern w:val="2"/>
                <w:sz w:val="24"/>
                <w:szCs w:val="24"/>
                <w:lang w:eastAsia="zh-CN"/>
              </w:rPr>
              <w:t>%</w:t>
            </w:r>
          </w:p>
        </w:tc>
        <w:tc>
          <w:tcPr>
            <w:tcW w:w="2074" w:type="dxa"/>
            <w:vAlign w:val="center"/>
          </w:tcPr>
          <w:p w14:paraId="08FB0FD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30</w:t>
            </w:r>
          </w:p>
        </w:tc>
        <w:tc>
          <w:tcPr>
            <w:tcW w:w="2074" w:type="dxa"/>
            <w:vAlign w:val="center"/>
          </w:tcPr>
          <w:p w14:paraId="74EAA35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2446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vAlign w:val="center"/>
          </w:tcPr>
          <w:p w14:paraId="11A9804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产值完成率</w:t>
            </w:r>
          </w:p>
        </w:tc>
        <w:tc>
          <w:tcPr>
            <w:tcW w:w="1694" w:type="dxa"/>
            <w:vAlign w:val="center"/>
          </w:tcPr>
          <w:p w14:paraId="16DBBFF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30%</w:t>
            </w:r>
          </w:p>
        </w:tc>
        <w:tc>
          <w:tcPr>
            <w:tcW w:w="2074" w:type="dxa"/>
            <w:vAlign w:val="center"/>
          </w:tcPr>
          <w:p w14:paraId="5CE3076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30</w:t>
            </w:r>
          </w:p>
        </w:tc>
        <w:tc>
          <w:tcPr>
            <w:tcW w:w="2074" w:type="dxa"/>
            <w:vAlign w:val="center"/>
          </w:tcPr>
          <w:p w14:paraId="4DD3299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r w14:paraId="3CE6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vAlign w:val="center"/>
          </w:tcPr>
          <w:p w14:paraId="5DB6D4C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行动项完成率</w:t>
            </w:r>
          </w:p>
        </w:tc>
        <w:tc>
          <w:tcPr>
            <w:tcW w:w="1694" w:type="dxa"/>
            <w:vAlign w:val="center"/>
          </w:tcPr>
          <w:p w14:paraId="018DF0A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40</w:t>
            </w:r>
            <w:r>
              <w:rPr>
                <w:rFonts w:hint="eastAsia" w:ascii="宋体" w:hAnsi="宋体" w:eastAsia="宋体" w:cs="宋体"/>
                <w:b w:val="0"/>
                <w:bCs w:val="0"/>
                <w:snapToGrid/>
                <w:kern w:val="2"/>
                <w:sz w:val="24"/>
                <w:szCs w:val="24"/>
                <w:lang w:eastAsia="zh-CN"/>
              </w:rPr>
              <w:t>%</w:t>
            </w:r>
          </w:p>
        </w:tc>
        <w:tc>
          <w:tcPr>
            <w:tcW w:w="2074" w:type="dxa"/>
            <w:vAlign w:val="center"/>
          </w:tcPr>
          <w:p w14:paraId="759FC53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40</w:t>
            </w:r>
          </w:p>
        </w:tc>
        <w:tc>
          <w:tcPr>
            <w:tcW w:w="2074" w:type="dxa"/>
            <w:vAlign w:val="center"/>
          </w:tcPr>
          <w:p w14:paraId="23948B6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6272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4" w:type="dxa"/>
            <w:shd w:val="clear" w:color="auto" w:fill="auto"/>
            <w:vAlign w:val="center"/>
          </w:tcPr>
          <w:p w14:paraId="2FE70D0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产品报废管控</w:t>
            </w:r>
          </w:p>
        </w:tc>
        <w:tc>
          <w:tcPr>
            <w:tcW w:w="1694" w:type="dxa"/>
            <w:shd w:val="clear" w:color="auto" w:fill="auto"/>
            <w:vAlign w:val="center"/>
          </w:tcPr>
          <w:p w14:paraId="2365B48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2074" w:type="dxa"/>
            <w:shd w:val="clear" w:color="auto" w:fill="auto"/>
            <w:vAlign w:val="center"/>
          </w:tcPr>
          <w:p w14:paraId="0DB8A7A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2074" w:type="dxa"/>
            <w:shd w:val="clear" w:color="auto" w:fill="auto"/>
            <w:vAlign w:val="center"/>
          </w:tcPr>
          <w:p w14:paraId="6886DEB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r w14:paraId="6FA6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54" w:type="dxa"/>
            <w:shd w:val="clear" w:color="auto" w:fill="auto"/>
            <w:vAlign w:val="center"/>
          </w:tcPr>
          <w:p w14:paraId="3A23A56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外部因素处理</w:t>
            </w:r>
          </w:p>
        </w:tc>
        <w:tc>
          <w:tcPr>
            <w:tcW w:w="1694" w:type="dxa"/>
            <w:shd w:val="clear" w:color="auto" w:fill="auto"/>
            <w:vAlign w:val="center"/>
          </w:tcPr>
          <w:p w14:paraId="2ED2301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0</w:t>
            </w:r>
          </w:p>
        </w:tc>
        <w:tc>
          <w:tcPr>
            <w:tcW w:w="2074" w:type="dxa"/>
            <w:shd w:val="clear" w:color="auto" w:fill="auto"/>
            <w:vAlign w:val="center"/>
          </w:tcPr>
          <w:p w14:paraId="0DD62FF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10</w:t>
            </w:r>
          </w:p>
        </w:tc>
        <w:tc>
          <w:tcPr>
            <w:tcW w:w="2074" w:type="dxa"/>
            <w:shd w:val="clear" w:color="auto" w:fill="auto"/>
            <w:vAlign w:val="center"/>
          </w:tcPr>
          <w:p w14:paraId="21FEE28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5D3C9CD5">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5.1.3项目管理部考核办法</w:t>
      </w:r>
    </w:p>
    <w:p w14:paraId="2E24C74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604634F8">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分值为100分。考核总分由生产进度完成率得分、产值得分、部门相关行动项完成率及产品报废扣分，乘以权重后累计求和得出。</w:t>
      </w:r>
    </w:p>
    <w:p w14:paraId="26FB1774">
      <w:pPr>
        <w:keepNext w:val="0"/>
        <w:keepLines w:val="0"/>
        <w:pageBreakBefore w:val="0"/>
        <w:widowControl/>
        <w:numPr>
          <w:ilvl w:val="0"/>
          <w:numId w:val="0"/>
        </w:numPr>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color w:val="000000"/>
          <w:kern w:val="0"/>
          <w:sz w:val="28"/>
          <w:szCs w:val="22"/>
          <w:lang w:val="en-US" w:eastAsia="zh-CN" w:bidi="ar-SA"/>
        </w:rPr>
        <w:t>2）</w:t>
      </w:r>
      <w:r>
        <w:rPr>
          <w:rFonts w:hint="eastAsia" w:ascii="Times New Roman" w:hAnsi="Times New Roman" w:eastAsia="宋体" w:cs="Times New Roman"/>
          <w:snapToGrid/>
          <w:kern w:val="0"/>
          <w:sz w:val="28"/>
          <w:szCs w:val="22"/>
          <w:lang w:val="en-US" w:eastAsia="zh-CN" w:bidi="ar-SA"/>
        </w:rPr>
        <w:t>考核指标及权重</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80"/>
        <w:gridCol w:w="3007"/>
        <w:gridCol w:w="3549"/>
        <w:gridCol w:w="983"/>
      </w:tblGrid>
      <w:tr w14:paraId="2E6FE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2D43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264B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20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5343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B46B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权重</w:t>
            </w:r>
          </w:p>
        </w:tc>
      </w:tr>
      <w:tr w14:paraId="3B59D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DB576C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17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917FF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4330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57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62B0F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占考核分值的30%</w:t>
            </w:r>
          </w:p>
        </w:tc>
      </w:tr>
      <w:tr w14:paraId="04C36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F57E2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2219B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229BA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57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F7C02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6DBDC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11A3C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17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A1726E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59AFF">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576" w:type="pct"/>
            <w:vMerge w:val="restart"/>
            <w:tcBorders>
              <w:top w:val="single" w:color="000000" w:sz="4" w:space="0"/>
              <w:left w:val="single" w:color="000000" w:sz="4" w:space="0"/>
              <w:right w:val="single" w:color="000000" w:sz="4" w:space="0"/>
            </w:tcBorders>
            <w:shd w:val="clear" w:color="auto" w:fill="auto"/>
            <w:vAlign w:val="center"/>
          </w:tcPr>
          <w:p w14:paraId="56701C0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占考核分值的30%</w:t>
            </w:r>
          </w:p>
        </w:tc>
      </w:tr>
      <w:tr w14:paraId="6994C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3CC6B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A624A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A81D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2C0CF4B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7BCA57EA">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576" w:type="pct"/>
            <w:vMerge w:val="continue"/>
            <w:tcBorders>
              <w:left w:val="single" w:color="000000" w:sz="4" w:space="0"/>
              <w:bottom w:val="single" w:color="000000" w:sz="4" w:space="0"/>
              <w:right w:val="single" w:color="000000" w:sz="4" w:space="0"/>
            </w:tcBorders>
            <w:shd w:val="clear" w:color="auto" w:fill="auto"/>
            <w:vAlign w:val="center"/>
          </w:tcPr>
          <w:p w14:paraId="69DC203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1DB41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02317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17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7B6AC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20EC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57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6E98F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占考核分值的40%</w:t>
            </w:r>
          </w:p>
        </w:tc>
      </w:tr>
      <w:tr w14:paraId="78CDD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A4781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978A0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1F787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57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E9F1A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341D1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C577C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产品报废管控</w:t>
            </w:r>
          </w:p>
        </w:tc>
        <w:tc>
          <w:tcPr>
            <w:tcW w:w="17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BF00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考核质量管理部及项目管理部对产品报废的事前预防、过程控制与责任落实情况，确保报废率与报废损失持续下降。</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92FA1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产品发生报废后，依据报废金额对其进行扣分处理。</w:t>
            </w:r>
          </w:p>
          <w:p w14:paraId="1C88842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报废金额</w:t>
            </w:r>
            <w:r>
              <w:rPr>
                <w:rFonts w:ascii="宋体" w:hAnsi="宋体" w:eastAsia="宋体" w:cs="宋体"/>
                <w:sz w:val="24"/>
                <w:szCs w:val="24"/>
              </w:rPr>
              <w:t>≤</w:t>
            </w:r>
            <w:r>
              <w:rPr>
                <w:rFonts w:hint="eastAsia" w:ascii="宋体" w:hAnsi="宋体" w:eastAsia="宋体" w:cs="宋体"/>
                <w:sz w:val="24"/>
                <w:szCs w:val="24"/>
                <w:lang w:val="en-US" w:eastAsia="zh-CN"/>
              </w:rPr>
              <w:t>10万元扣1分</w:t>
            </w:r>
          </w:p>
          <w:p w14:paraId="2C0BA36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w:t>
            </w:r>
            <w:r>
              <w:rPr>
                <w:rFonts w:ascii="宋体" w:hAnsi="宋体" w:eastAsia="宋体" w:cs="宋体"/>
                <w:sz w:val="24"/>
                <w:szCs w:val="24"/>
              </w:rPr>
              <w:t>万&lt;</w:t>
            </w: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30</w:t>
            </w:r>
            <w:r>
              <w:rPr>
                <w:rFonts w:ascii="宋体" w:hAnsi="宋体" w:eastAsia="宋体" w:cs="宋体"/>
                <w:sz w:val="24"/>
                <w:szCs w:val="24"/>
              </w:rPr>
              <w:t>万</w:t>
            </w:r>
            <w:r>
              <w:rPr>
                <w:rFonts w:hint="eastAsia" w:ascii="宋体" w:hAnsi="宋体" w:eastAsia="宋体" w:cs="宋体"/>
                <w:sz w:val="24"/>
                <w:szCs w:val="24"/>
                <w:lang w:val="en-US" w:eastAsia="zh-CN"/>
              </w:rPr>
              <w:t>扣3分</w:t>
            </w:r>
          </w:p>
          <w:p w14:paraId="4D920A8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&gt;30万元扣5分</w:t>
            </w:r>
          </w:p>
          <w:p w14:paraId="338A68B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&gt;40万元扣10分</w:t>
            </w:r>
          </w:p>
        </w:tc>
        <w:tc>
          <w:tcPr>
            <w:tcW w:w="5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43AB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1BE3D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575" w:type="pct"/>
            <w:vMerge w:val="restart"/>
            <w:tcBorders>
              <w:top w:val="single" w:color="000000" w:sz="4" w:space="0"/>
              <w:left w:val="single" w:color="000000" w:sz="4" w:space="0"/>
              <w:right w:val="single" w:color="000000" w:sz="4" w:space="0"/>
            </w:tcBorders>
            <w:shd w:val="clear" w:color="auto" w:fill="auto"/>
            <w:vAlign w:val="center"/>
          </w:tcPr>
          <w:p w14:paraId="51AF529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1764" w:type="pct"/>
            <w:vMerge w:val="restart"/>
            <w:tcBorders>
              <w:top w:val="single" w:color="000000" w:sz="4" w:space="0"/>
              <w:left w:val="single" w:color="000000" w:sz="4" w:space="0"/>
              <w:right w:val="single" w:color="000000" w:sz="4" w:space="0"/>
            </w:tcBorders>
            <w:shd w:val="clear" w:color="auto" w:fill="auto"/>
            <w:vAlign w:val="center"/>
          </w:tcPr>
          <w:p w14:paraId="508DE59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考核由于项目管理部的原因导致复材车间无法开工交付延期</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5EA7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责任部门为项目管理部，每项0.5分</w:t>
            </w:r>
          </w:p>
        </w:tc>
        <w:tc>
          <w:tcPr>
            <w:tcW w:w="576" w:type="pct"/>
            <w:vMerge w:val="restart"/>
            <w:tcBorders>
              <w:top w:val="single" w:color="000000" w:sz="4" w:space="0"/>
              <w:left w:val="single" w:color="000000" w:sz="4" w:space="0"/>
              <w:right w:val="single" w:color="000000" w:sz="4" w:space="0"/>
            </w:tcBorders>
            <w:shd w:val="clear" w:color="auto" w:fill="auto"/>
            <w:vAlign w:val="center"/>
          </w:tcPr>
          <w:p w14:paraId="221C2BB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1B31A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5" w:type="pct"/>
            <w:vMerge w:val="continue"/>
            <w:tcBorders>
              <w:left w:val="single" w:color="000000" w:sz="4" w:space="0"/>
              <w:bottom w:val="single" w:color="000000" w:sz="4" w:space="0"/>
              <w:right w:val="single" w:color="000000" w:sz="4" w:space="0"/>
            </w:tcBorders>
            <w:shd w:val="clear" w:color="auto" w:fill="auto"/>
            <w:vAlign w:val="center"/>
          </w:tcPr>
          <w:p w14:paraId="16C027F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left w:val="single" w:color="000000" w:sz="4" w:space="0"/>
              <w:bottom w:val="single" w:color="000000" w:sz="4" w:space="0"/>
              <w:right w:val="single" w:color="000000" w:sz="4" w:space="0"/>
            </w:tcBorders>
            <w:shd w:val="clear" w:color="auto" w:fill="auto"/>
            <w:vAlign w:val="center"/>
          </w:tcPr>
          <w:p w14:paraId="637F5AB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422E3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数据来源：复材车间《未完成任务明细表》</w:t>
            </w:r>
          </w:p>
        </w:tc>
        <w:tc>
          <w:tcPr>
            <w:tcW w:w="576" w:type="pct"/>
            <w:vMerge w:val="continue"/>
            <w:tcBorders>
              <w:left w:val="single" w:color="000000" w:sz="4" w:space="0"/>
              <w:bottom w:val="single" w:color="000000" w:sz="4" w:space="0"/>
              <w:right w:val="single" w:color="000000" w:sz="4" w:space="0"/>
            </w:tcBorders>
            <w:shd w:val="clear" w:color="auto" w:fill="auto"/>
            <w:vAlign w:val="center"/>
          </w:tcPr>
          <w:p w14:paraId="3017852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bl>
    <w:p w14:paraId="19415622">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35CF1003">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考核总分=生产进度完成率得分+产值完成率得分+行动项完成率得分+产品报废扣分</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2129"/>
        <w:gridCol w:w="2129"/>
        <w:gridCol w:w="2141"/>
      </w:tblGrid>
      <w:tr w14:paraId="5EDD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vAlign w:val="center"/>
          </w:tcPr>
          <w:p w14:paraId="7B4FA85E">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Times New Roman" w:hAnsi="Times New Roman" w:eastAsia="宋体" w:cs="Times New Roman"/>
                <w:snapToGrid/>
                <w:kern w:val="0"/>
                <w:sz w:val="24"/>
                <w:szCs w:val="24"/>
                <w:lang w:val="en-US" w:eastAsia="zh-CN" w:bidi="ar-SA"/>
              </w:rPr>
              <w:t>项目管理部</w:t>
            </w:r>
            <w:r>
              <w:rPr>
                <w:rFonts w:hint="eastAsia" w:ascii="宋体" w:hAnsi="宋体" w:eastAsia="宋体" w:cs="宋体"/>
                <w:b w:val="0"/>
                <w:bCs w:val="0"/>
                <w:sz w:val="24"/>
                <w:szCs w:val="24"/>
                <w:lang w:eastAsia="zh-CN"/>
              </w:rPr>
              <w:t>考核项目表</w:t>
            </w:r>
          </w:p>
        </w:tc>
      </w:tr>
      <w:tr w14:paraId="3933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tcPr>
          <w:p w14:paraId="5C60542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1249" w:type="pct"/>
          </w:tcPr>
          <w:p w14:paraId="2880346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1249" w:type="pct"/>
          </w:tcPr>
          <w:p w14:paraId="104CC94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1254" w:type="pct"/>
          </w:tcPr>
          <w:p w14:paraId="47B8577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41F9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shd w:val="clear" w:color="auto" w:fill="auto"/>
            <w:vAlign w:val="top"/>
          </w:tcPr>
          <w:p w14:paraId="33D3893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1249" w:type="pct"/>
            <w:shd w:val="clear" w:color="auto" w:fill="auto"/>
            <w:vAlign w:val="center"/>
          </w:tcPr>
          <w:p w14:paraId="69562D0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30</w:t>
            </w:r>
            <w:r>
              <w:rPr>
                <w:rFonts w:hint="eastAsia" w:ascii="宋体" w:hAnsi="宋体" w:eastAsia="宋体" w:cs="宋体"/>
                <w:b w:val="0"/>
                <w:bCs w:val="0"/>
                <w:snapToGrid/>
                <w:kern w:val="2"/>
                <w:sz w:val="24"/>
                <w:szCs w:val="24"/>
                <w:lang w:eastAsia="zh-CN"/>
              </w:rPr>
              <w:t>%</w:t>
            </w:r>
          </w:p>
        </w:tc>
        <w:tc>
          <w:tcPr>
            <w:tcW w:w="1249" w:type="pct"/>
            <w:shd w:val="clear" w:color="auto" w:fill="auto"/>
            <w:vAlign w:val="center"/>
          </w:tcPr>
          <w:p w14:paraId="2A2A87E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30</w:t>
            </w:r>
          </w:p>
        </w:tc>
        <w:tc>
          <w:tcPr>
            <w:tcW w:w="1254" w:type="pct"/>
            <w:shd w:val="clear" w:color="auto" w:fill="auto"/>
            <w:vAlign w:val="top"/>
          </w:tcPr>
          <w:p w14:paraId="688F645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eastAsia="zh-CN"/>
              </w:rPr>
              <w:t>月</w:t>
            </w:r>
          </w:p>
        </w:tc>
      </w:tr>
      <w:tr w14:paraId="43DD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shd w:val="clear" w:color="auto" w:fill="auto"/>
            <w:vAlign w:val="top"/>
          </w:tcPr>
          <w:p w14:paraId="52C362F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产值完成率</w:t>
            </w:r>
          </w:p>
        </w:tc>
        <w:tc>
          <w:tcPr>
            <w:tcW w:w="1249" w:type="pct"/>
            <w:shd w:val="clear" w:color="auto" w:fill="auto"/>
            <w:vAlign w:val="center"/>
          </w:tcPr>
          <w:p w14:paraId="5853F24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30%</w:t>
            </w:r>
          </w:p>
        </w:tc>
        <w:tc>
          <w:tcPr>
            <w:tcW w:w="1249" w:type="pct"/>
            <w:shd w:val="clear" w:color="auto" w:fill="auto"/>
            <w:vAlign w:val="center"/>
          </w:tcPr>
          <w:p w14:paraId="614F3FA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30</w:t>
            </w:r>
          </w:p>
        </w:tc>
        <w:tc>
          <w:tcPr>
            <w:tcW w:w="1254" w:type="pct"/>
            <w:shd w:val="clear" w:color="auto" w:fill="auto"/>
            <w:vAlign w:val="top"/>
          </w:tcPr>
          <w:p w14:paraId="11CEBAF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月</w:t>
            </w:r>
          </w:p>
        </w:tc>
      </w:tr>
      <w:tr w14:paraId="3984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tcPr>
          <w:p w14:paraId="1393B41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行动项完成率</w:t>
            </w:r>
          </w:p>
        </w:tc>
        <w:tc>
          <w:tcPr>
            <w:tcW w:w="1249" w:type="pct"/>
            <w:shd w:val="clear" w:color="auto" w:fill="auto"/>
            <w:vAlign w:val="center"/>
          </w:tcPr>
          <w:p w14:paraId="3DDD2C8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40</w:t>
            </w:r>
            <w:r>
              <w:rPr>
                <w:rFonts w:hint="eastAsia" w:ascii="宋体" w:hAnsi="宋体" w:eastAsia="宋体" w:cs="宋体"/>
                <w:b w:val="0"/>
                <w:bCs w:val="0"/>
                <w:snapToGrid/>
                <w:kern w:val="2"/>
                <w:sz w:val="24"/>
                <w:szCs w:val="24"/>
                <w:lang w:eastAsia="zh-CN"/>
              </w:rPr>
              <w:t>%</w:t>
            </w:r>
          </w:p>
        </w:tc>
        <w:tc>
          <w:tcPr>
            <w:tcW w:w="1249" w:type="pct"/>
            <w:shd w:val="clear" w:color="auto" w:fill="auto"/>
            <w:vAlign w:val="center"/>
          </w:tcPr>
          <w:p w14:paraId="4A676E9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40</w:t>
            </w:r>
          </w:p>
        </w:tc>
        <w:tc>
          <w:tcPr>
            <w:tcW w:w="1254" w:type="pct"/>
          </w:tcPr>
          <w:p w14:paraId="59DFAA9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3C51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shd w:val="clear" w:color="auto" w:fill="auto"/>
            <w:vAlign w:val="center"/>
          </w:tcPr>
          <w:p w14:paraId="0C16E3F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产品报废管控</w:t>
            </w:r>
          </w:p>
        </w:tc>
        <w:tc>
          <w:tcPr>
            <w:tcW w:w="1249" w:type="pct"/>
            <w:shd w:val="clear" w:color="auto" w:fill="auto"/>
            <w:vAlign w:val="center"/>
          </w:tcPr>
          <w:p w14:paraId="2457A42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1249" w:type="pct"/>
            <w:shd w:val="clear" w:color="auto" w:fill="auto"/>
            <w:vAlign w:val="center"/>
          </w:tcPr>
          <w:p w14:paraId="0949E9F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1254" w:type="pct"/>
            <w:shd w:val="clear" w:color="auto" w:fill="auto"/>
            <w:vAlign w:val="center"/>
          </w:tcPr>
          <w:p w14:paraId="0252181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r w14:paraId="36D2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6" w:type="pct"/>
            <w:shd w:val="clear" w:color="auto" w:fill="auto"/>
            <w:vAlign w:val="center"/>
          </w:tcPr>
          <w:p w14:paraId="13CF5C9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外部因素处理</w:t>
            </w:r>
          </w:p>
        </w:tc>
        <w:tc>
          <w:tcPr>
            <w:tcW w:w="1249" w:type="pct"/>
            <w:shd w:val="clear" w:color="auto" w:fill="auto"/>
            <w:vAlign w:val="center"/>
          </w:tcPr>
          <w:p w14:paraId="57DE7E0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1249" w:type="pct"/>
            <w:shd w:val="clear" w:color="auto" w:fill="auto"/>
            <w:vAlign w:val="center"/>
          </w:tcPr>
          <w:p w14:paraId="63B08A7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1254" w:type="pct"/>
            <w:shd w:val="clear" w:color="auto" w:fill="auto"/>
            <w:vAlign w:val="center"/>
          </w:tcPr>
          <w:p w14:paraId="1D6B4C8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27B5E1F6">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5.1.4物资保障部考核办法</w:t>
      </w:r>
    </w:p>
    <w:p w14:paraId="4A8DB06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0EC7484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分值为100分。考核总分由生产进度完成率得分、产值得分、部门相关行动项完成率及产品报废扣分，乘以权重后累计求和得出。</w:t>
      </w:r>
    </w:p>
    <w:p w14:paraId="5246D260">
      <w:pPr>
        <w:keepNext w:val="0"/>
        <w:keepLines w:val="0"/>
        <w:pageBreakBefore w:val="0"/>
        <w:widowControl/>
        <w:numPr>
          <w:ilvl w:val="0"/>
          <w:numId w:val="0"/>
        </w:numPr>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color w:val="000000"/>
          <w:kern w:val="0"/>
          <w:sz w:val="28"/>
          <w:szCs w:val="22"/>
          <w:lang w:val="en-US" w:eastAsia="zh-CN" w:bidi="ar-SA"/>
        </w:rPr>
        <w:t>2）</w:t>
      </w:r>
      <w:r>
        <w:rPr>
          <w:rFonts w:hint="eastAsia" w:ascii="Times New Roman" w:hAnsi="Times New Roman" w:eastAsia="宋体" w:cs="Times New Roman"/>
          <w:snapToGrid/>
          <w:kern w:val="0"/>
          <w:sz w:val="28"/>
          <w:szCs w:val="22"/>
          <w:lang w:val="en-US" w:eastAsia="zh-CN" w:bidi="ar-SA"/>
        </w:rPr>
        <w:t>考核指标及权重</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80"/>
        <w:gridCol w:w="3007"/>
        <w:gridCol w:w="3549"/>
        <w:gridCol w:w="983"/>
      </w:tblGrid>
      <w:tr w14:paraId="19FDD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8E84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17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C2B9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20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2EA0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3CAB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权重</w:t>
            </w:r>
          </w:p>
        </w:tc>
      </w:tr>
      <w:tr w14:paraId="04BF2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C45FA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17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788BA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FE915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57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A6816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占考核分值的25%</w:t>
            </w:r>
          </w:p>
        </w:tc>
      </w:tr>
      <w:tr w14:paraId="297E3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7" w:hRule="atLeast"/>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419BD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F2D7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101F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57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4E7C5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7629C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77EF03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17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538AF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0CA43">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576" w:type="pct"/>
            <w:vMerge w:val="restart"/>
            <w:tcBorders>
              <w:top w:val="single" w:color="000000" w:sz="4" w:space="0"/>
              <w:left w:val="single" w:color="000000" w:sz="4" w:space="0"/>
              <w:right w:val="single" w:color="000000" w:sz="4" w:space="0"/>
            </w:tcBorders>
            <w:shd w:val="clear" w:color="auto" w:fill="auto"/>
            <w:vAlign w:val="center"/>
          </w:tcPr>
          <w:p w14:paraId="1B75562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占考核分值的25%</w:t>
            </w:r>
          </w:p>
        </w:tc>
      </w:tr>
      <w:tr w14:paraId="5C6CE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E1738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AD6B6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F4346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55D84F2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1CEE8E75">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576" w:type="pct"/>
            <w:vMerge w:val="continue"/>
            <w:tcBorders>
              <w:left w:val="single" w:color="000000" w:sz="4" w:space="0"/>
              <w:bottom w:val="single" w:color="000000" w:sz="4" w:space="0"/>
              <w:right w:val="single" w:color="000000" w:sz="4" w:space="0"/>
            </w:tcBorders>
            <w:shd w:val="clear" w:color="auto" w:fill="auto"/>
            <w:vAlign w:val="center"/>
          </w:tcPr>
          <w:p w14:paraId="73E98D4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2C3C9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AB089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17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71F6E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777F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57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F76EB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占考核分值的50%</w:t>
            </w:r>
          </w:p>
        </w:tc>
      </w:tr>
      <w:tr w14:paraId="12F9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1B9A5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D8DBF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78D4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57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D88A2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4FD02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08F0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产品报废管控</w:t>
            </w:r>
          </w:p>
        </w:tc>
        <w:tc>
          <w:tcPr>
            <w:tcW w:w="17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290BF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考核质量管理部及项目管理部对产品报废的事前预防、过程控制与责任落实情况，确保报废率与报废损失持续下降。</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8A41F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产品发生报废后，依据报废金额对其进行扣分处理。</w:t>
            </w:r>
          </w:p>
          <w:p w14:paraId="786D0B5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报废金额</w:t>
            </w:r>
            <w:r>
              <w:rPr>
                <w:rFonts w:ascii="宋体" w:hAnsi="宋体" w:eastAsia="宋体" w:cs="宋体"/>
                <w:sz w:val="24"/>
                <w:szCs w:val="24"/>
              </w:rPr>
              <w:t>≤</w:t>
            </w:r>
            <w:r>
              <w:rPr>
                <w:rFonts w:hint="eastAsia" w:ascii="宋体" w:hAnsi="宋体" w:eastAsia="宋体" w:cs="宋体"/>
                <w:sz w:val="24"/>
                <w:szCs w:val="24"/>
                <w:lang w:val="en-US" w:eastAsia="zh-CN"/>
              </w:rPr>
              <w:t>10万元扣1分</w:t>
            </w:r>
          </w:p>
          <w:p w14:paraId="058B0EA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w:t>
            </w:r>
            <w:r>
              <w:rPr>
                <w:rFonts w:ascii="宋体" w:hAnsi="宋体" w:eastAsia="宋体" w:cs="宋体"/>
                <w:sz w:val="24"/>
                <w:szCs w:val="24"/>
              </w:rPr>
              <w:t>万&lt;</w:t>
            </w: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30</w:t>
            </w:r>
            <w:r>
              <w:rPr>
                <w:rFonts w:ascii="宋体" w:hAnsi="宋体" w:eastAsia="宋体" w:cs="宋体"/>
                <w:sz w:val="24"/>
                <w:szCs w:val="24"/>
              </w:rPr>
              <w:t>万</w:t>
            </w:r>
            <w:r>
              <w:rPr>
                <w:rFonts w:hint="eastAsia" w:ascii="宋体" w:hAnsi="宋体" w:eastAsia="宋体" w:cs="宋体"/>
                <w:sz w:val="24"/>
                <w:szCs w:val="24"/>
                <w:lang w:val="en-US" w:eastAsia="zh-CN"/>
              </w:rPr>
              <w:t>扣3分</w:t>
            </w:r>
          </w:p>
          <w:p w14:paraId="775A035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&gt;30万元扣5分</w:t>
            </w:r>
          </w:p>
          <w:p w14:paraId="48FE362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&gt;40万元扣10分</w:t>
            </w:r>
          </w:p>
        </w:tc>
        <w:tc>
          <w:tcPr>
            <w:tcW w:w="5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07240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0B99B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5" w:type="pct"/>
            <w:vMerge w:val="restart"/>
            <w:tcBorders>
              <w:top w:val="single" w:color="000000" w:sz="4" w:space="0"/>
              <w:left w:val="single" w:color="000000" w:sz="4" w:space="0"/>
              <w:right w:val="single" w:color="000000" w:sz="4" w:space="0"/>
            </w:tcBorders>
            <w:shd w:val="clear" w:color="auto" w:fill="auto"/>
            <w:vAlign w:val="center"/>
          </w:tcPr>
          <w:p w14:paraId="3835183F">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1764" w:type="pct"/>
            <w:vMerge w:val="restart"/>
            <w:tcBorders>
              <w:top w:val="single" w:color="000000" w:sz="4" w:space="0"/>
              <w:left w:val="single" w:color="000000" w:sz="4" w:space="0"/>
              <w:right w:val="single" w:color="000000" w:sz="4" w:space="0"/>
            </w:tcBorders>
            <w:shd w:val="clear" w:color="auto" w:fill="auto"/>
            <w:vAlign w:val="center"/>
          </w:tcPr>
          <w:p w14:paraId="1475EEED">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考核由于物资保障部的原因导致复材车间无法开工交付延期</w:t>
            </w: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64A28C">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责任部门为物资保障部，每项0.5分</w:t>
            </w:r>
          </w:p>
        </w:tc>
        <w:tc>
          <w:tcPr>
            <w:tcW w:w="576" w:type="pct"/>
            <w:vMerge w:val="restart"/>
            <w:tcBorders>
              <w:top w:val="single" w:color="000000" w:sz="4" w:space="0"/>
              <w:left w:val="single" w:color="000000" w:sz="4" w:space="0"/>
              <w:right w:val="single" w:color="000000" w:sz="4" w:space="0"/>
            </w:tcBorders>
            <w:shd w:val="clear" w:color="auto" w:fill="auto"/>
            <w:vAlign w:val="center"/>
          </w:tcPr>
          <w:p w14:paraId="4329796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4854D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5" w:type="pct"/>
            <w:vMerge w:val="continue"/>
            <w:tcBorders>
              <w:left w:val="single" w:color="000000" w:sz="4" w:space="0"/>
              <w:bottom w:val="single" w:color="000000" w:sz="4" w:space="0"/>
              <w:right w:val="single" w:color="000000" w:sz="4" w:space="0"/>
            </w:tcBorders>
            <w:shd w:val="clear" w:color="auto" w:fill="auto"/>
            <w:vAlign w:val="center"/>
          </w:tcPr>
          <w:p w14:paraId="22E50B3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764" w:type="pct"/>
            <w:vMerge w:val="continue"/>
            <w:tcBorders>
              <w:left w:val="single" w:color="000000" w:sz="4" w:space="0"/>
              <w:bottom w:val="single" w:color="000000" w:sz="4" w:space="0"/>
              <w:right w:val="single" w:color="000000" w:sz="4" w:space="0"/>
            </w:tcBorders>
            <w:shd w:val="clear" w:color="auto" w:fill="auto"/>
            <w:vAlign w:val="center"/>
          </w:tcPr>
          <w:p w14:paraId="7321974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0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CD0B5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数据来源：复材车间《未完成任务明细表》</w:t>
            </w:r>
          </w:p>
        </w:tc>
        <w:tc>
          <w:tcPr>
            <w:tcW w:w="576" w:type="pct"/>
            <w:vMerge w:val="continue"/>
            <w:tcBorders>
              <w:left w:val="single" w:color="000000" w:sz="4" w:space="0"/>
              <w:bottom w:val="single" w:color="000000" w:sz="4" w:space="0"/>
              <w:right w:val="single" w:color="000000" w:sz="4" w:space="0"/>
            </w:tcBorders>
            <w:shd w:val="clear" w:color="auto" w:fill="auto"/>
            <w:vAlign w:val="center"/>
          </w:tcPr>
          <w:p w14:paraId="30F5B11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bl>
    <w:p w14:paraId="1C30CF15">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52F7194F">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考核总分=生产进度完成率得分+产值完成率得分+行动项完成率得分+产品报废扣分</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2129"/>
        <w:gridCol w:w="2129"/>
        <w:gridCol w:w="2137"/>
      </w:tblGrid>
      <w:tr w14:paraId="5FA5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vAlign w:val="center"/>
          </w:tcPr>
          <w:p w14:paraId="488D3B34">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Times New Roman" w:hAnsi="Times New Roman" w:eastAsia="宋体" w:cs="Times New Roman"/>
                <w:snapToGrid/>
                <w:kern w:val="0"/>
                <w:sz w:val="24"/>
                <w:szCs w:val="24"/>
                <w:lang w:val="en-US" w:eastAsia="zh-CN" w:bidi="ar-SA"/>
              </w:rPr>
              <w:t>物资保障部</w:t>
            </w:r>
            <w:r>
              <w:rPr>
                <w:rFonts w:hint="eastAsia" w:ascii="宋体" w:hAnsi="宋体" w:eastAsia="宋体" w:cs="宋体"/>
                <w:b w:val="0"/>
                <w:bCs w:val="0"/>
                <w:sz w:val="24"/>
                <w:szCs w:val="24"/>
                <w:lang w:eastAsia="zh-CN"/>
              </w:rPr>
              <w:t>考核项目表</w:t>
            </w:r>
          </w:p>
        </w:tc>
      </w:tr>
      <w:tr w14:paraId="1DDF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Pr>
          <w:p w14:paraId="157F1E7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1249" w:type="pct"/>
          </w:tcPr>
          <w:p w14:paraId="732C420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1249" w:type="pct"/>
          </w:tcPr>
          <w:p w14:paraId="704C974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1253" w:type="pct"/>
          </w:tcPr>
          <w:p w14:paraId="788275F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1527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shd w:val="clear" w:color="auto" w:fill="auto"/>
            <w:vAlign w:val="top"/>
          </w:tcPr>
          <w:p w14:paraId="163716E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1249" w:type="pct"/>
            <w:shd w:val="clear" w:color="auto" w:fill="auto"/>
            <w:vAlign w:val="top"/>
          </w:tcPr>
          <w:p w14:paraId="37A8793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25</w:t>
            </w:r>
            <w:r>
              <w:rPr>
                <w:rFonts w:hint="eastAsia" w:ascii="宋体" w:hAnsi="宋体" w:eastAsia="宋体" w:cs="宋体"/>
                <w:b w:val="0"/>
                <w:bCs w:val="0"/>
                <w:snapToGrid/>
                <w:kern w:val="2"/>
                <w:sz w:val="24"/>
                <w:szCs w:val="24"/>
                <w:lang w:eastAsia="zh-CN"/>
              </w:rPr>
              <w:t>%</w:t>
            </w:r>
          </w:p>
        </w:tc>
        <w:tc>
          <w:tcPr>
            <w:tcW w:w="1249" w:type="pct"/>
            <w:shd w:val="clear" w:color="auto" w:fill="auto"/>
            <w:vAlign w:val="top"/>
          </w:tcPr>
          <w:p w14:paraId="7912171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25</w:t>
            </w:r>
          </w:p>
        </w:tc>
        <w:tc>
          <w:tcPr>
            <w:tcW w:w="1253" w:type="pct"/>
            <w:shd w:val="clear" w:color="auto" w:fill="auto"/>
            <w:vAlign w:val="top"/>
          </w:tcPr>
          <w:p w14:paraId="0B15E1A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eastAsia="zh-CN"/>
              </w:rPr>
              <w:t>月</w:t>
            </w:r>
          </w:p>
        </w:tc>
      </w:tr>
      <w:tr w14:paraId="1B9E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shd w:val="clear" w:color="auto" w:fill="auto"/>
            <w:vAlign w:val="top"/>
          </w:tcPr>
          <w:p w14:paraId="59F9BBB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产值完成率</w:t>
            </w:r>
          </w:p>
        </w:tc>
        <w:tc>
          <w:tcPr>
            <w:tcW w:w="1249" w:type="pct"/>
            <w:shd w:val="clear" w:color="auto" w:fill="auto"/>
            <w:vAlign w:val="top"/>
          </w:tcPr>
          <w:p w14:paraId="347B251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25%</w:t>
            </w:r>
          </w:p>
        </w:tc>
        <w:tc>
          <w:tcPr>
            <w:tcW w:w="1249" w:type="pct"/>
            <w:shd w:val="clear" w:color="auto" w:fill="auto"/>
            <w:vAlign w:val="top"/>
          </w:tcPr>
          <w:p w14:paraId="7A6150D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25</w:t>
            </w:r>
          </w:p>
        </w:tc>
        <w:tc>
          <w:tcPr>
            <w:tcW w:w="1253" w:type="pct"/>
            <w:shd w:val="clear" w:color="auto" w:fill="auto"/>
            <w:vAlign w:val="top"/>
          </w:tcPr>
          <w:p w14:paraId="21872F7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月</w:t>
            </w:r>
          </w:p>
        </w:tc>
      </w:tr>
      <w:tr w14:paraId="3AD6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Pr>
          <w:p w14:paraId="5E02D2C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行动项完成率</w:t>
            </w:r>
          </w:p>
        </w:tc>
        <w:tc>
          <w:tcPr>
            <w:tcW w:w="1249" w:type="pct"/>
          </w:tcPr>
          <w:p w14:paraId="6571D96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50</w:t>
            </w:r>
            <w:r>
              <w:rPr>
                <w:rFonts w:hint="eastAsia" w:ascii="宋体" w:hAnsi="宋体" w:eastAsia="宋体" w:cs="宋体"/>
                <w:b w:val="0"/>
                <w:bCs w:val="0"/>
                <w:snapToGrid/>
                <w:kern w:val="2"/>
                <w:sz w:val="24"/>
                <w:szCs w:val="24"/>
                <w:lang w:eastAsia="zh-CN"/>
              </w:rPr>
              <w:t>%</w:t>
            </w:r>
          </w:p>
        </w:tc>
        <w:tc>
          <w:tcPr>
            <w:tcW w:w="1249" w:type="pct"/>
          </w:tcPr>
          <w:p w14:paraId="1662F53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50</w:t>
            </w:r>
          </w:p>
        </w:tc>
        <w:tc>
          <w:tcPr>
            <w:tcW w:w="1253" w:type="pct"/>
          </w:tcPr>
          <w:p w14:paraId="39124DB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1D11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shd w:val="clear" w:color="auto" w:fill="auto"/>
            <w:vAlign w:val="center"/>
          </w:tcPr>
          <w:p w14:paraId="4717925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产品报废管控</w:t>
            </w:r>
          </w:p>
        </w:tc>
        <w:tc>
          <w:tcPr>
            <w:tcW w:w="1249" w:type="pct"/>
            <w:shd w:val="clear" w:color="auto" w:fill="auto"/>
            <w:vAlign w:val="center"/>
          </w:tcPr>
          <w:p w14:paraId="342EBAB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1249" w:type="pct"/>
            <w:shd w:val="clear" w:color="auto" w:fill="auto"/>
            <w:vAlign w:val="center"/>
          </w:tcPr>
          <w:p w14:paraId="4D9CAAC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1253" w:type="pct"/>
            <w:shd w:val="clear" w:color="auto" w:fill="auto"/>
            <w:vAlign w:val="center"/>
          </w:tcPr>
          <w:p w14:paraId="00F161A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r w14:paraId="4C6F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shd w:val="clear" w:color="auto" w:fill="auto"/>
            <w:vAlign w:val="center"/>
          </w:tcPr>
          <w:p w14:paraId="72C9502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bCs/>
                <w:snapToGrid/>
                <w:kern w:val="2"/>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1249" w:type="pct"/>
            <w:shd w:val="clear" w:color="auto" w:fill="auto"/>
            <w:vAlign w:val="center"/>
          </w:tcPr>
          <w:p w14:paraId="227A3BC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0</w:t>
            </w:r>
          </w:p>
        </w:tc>
        <w:tc>
          <w:tcPr>
            <w:tcW w:w="1249" w:type="pct"/>
            <w:shd w:val="clear" w:color="auto" w:fill="auto"/>
            <w:vAlign w:val="center"/>
          </w:tcPr>
          <w:p w14:paraId="1E9183A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10</w:t>
            </w:r>
          </w:p>
        </w:tc>
        <w:tc>
          <w:tcPr>
            <w:tcW w:w="1253" w:type="pct"/>
            <w:shd w:val="clear" w:color="auto" w:fill="auto"/>
            <w:vAlign w:val="center"/>
          </w:tcPr>
          <w:p w14:paraId="0194CB8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kern w:val="2"/>
                <w:sz w:val="24"/>
                <w:szCs w:val="24"/>
                <w:lang w:val="en-US" w:eastAsia="zh-CN"/>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26F8200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5.1.5质量管理部考核办法</w:t>
      </w:r>
    </w:p>
    <w:p w14:paraId="25F688AB">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5CBBB2A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分值为100分。考核总分由生产进度完成率得分、产值得分、部门相关行动项完成率及产品报废扣分，乘以权重后累计求和得出。</w:t>
      </w:r>
    </w:p>
    <w:p w14:paraId="6B53B647">
      <w:pPr>
        <w:keepNext w:val="0"/>
        <w:keepLines w:val="0"/>
        <w:pageBreakBefore w:val="0"/>
        <w:widowControl/>
        <w:numPr>
          <w:ilvl w:val="0"/>
          <w:numId w:val="0"/>
        </w:numPr>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color w:val="000000"/>
          <w:kern w:val="0"/>
          <w:sz w:val="28"/>
          <w:szCs w:val="22"/>
          <w:lang w:val="en-US" w:eastAsia="zh-CN" w:bidi="ar-SA"/>
        </w:rPr>
        <w:t>2）</w:t>
      </w:r>
      <w:r>
        <w:rPr>
          <w:rFonts w:hint="eastAsia" w:ascii="Times New Roman" w:hAnsi="Times New Roman" w:eastAsia="宋体" w:cs="Times New Roman"/>
          <w:snapToGrid/>
          <w:kern w:val="0"/>
          <w:sz w:val="28"/>
          <w:szCs w:val="22"/>
          <w:lang w:val="en-US" w:eastAsia="zh-CN" w:bidi="ar-SA"/>
        </w:rPr>
        <w:t>考核指标及权重</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8"/>
        <w:gridCol w:w="2199"/>
        <w:gridCol w:w="4360"/>
        <w:gridCol w:w="982"/>
      </w:tblGrid>
      <w:tr w14:paraId="0997D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286D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1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EB54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2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277A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9BB2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权重</w:t>
            </w:r>
          </w:p>
        </w:tc>
      </w:tr>
      <w:tr w14:paraId="731D4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7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1931AB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129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B5F079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BF5D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57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F74C37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46855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7" w:hRule="atLeast"/>
        </w:trPr>
        <w:tc>
          <w:tcPr>
            <w:tcW w:w="57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60A47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29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8008E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7989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57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C8D74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30BD3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B7F29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129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AEBAE6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99771">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576" w:type="pct"/>
            <w:vMerge w:val="restart"/>
            <w:tcBorders>
              <w:top w:val="single" w:color="000000" w:sz="4" w:space="0"/>
              <w:left w:val="single" w:color="000000" w:sz="4" w:space="0"/>
              <w:right w:val="single" w:color="000000" w:sz="4" w:space="0"/>
            </w:tcBorders>
            <w:shd w:val="clear" w:color="auto" w:fill="auto"/>
            <w:vAlign w:val="center"/>
          </w:tcPr>
          <w:p w14:paraId="0B1BDB8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75D40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36132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129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A6CB9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85CC5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16D52F2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2648ED9C">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576" w:type="pct"/>
            <w:vMerge w:val="continue"/>
            <w:tcBorders>
              <w:left w:val="single" w:color="000000" w:sz="4" w:space="0"/>
              <w:bottom w:val="single" w:color="000000" w:sz="4" w:space="0"/>
              <w:right w:val="single" w:color="000000" w:sz="4" w:space="0"/>
            </w:tcBorders>
            <w:shd w:val="clear" w:color="auto" w:fill="auto"/>
            <w:vAlign w:val="center"/>
          </w:tcPr>
          <w:p w14:paraId="13A8151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76C52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7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943EF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129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FDCD81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98D91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57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351DA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占考核分值的60%</w:t>
            </w:r>
          </w:p>
        </w:tc>
      </w:tr>
      <w:tr w14:paraId="35167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3" w:hRule="atLeast"/>
        </w:trPr>
        <w:tc>
          <w:tcPr>
            <w:tcW w:w="57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0B4E3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29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B2D2B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5B939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57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3685F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2FA18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C063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产品报废管控</w:t>
            </w:r>
          </w:p>
        </w:tc>
        <w:tc>
          <w:tcPr>
            <w:tcW w:w="1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0AA2D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考核质量管理部及项目管理部对产品报废的事前预防、过程控制与责任落实情况，确保报废率与报废损失持续下降。</w:t>
            </w: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BAA2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产品发生报废后，依据报废金额对其进行扣分处理。</w:t>
            </w:r>
          </w:p>
          <w:p w14:paraId="1F0A9FE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i w:val="0"/>
                <w:iCs w:val="0"/>
                <w:snapToGrid w:val="0"/>
                <w:color w:val="000000"/>
                <w:kern w:val="0"/>
                <w:sz w:val="24"/>
                <w:szCs w:val="24"/>
                <w:u w:val="none"/>
                <w:lang w:val="en-US" w:eastAsia="zh-CN" w:bidi="ar"/>
              </w:rPr>
              <w:t>报废金额</w:t>
            </w:r>
            <w:r>
              <w:rPr>
                <w:rFonts w:ascii="宋体" w:hAnsi="宋体" w:eastAsia="宋体" w:cs="宋体"/>
                <w:sz w:val="24"/>
                <w:szCs w:val="24"/>
              </w:rPr>
              <w:t>≤</w:t>
            </w:r>
            <w:r>
              <w:rPr>
                <w:rFonts w:hint="eastAsia" w:ascii="宋体" w:hAnsi="宋体" w:eastAsia="宋体" w:cs="宋体"/>
                <w:sz w:val="24"/>
                <w:szCs w:val="24"/>
                <w:lang w:val="en-US" w:eastAsia="zh-CN"/>
              </w:rPr>
              <w:t>10万元扣1分</w:t>
            </w:r>
          </w:p>
          <w:p w14:paraId="70CB599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w:t>
            </w:r>
            <w:r>
              <w:rPr>
                <w:rFonts w:ascii="宋体" w:hAnsi="宋体" w:eastAsia="宋体" w:cs="宋体"/>
                <w:sz w:val="24"/>
                <w:szCs w:val="24"/>
              </w:rPr>
              <w:t>万&lt;</w:t>
            </w: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30</w:t>
            </w:r>
            <w:r>
              <w:rPr>
                <w:rFonts w:ascii="宋体" w:hAnsi="宋体" w:eastAsia="宋体" w:cs="宋体"/>
                <w:sz w:val="24"/>
                <w:szCs w:val="24"/>
              </w:rPr>
              <w:t>万</w:t>
            </w:r>
            <w:r>
              <w:rPr>
                <w:rFonts w:hint="eastAsia" w:ascii="宋体" w:hAnsi="宋体" w:eastAsia="宋体" w:cs="宋体"/>
                <w:sz w:val="24"/>
                <w:szCs w:val="24"/>
                <w:lang w:val="en-US" w:eastAsia="zh-CN"/>
              </w:rPr>
              <w:t>扣3分</w:t>
            </w:r>
          </w:p>
          <w:p w14:paraId="7A058EA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&gt;30万元扣5分</w:t>
            </w:r>
          </w:p>
          <w:p w14:paraId="0BDCCD5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报废</w:t>
            </w:r>
            <w:r>
              <w:rPr>
                <w:rFonts w:ascii="宋体" w:hAnsi="宋体" w:eastAsia="宋体" w:cs="宋体"/>
                <w:sz w:val="24"/>
                <w:szCs w:val="24"/>
              </w:rPr>
              <w:t>金额</w:t>
            </w:r>
            <w:r>
              <w:rPr>
                <w:rFonts w:hint="eastAsia" w:ascii="宋体" w:hAnsi="宋体" w:eastAsia="宋体" w:cs="宋体"/>
                <w:sz w:val="24"/>
                <w:szCs w:val="24"/>
                <w:lang w:val="en-US" w:eastAsia="zh-CN"/>
              </w:rPr>
              <w:t>&gt;40万元扣10分</w:t>
            </w:r>
          </w:p>
        </w:tc>
        <w:tc>
          <w:tcPr>
            <w:tcW w:w="5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1231F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57C58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574" w:type="pct"/>
            <w:vMerge w:val="restart"/>
            <w:tcBorders>
              <w:top w:val="single" w:color="000000" w:sz="4" w:space="0"/>
              <w:left w:val="single" w:color="000000" w:sz="4" w:space="0"/>
              <w:right w:val="single" w:color="000000" w:sz="4" w:space="0"/>
            </w:tcBorders>
            <w:shd w:val="clear" w:color="auto" w:fill="auto"/>
            <w:vAlign w:val="center"/>
          </w:tcPr>
          <w:p w14:paraId="6238975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1290" w:type="pct"/>
            <w:vMerge w:val="restart"/>
            <w:tcBorders>
              <w:top w:val="single" w:color="000000" w:sz="4" w:space="0"/>
              <w:left w:val="single" w:color="000000" w:sz="4" w:space="0"/>
              <w:right w:val="single" w:color="000000" w:sz="4" w:space="0"/>
            </w:tcBorders>
            <w:shd w:val="clear" w:color="auto" w:fill="auto"/>
            <w:vAlign w:val="center"/>
          </w:tcPr>
          <w:p w14:paraId="76692A5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考核由于质量管理部的原因导致复材车间无法开工交付延期</w:t>
            </w: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9602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责任部门为质量管理部，每项0.5分</w:t>
            </w:r>
          </w:p>
        </w:tc>
        <w:tc>
          <w:tcPr>
            <w:tcW w:w="576" w:type="pct"/>
            <w:vMerge w:val="restart"/>
            <w:tcBorders>
              <w:top w:val="single" w:color="000000" w:sz="4" w:space="0"/>
              <w:left w:val="single" w:color="000000" w:sz="4" w:space="0"/>
              <w:right w:val="single" w:color="000000" w:sz="4" w:space="0"/>
            </w:tcBorders>
            <w:shd w:val="clear" w:color="auto" w:fill="auto"/>
            <w:vAlign w:val="center"/>
          </w:tcPr>
          <w:p w14:paraId="29BF994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52081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574" w:type="pct"/>
            <w:vMerge w:val="continue"/>
            <w:tcBorders>
              <w:left w:val="single" w:color="000000" w:sz="4" w:space="0"/>
              <w:bottom w:val="single" w:color="000000" w:sz="4" w:space="0"/>
              <w:right w:val="single" w:color="000000" w:sz="4" w:space="0"/>
            </w:tcBorders>
            <w:shd w:val="clear" w:color="auto" w:fill="auto"/>
            <w:vAlign w:val="center"/>
          </w:tcPr>
          <w:p w14:paraId="60E934B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1290" w:type="pct"/>
            <w:vMerge w:val="continue"/>
            <w:tcBorders>
              <w:left w:val="single" w:color="000000" w:sz="4" w:space="0"/>
              <w:bottom w:val="single" w:color="000000" w:sz="4" w:space="0"/>
              <w:right w:val="single" w:color="000000" w:sz="4" w:space="0"/>
            </w:tcBorders>
            <w:shd w:val="clear" w:color="auto" w:fill="auto"/>
            <w:vAlign w:val="center"/>
          </w:tcPr>
          <w:p w14:paraId="6984039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c>
          <w:tcPr>
            <w:tcW w:w="2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79F64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数据来源：复材车间《未完成任务明细表》</w:t>
            </w:r>
          </w:p>
        </w:tc>
        <w:tc>
          <w:tcPr>
            <w:tcW w:w="576" w:type="pct"/>
            <w:vMerge w:val="continue"/>
            <w:tcBorders>
              <w:left w:val="single" w:color="000000" w:sz="4" w:space="0"/>
              <w:bottom w:val="single" w:color="000000" w:sz="4" w:space="0"/>
              <w:right w:val="single" w:color="000000" w:sz="4" w:space="0"/>
            </w:tcBorders>
            <w:shd w:val="clear" w:color="auto" w:fill="auto"/>
            <w:vAlign w:val="center"/>
          </w:tcPr>
          <w:p w14:paraId="016356A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bl>
    <w:p w14:paraId="30FD396D">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2809B9BD">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考核总分=生产进度完成率得分+产值完成率得分+行动项完成率得分+产品报废扣分</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2129"/>
        <w:gridCol w:w="2129"/>
        <w:gridCol w:w="2139"/>
      </w:tblGrid>
      <w:tr w14:paraId="25E6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gridSpan w:val="4"/>
            <w:vAlign w:val="center"/>
          </w:tcPr>
          <w:p w14:paraId="38E93AAD">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Times New Roman" w:hAnsi="Times New Roman" w:eastAsia="宋体" w:cs="Times New Roman"/>
                <w:snapToGrid/>
                <w:kern w:val="0"/>
                <w:sz w:val="24"/>
                <w:szCs w:val="24"/>
                <w:lang w:val="en-US" w:eastAsia="zh-CN" w:bidi="ar-SA"/>
              </w:rPr>
              <w:t>质量管理部</w:t>
            </w:r>
            <w:r>
              <w:rPr>
                <w:rFonts w:hint="eastAsia" w:ascii="宋体" w:hAnsi="宋体" w:eastAsia="宋体" w:cs="宋体"/>
                <w:b w:val="0"/>
                <w:bCs w:val="0"/>
                <w:sz w:val="24"/>
                <w:szCs w:val="24"/>
                <w:lang w:eastAsia="zh-CN"/>
              </w:rPr>
              <w:t>考核项目表</w:t>
            </w:r>
          </w:p>
        </w:tc>
      </w:tr>
      <w:tr w14:paraId="17B9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Align w:val="center"/>
          </w:tcPr>
          <w:p w14:paraId="065F251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1249" w:type="pct"/>
            <w:vAlign w:val="center"/>
          </w:tcPr>
          <w:p w14:paraId="7DBEF72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1249" w:type="pct"/>
            <w:vAlign w:val="center"/>
          </w:tcPr>
          <w:p w14:paraId="42AF5AD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1253" w:type="pct"/>
            <w:vAlign w:val="center"/>
          </w:tcPr>
          <w:p w14:paraId="6973622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086A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shd w:val="clear" w:color="auto" w:fill="auto"/>
            <w:vAlign w:val="center"/>
          </w:tcPr>
          <w:p w14:paraId="4A44942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1249" w:type="pct"/>
            <w:shd w:val="clear" w:color="auto" w:fill="auto"/>
            <w:vAlign w:val="center"/>
          </w:tcPr>
          <w:p w14:paraId="4FACA16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r>
              <w:rPr>
                <w:rFonts w:hint="eastAsia" w:ascii="宋体" w:hAnsi="宋体" w:eastAsia="宋体" w:cs="宋体"/>
                <w:b w:val="0"/>
                <w:bCs w:val="0"/>
                <w:snapToGrid/>
                <w:kern w:val="2"/>
                <w:sz w:val="24"/>
                <w:szCs w:val="24"/>
                <w:lang w:eastAsia="zh-CN"/>
              </w:rPr>
              <w:t>%</w:t>
            </w:r>
          </w:p>
        </w:tc>
        <w:tc>
          <w:tcPr>
            <w:tcW w:w="1249" w:type="pct"/>
            <w:shd w:val="clear" w:color="auto" w:fill="auto"/>
            <w:vAlign w:val="center"/>
          </w:tcPr>
          <w:p w14:paraId="5646DB5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p>
        </w:tc>
        <w:tc>
          <w:tcPr>
            <w:tcW w:w="1253" w:type="pct"/>
            <w:shd w:val="clear" w:color="auto" w:fill="auto"/>
            <w:vAlign w:val="center"/>
          </w:tcPr>
          <w:p w14:paraId="2507C5E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eastAsia="zh-CN"/>
              </w:rPr>
              <w:t>月</w:t>
            </w:r>
          </w:p>
        </w:tc>
      </w:tr>
      <w:tr w14:paraId="14D5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shd w:val="clear" w:color="auto" w:fill="auto"/>
            <w:vAlign w:val="center"/>
          </w:tcPr>
          <w:p w14:paraId="084D926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产值完成率</w:t>
            </w:r>
          </w:p>
        </w:tc>
        <w:tc>
          <w:tcPr>
            <w:tcW w:w="1249" w:type="pct"/>
            <w:shd w:val="clear" w:color="auto" w:fill="auto"/>
            <w:vAlign w:val="center"/>
          </w:tcPr>
          <w:p w14:paraId="3468403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p>
        </w:tc>
        <w:tc>
          <w:tcPr>
            <w:tcW w:w="1249" w:type="pct"/>
            <w:shd w:val="clear" w:color="auto" w:fill="auto"/>
            <w:vAlign w:val="center"/>
          </w:tcPr>
          <w:p w14:paraId="60F88B9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p>
        </w:tc>
        <w:tc>
          <w:tcPr>
            <w:tcW w:w="1253" w:type="pct"/>
            <w:shd w:val="clear" w:color="auto" w:fill="auto"/>
            <w:vAlign w:val="center"/>
          </w:tcPr>
          <w:p w14:paraId="3825D6F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月</w:t>
            </w:r>
          </w:p>
        </w:tc>
      </w:tr>
      <w:tr w14:paraId="3F54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Align w:val="center"/>
          </w:tcPr>
          <w:p w14:paraId="168A874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行动项完成率</w:t>
            </w:r>
          </w:p>
        </w:tc>
        <w:tc>
          <w:tcPr>
            <w:tcW w:w="1249" w:type="pct"/>
            <w:vAlign w:val="center"/>
          </w:tcPr>
          <w:p w14:paraId="7CBB675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6</w:t>
            </w:r>
            <w:r>
              <w:rPr>
                <w:rFonts w:hint="eastAsia" w:ascii="宋体" w:hAnsi="宋体" w:eastAsia="宋体" w:cs="宋体"/>
                <w:b w:val="0"/>
                <w:bCs w:val="0"/>
                <w:snapToGrid/>
                <w:kern w:val="2"/>
                <w:sz w:val="24"/>
                <w:szCs w:val="24"/>
                <w:lang w:eastAsia="zh-CN"/>
              </w:rPr>
              <w:t>0%</w:t>
            </w:r>
          </w:p>
        </w:tc>
        <w:tc>
          <w:tcPr>
            <w:tcW w:w="1249" w:type="pct"/>
            <w:vAlign w:val="center"/>
          </w:tcPr>
          <w:p w14:paraId="1888994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60</w:t>
            </w:r>
          </w:p>
        </w:tc>
        <w:tc>
          <w:tcPr>
            <w:tcW w:w="1253" w:type="pct"/>
            <w:vAlign w:val="center"/>
          </w:tcPr>
          <w:p w14:paraId="2D48FC1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7300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shd w:val="clear" w:color="auto" w:fill="auto"/>
            <w:vAlign w:val="center"/>
          </w:tcPr>
          <w:p w14:paraId="2416367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产品报废管控</w:t>
            </w:r>
          </w:p>
        </w:tc>
        <w:tc>
          <w:tcPr>
            <w:tcW w:w="1249" w:type="pct"/>
            <w:shd w:val="clear" w:color="auto" w:fill="auto"/>
            <w:vAlign w:val="center"/>
          </w:tcPr>
          <w:p w14:paraId="1F30FE7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1249" w:type="pct"/>
            <w:shd w:val="clear" w:color="auto" w:fill="auto"/>
            <w:vAlign w:val="center"/>
          </w:tcPr>
          <w:p w14:paraId="4624B40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1253" w:type="pct"/>
            <w:shd w:val="clear" w:color="auto" w:fill="auto"/>
            <w:vAlign w:val="center"/>
          </w:tcPr>
          <w:p w14:paraId="7E857E5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r w14:paraId="6BE1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shd w:val="clear" w:color="auto" w:fill="auto"/>
            <w:vAlign w:val="center"/>
          </w:tcPr>
          <w:p w14:paraId="3EE2D5F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bCs/>
                <w:snapToGrid/>
                <w:color w:val="000000"/>
                <w:kern w:val="2"/>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1249" w:type="pct"/>
            <w:shd w:val="clear" w:color="auto" w:fill="auto"/>
            <w:vAlign w:val="center"/>
          </w:tcPr>
          <w:p w14:paraId="1F7C699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1249" w:type="pct"/>
            <w:shd w:val="clear" w:color="auto" w:fill="auto"/>
            <w:vAlign w:val="center"/>
          </w:tcPr>
          <w:p w14:paraId="57107B4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1253" w:type="pct"/>
            <w:shd w:val="clear" w:color="auto" w:fill="auto"/>
            <w:vAlign w:val="center"/>
          </w:tcPr>
          <w:p w14:paraId="0A63DC0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1B67C409">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5.1.6运维安环部考核办法</w:t>
      </w:r>
    </w:p>
    <w:p w14:paraId="179A83FC">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502BC4BB">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分值为100分。考核总分由生产进度完成率得分、产值得分及部门相关行动项完成率，乘以权重后累计求和得出。</w:t>
      </w:r>
    </w:p>
    <w:p w14:paraId="7AC20E4D">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2）考核指标及权重</w:t>
      </w:r>
    </w:p>
    <w:tbl>
      <w:tblPr>
        <w:tblStyle w:val="6"/>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2287"/>
        <w:gridCol w:w="4472"/>
        <w:gridCol w:w="741"/>
      </w:tblGrid>
      <w:tr w14:paraId="7EC05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FBC5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22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30E2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CFAA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7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AB2F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权重</w:t>
            </w:r>
          </w:p>
        </w:tc>
      </w:tr>
      <w:tr w14:paraId="074A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763AD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22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71E07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76AD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74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78DB5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17B30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020DF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2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FE283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8B6B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74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AC5BD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2CF77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2"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212CED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22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091D0A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97BE91">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74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15CAF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3C2BC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9"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C22FE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2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37330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CCD0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32E531E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5184BE48">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74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32592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7AB13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3F096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22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4A76C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23BF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74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BA8B1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占考核分值的60%</w:t>
            </w:r>
          </w:p>
        </w:tc>
      </w:tr>
      <w:tr w14:paraId="74C4E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EE82E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2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CFE43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4B302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74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F4814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25176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3" w:hRule="atLeast"/>
          <w:jc w:val="center"/>
        </w:trPr>
        <w:tc>
          <w:tcPr>
            <w:tcW w:w="1140" w:type="dxa"/>
            <w:vMerge w:val="restart"/>
            <w:tcBorders>
              <w:top w:val="single" w:color="000000" w:sz="4" w:space="0"/>
              <w:left w:val="single" w:color="000000" w:sz="4" w:space="0"/>
              <w:right w:val="single" w:color="000000" w:sz="4" w:space="0"/>
            </w:tcBorders>
            <w:shd w:val="clear" w:color="auto" w:fill="auto"/>
            <w:vAlign w:val="center"/>
          </w:tcPr>
          <w:p w14:paraId="5CCDDDA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2287" w:type="dxa"/>
            <w:vMerge w:val="restart"/>
            <w:tcBorders>
              <w:top w:val="single" w:color="000000" w:sz="4" w:space="0"/>
              <w:left w:val="single" w:color="000000" w:sz="4" w:space="0"/>
              <w:right w:val="single" w:color="000000" w:sz="4" w:space="0"/>
            </w:tcBorders>
            <w:shd w:val="clear" w:color="auto" w:fill="auto"/>
            <w:vAlign w:val="center"/>
          </w:tcPr>
          <w:p w14:paraId="372FC1F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考核由于运维安环部的原因导致复材车间无法开工交付延期</w:t>
            </w: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6EBE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责任部门为运维安环部，每项0.5分</w:t>
            </w:r>
          </w:p>
        </w:tc>
        <w:tc>
          <w:tcPr>
            <w:tcW w:w="741" w:type="dxa"/>
            <w:vMerge w:val="restart"/>
            <w:tcBorders>
              <w:top w:val="single" w:color="000000" w:sz="4" w:space="0"/>
              <w:left w:val="single" w:color="000000" w:sz="4" w:space="0"/>
              <w:right w:val="single" w:color="000000" w:sz="4" w:space="0"/>
            </w:tcBorders>
            <w:shd w:val="clear" w:color="auto" w:fill="auto"/>
            <w:vAlign w:val="center"/>
          </w:tcPr>
          <w:p w14:paraId="4422659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31346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140" w:type="dxa"/>
            <w:vMerge w:val="continue"/>
            <w:tcBorders>
              <w:left w:val="single" w:color="000000" w:sz="4" w:space="0"/>
              <w:bottom w:val="single" w:color="000000" w:sz="4" w:space="0"/>
              <w:right w:val="single" w:color="000000" w:sz="4" w:space="0"/>
            </w:tcBorders>
            <w:shd w:val="clear" w:color="auto" w:fill="auto"/>
            <w:vAlign w:val="center"/>
          </w:tcPr>
          <w:p w14:paraId="7CACBDE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287" w:type="dxa"/>
            <w:vMerge w:val="continue"/>
            <w:tcBorders>
              <w:left w:val="single" w:color="000000" w:sz="4" w:space="0"/>
              <w:bottom w:val="single" w:color="000000" w:sz="4" w:space="0"/>
              <w:right w:val="single" w:color="000000" w:sz="4" w:space="0"/>
            </w:tcBorders>
            <w:shd w:val="clear" w:color="auto" w:fill="auto"/>
            <w:vAlign w:val="center"/>
          </w:tcPr>
          <w:p w14:paraId="5F0D315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4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56FC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数据来源：复材车间《未完成任务明细表》</w:t>
            </w:r>
          </w:p>
        </w:tc>
        <w:tc>
          <w:tcPr>
            <w:tcW w:w="741" w:type="dxa"/>
            <w:vMerge w:val="continue"/>
            <w:tcBorders>
              <w:left w:val="single" w:color="000000" w:sz="4" w:space="0"/>
              <w:bottom w:val="single" w:color="000000" w:sz="4" w:space="0"/>
              <w:right w:val="single" w:color="000000" w:sz="4" w:space="0"/>
            </w:tcBorders>
            <w:shd w:val="clear" w:color="auto" w:fill="auto"/>
            <w:vAlign w:val="center"/>
          </w:tcPr>
          <w:p w14:paraId="631E7B7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bl>
    <w:p w14:paraId="3EB58C60">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20969809">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7A4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vAlign w:val="center"/>
          </w:tcPr>
          <w:p w14:paraId="5F3B8E82">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运维安环部</w:t>
            </w:r>
            <w:r>
              <w:rPr>
                <w:rFonts w:hint="eastAsia" w:ascii="宋体" w:hAnsi="宋体" w:eastAsia="宋体" w:cs="宋体"/>
                <w:b w:val="0"/>
                <w:bCs w:val="0"/>
                <w:sz w:val="24"/>
                <w:szCs w:val="24"/>
                <w:lang w:eastAsia="zh-CN"/>
              </w:rPr>
              <w:t>考核项目表</w:t>
            </w:r>
          </w:p>
        </w:tc>
      </w:tr>
      <w:tr w14:paraId="110E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7A713E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2074" w:type="dxa"/>
            <w:vAlign w:val="center"/>
          </w:tcPr>
          <w:p w14:paraId="0247712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2074" w:type="dxa"/>
            <w:vAlign w:val="center"/>
          </w:tcPr>
          <w:p w14:paraId="64A404C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2074" w:type="dxa"/>
            <w:vAlign w:val="center"/>
          </w:tcPr>
          <w:p w14:paraId="06425DB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2F32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074" w:type="dxa"/>
            <w:shd w:val="clear" w:color="auto" w:fill="auto"/>
            <w:vAlign w:val="center"/>
          </w:tcPr>
          <w:p w14:paraId="5C598B0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2074" w:type="dxa"/>
            <w:shd w:val="clear" w:color="auto" w:fill="auto"/>
            <w:vAlign w:val="center"/>
          </w:tcPr>
          <w:p w14:paraId="23EC708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r>
              <w:rPr>
                <w:rFonts w:hint="eastAsia" w:ascii="宋体" w:hAnsi="宋体" w:eastAsia="宋体" w:cs="宋体"/>
                <w:b w:val="0"/>
                <w:bCs w:val="0"/>
                <w:snapToGrid/>
                <w:kern w:val="2"/>
                <w:sz w:val="24"/>
                <w:szCs w:val="24"/>
                <w:lang w:eastAsia="zh-CN"/>
              </w:rPr>
              <w:t>%</w:t>
            </w:r>
          </w:p>
        </w:tc>
        <w:tc>
          <w:tcPr>
            <w:tcW w:w="2074" w:type="dxa"/>
            <w:shd w:val="clear" w:color="auto" w:fill="auto"/>
            <w:vAlign w:val="center"/>
          </w:tcPr>
          <w:p w14:paraId="260D45F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05A6284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eastAsia="zh-CN"/>
              </w:rPr>
              <w:t>月</w:t>
            </w:r>
          </w:p>
        </w:tc>
      </w:tr>
      <w:tr w14:paraId="2FA7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74" w:type="dxa"/>
            <w:shd w:val="clear" w:color="auto" w:fill="auto"/>
            <w:vAlign w:val="center"/>
          </w:tcPr>
          <w:p w14:paraId="62AE690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产值完成率</w:t>
            </w:r>
          </w:p>
        </w:tc>
        <w:tc>
          <w:tcPr>
            <w:tcW w:w="2074" w:type="dxa"/>
            <w:shd w:val="clear" w:color="auto" w:fill="auto"/>
            <w:vAlign w:val="center"/>
          </w:tcPr>
          <w:p w14:paraId="1FBBCE6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2A51C46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59ACFF9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月</w:t>
            </w:r>
          </w:p>
        </w:tc>
      </w:tr>
      <w:tr w14:paraId="117E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97EA1C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行动项完成率</w:t>
            </w:r>
          </w:p>
        </w:tc>
        <w:tc>
          <w:tcPr>
            <w:tcW w:w="2074" w:type="dxa"/>
            <w:vAlign w:val="center"/>
          </w:tcPr>
          <w:p w14:paraId="22B5A0A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6</w:t>
            </w:r>
            <w:r>
              <w:rPr>
                <w:rFonts w:hint="eastAsia" w:ascii="宋体" w:hAnsi="宋体" w:eastAsia="宋体" w:cs="宋体"/>
                <w:b w:val="0"/>
                <w:bCs w:val="0"/>
                <w:snapToGrid/>
                <w:kern w:val="2"/>
                <w:sz w:val="24"/>
                <w:szCs w:val="24"/>
                <w:lang w:eastAsia="zh-CN"/>
              </w:rPr>
              <w:t>0%</w:t>
            </w:r>
          </w:p>
        </w:tc>
        <w:tc>
          <w:tcPr>
            <w:tcW w:w="2074" w:type="dxa"/>
            <w:vAlign w:val="center"/>
          </w:tcPr>
          <w:p w14:paraId="4AF8EFF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6</w:t>
            </w:r>
            <w:r>
              <w:rPr>
                <w:rFonts w:hint="eastAsia" w:ascii="宋体" w:hAnsi="宋体" w:eastAsia="宋体" w:cs="宋体"/>
                <w:b w:val="0"/>
                <w:bCs w:val="0"/>
                <w:snapToGrid/>
                <w:kern w:val="2"/>
                <w:sz w:val="24"/>
                <w:szCs w:val="24"/>
                <w:lang w:eastAsia="zh-CN"/>
              </w:rPr>
              <w:t>0</w:t>
            </w:r>
          </w:p>
        </w:tc>
        <w:tc>
          <w:tcPr>
            <w:tcW w:w="2074" w:type="dxa"/>
            <w:vAlign w:val="center"/>
          </w:tcPr>
          <w:p w14:paraId="25C9BD1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5408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vAlign w:val="center"/>
          </w:tcPr>
          <w:p w14:paraId="3901C3E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bCs/>
                <w:snapToGrid/>
                <w:color w:val="000000"/>
                <w:kern w:val="2"/>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2074" w:type="dxa"/>
            <w:shd w:val="clear" w:color="auto" w:fill="auto"/>
            <w:vAlign w:val="center"/>
          </w:tcPr>
          <w:p w14:paraId="12D6A56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2074" w:type="dxa"/>
            <w:shd w:val="clear" w:color="auto" w:fill="auto"/>
            <w:vAlign w:val="center"/>
          </w:tcPr>
          <w:p w14:paraId="18106F3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2074" w:type="dxa"/>
            <w:shd w:val="clear" w:color="auto" w:fill="auto"/>
            <w:vAlign w:val="center"/>
          </w:tcPr>
          <w:p w14:paraId="760CB14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5103682B">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5.1.7经营发展部考核办法</w:t>
      </w:r>
    </w:p>
    <w:p w14:paraId="3099D36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2A694AC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分值为100分。考核总分由生产进度完成率得分、产值得分及部门相关行动项完成率，乘以权重后累计求和得出。</w:t>
      </w:r>
    </w:p>
    <w:p w14:paraId="19180401">
      <w:pPr>
        <w:keepNext w:val="0"/>
        <w:keepLines w:val="0"/>
        <w:pageBreakBefore w:val="0"/>
        <w:widowControl/>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2）考核指标及权重</w:t>
      </w:r>
    </w:p>
    <w:tbl>
      <w:tblPr>
        <w:tblStyle w:val="6"/>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2450"/>
        <w:gridCol w:w="4268"/>
        <w:gridCol w:w="782"/>
      </w:tblGrid>
      <w:tr w14:paraId="40A76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4313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2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F1DE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633E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7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BCD9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权重</w:t>
            </w:r>
          </w:p>
        </w:tc>
      </w:tr>
      <w:tr w14:paraId="6594E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1E790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2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212375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11F3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7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CD1EB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08A3A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9"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25FFC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84047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E7F7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7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CDEC4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6BED5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D4002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2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1A40B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9D7F6">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7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7307D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占考核分值的20%</w:t>
            </w:r>
          </w:p>
        </w:tc>
      </w:tr>
      <w:tr w14:paraId="02786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9"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B8C3B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12D93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4535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791F6FC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24CB036B">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7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F94D7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37225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75276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24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D4067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01A7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7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B59B9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占考核分值的60%</w:t>
            </w:r>
          </w:p>
        </w:tc>
      </w:tr>
      <w:tr w14:paraId="32CA4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282DF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4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9D27E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D18D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7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4A906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21E05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jc w:val="center"/>
        </w:trPr>
        <w:tc>
          <w:tcPr>
            <w:tcW w:w="1140" w:type="dxa"/>
            <w:vMerge w:val="restart"/>
            <w:tcBorders>
              <w:top w:val="single" w:color="000000" w:sz="4" w:space="0"/>
              <w:left w:val="single" w:color="000000" w:sz="4" w:space="0"/>
              <w:right w:val="single" w:color="000000" w:sz="4" w:space="0"/>
            </w:tcBorders>
            <w:shd w:val="clear" w:color="auto" w:fill="auto"/>
            <w:vAlign w:val="center"/>
          </w:tcPr>
          <w:p w14:paraId="0F58BBC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2450" w:type="dxa"/>
            <w:vMerge w:val="restart"/>
            <w:tcBorders>
              <w:top w:val="single" w:color="000000" w:sz="4" w:space="0"/>
              <w:left w:val="single" w:color="000000" w:sz="4" w:space="0"/>
              <w:right w:val="single" w:color="000000" w:sz="4" w:space="0"/>
            </w:tcBorders>
            <w:shd w:val="clear" w:color="auto" w:fill="auto"/>
            <w:vAlign w:val="center"/>
          </w:tcPr>
          <w:p w14:paraId="207B70E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考核由于经营发展部的原因导致复材车间无法开工交付延期</w:t>
            </w: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0B26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sz w:val="24"/>
                <w:szCs w:val="24"/>
                <w:lang w:val="en-US" w:eastAsia="zh-CN"/>
              </w:rPr>
              <w:t>责任部门为经营发展部，每项0.5分</w:t>
            </w:r>
          </w:p>
        </w:tc>
        <w:tc>
          <w:tcPr>
            <w:tcW w:w="782" w:type="dxa"/>
            <w:vMerge w:val="restart"/>
            <w:tcBorders>
              <w:top w:val="single" w:color="000000" w:sz="4" w:space="0"/>
              <w:left w:val="single" w:color="000000" w:sz="4" w:space="0"/>
              <w:right w:val="single" w:color="000000" w:sz="4" w:space="0"/>
            </w:tcBorders>
            <w:shd w:val="clear" w:color="auto" w:fill="auto"/>
            <w:vAlign w:val="center"/>
          </w:tcPr>
          <w:p w14:paraId="6C195E2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不占生产考核分值，最多扣10分</w:t>
            </w:r>
          </w:p>
        </w:tc>
      </w:tr>
      <w:tr w14:paraId="50437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1140" w:type="dxa"/>
            <w:vMerge w:val="continue"/>
            <w:tcBorders>
              <w:left w:val="single" w:color="000000" w:sz="4" w:space="0"/>
              <w:bottom w:val="single" w:color="000000" w:sz="4" w:space="0"/>
              <w:right w:val="single" w:color="000000" w:sz="4" w:space="0"/>
            </w:tcBorders>
            <w:shd w:val="clear" w:color="auto" w:fill="auto"/>
            <w:vAlign w:val="center"/>
          </w:tcPr>
          <w:p w14:paraId="3B22504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450" w:type="dxa"/>
            <w:vMerge w:val="continue"/>
            <w:tcBorders>
              <w:left w:val="single" w:color="000000" w:sz="4" w:space="0"/>
              <w:bottom w:val="single" w:color="000000" w:sz="4" w:space="0"/>
              <w:right w:val="single" w:color="000000" w:sz="4" w:space="0"/>
            </w:tcBorders>
            <w:shd w:val="clear" w:color="auto" w:fill="auto"/>
            <w:vAlign w:val="center"/>
          </w:tcPr>
          <w:p w14:paraId="360937F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4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A1BDB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snapToGrid w:val="0"/>
                <w:color w:val="000000"/>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数据来源：复材车间《未完成任务明细表》</w:t>
            </w:r>
          </w:p>
        </w:tc>
        <w:tc>
          <w:tcPr>
            <w:tcW w:w="782" w:type="dxa"/>
            <w:vMerge w:val="continue"/>
            <w:tcBorders>
              <w:left w:val="single" w:color="000000" w:sz="4" w:space="0"/>
              <w:bottom w:val="single" w:color="000000" w:sz="4" w:space="0"/>
              <w:right w:val="single" w:color="000000" w:sz="4" w:space="0"/>
            </w:tcBorders>
            <w:shd w:val="clear" w:color="auto" w:fill="auto"/>
            <w:vAlign w:val="center"/>
          </w:tcPr>
          <w:p w14:paraId="0AD9C3F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bl>
    <w:p w14:paraId="31D0E83D">
      <w:pPr>
        <w:keepNext w:val="0"/>
        <w:keepLines w:val="0"/>
        <w:pageBreakBefore w:val="0"/>
        <w:widowControl/>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7B8FC2DB">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left="0" w:leftChars="0"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498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vAlign w:val="center"/>
          </w:tcPr>
          <w:p w14:paraId="6854835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经营发展部考核项目表</w:t>
            </w:r>
          </w:p>
        </w:tc>
      </w:tr>
      <w:tr w14:paraId="142B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F123F1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考核项目</w:t>
            </w:r>
          </w:p>
        </w:tc>
        <w:tc>
          <w:tcPr>
            <w:tcW w:w="2074" w:type="dxa"/>
            <w:vAlign w:val="center"/>
          </w:tcPr>
          <w:p w14:paraId="59C45B5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权重比率</w:t>
            </w:r>
          </w:p>
        </w:tc>
        <w:tc>
          <w:tcPr>
            <w:tcW w:w="2074" w:type="dxa"/>
            <w:vAlign w:val="center"/>
          </w:tcPr>
          <w:p w14:paraId="6E4F5C4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分值</w:t>
            </w:r>
          </w:p>
        </w:tc>
        <w:tc>
          <w:tcPr>
            <w:tcW w:w="2074" w:type="dxa"/>
            <w:vAlign w:val="center"/>
          </w:tcPr>
          <w:p w14:paraId="75EA788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考核周期</w:t>
            </w:r>
          </w:p>
        </w:tc>
      </w:tr>
      <w:tr w14:paraId="63CA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074" w:type="dxa"/>
            <w:shd w:val="clear" w:color="auto" w:fill="auto"/>
            <w:vAlign w:val="center"/>
          </w:tcPr>
          <w:p w14:paraId="6E70762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生产进度完成率</w:t>
            </w:r>
          </w:p>
        </w:tc>
        <w:tc>
          <w:tcPr>
            <w:tcW w:w="2074" w:type="dxa"/>
            <w:shd w:val="clear" w:color="auto" w:fill="auto"/>
            <w:vAlign w:val="center"/>
          </w:tcPr>
          <w:p w14:paraId="5F9676E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169FDB7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08264F7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r w14:paraId="5F18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74" w:type="dxa"/>
            <w:shd w:val="clear" w:color="auto" w:fill="auto"/>
            <w:vAlign w:val="center"/>
          </w:tcPr>
          <w:p w14:paraId="33DF46C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产值完成率</w:t>
            </w:r>
          </w:p>
        </w:tc>
        <w:tc>
          <w:tcPr>
            <w:tcW w:w="2074" w:type="dxa"/>
            <w:shd w:val="clear" w:color="auto" w:fill="auto"/>
            <w:vAlign w:val="center"/>
          </w:tcPr>
          <w:p w14:paraId="7EEAA59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3A037FE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20</w:t>
            </w:r>
          </w:p>
        </w:tc>
        <w:tc>
          <w:tcPr>
            <w:tcW w:w="2074" w:type="dxa"/>
            <w:shd w:val="clear" w:color="auto" w:fill="auto"/>
            <w:vAlign w:val="center"/>
          </w:tcPr>
          <w:p w14:paraId="1BE86C3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r w14:paraId="7587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939F50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行动项完成率</w:t>
            </w:r>
          </w:p>
        </w:tc>
        <w:tc>
          <w:tcPr>
            <w:tcW w:w="2074" w:type="dxa"/>
            <w:vAlign w:val="center"/>
          </w:tcPr>
          <w:p w14:paraId="1078175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60%</w:t>
            </w:r>
          </w:p>
        </w:tc>
        <w:tc>
          <w:tcPr>
            <w:tcW w:w="2074" w:type="dxa"/>
            <w:vAlign w:val="center"/>
          </w:tcPr>
          <w:p w14:paraId="75674C1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60</w:t>
            </w:r>
          </w:p>
        </w:tc>
        <w:tc>
          <w:tcPr>
            <w:tcW w:w="2074" w:type="dxa"/>
            <w:vAlign w:val="center"/>
          </w:tcPr>
          <w:p w14:paraId="363E76A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r w14:paraId="2B81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auto"/>
            <w:vAlign w:val="center"/>
          </w:tcPr>
          <w:p w14:paraId="5E2BA81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bCs/>
                <w:snapToGrid/>
                <w:color w:val="000000"/>
                <w:kern w:val="2"/>
                <w:sz w:val="24"/>
                <w:szCs w:val="24"/>
                <w:lang w:val="en-US" w:eastAsia="zh-CN" w:bidi="ar-SA"/>
              </w:rPr>
            </w:pPr>
            <w:r>
              <w:rPr>
                <w:rFonts w:hint="eastAsia" w:ascii="宋体" w:hAnsi="宋体" w:eastAsia="宋体" w:cs="宋体"/>
                <w:i w:val="0"/>
                <w:iCs w:val="0"/>
                <w:snapToGrid w:val="0"/>
                <w:color w:val="000000"/>
                <w:kern w:val="0"/>
                <w:sz w:val="24"/>
                <w:szCs w:val="24"/>
                <w:u w:val="none"/>
                <w:lang w:val="en-US" w:eastAsia="zh-CN" w:bidi="ar"/>
              </w:rPr>
              <w:t>外部因素处理</w:t>
            </w:r>
          </w:p>
        </w:tc>
        <w:tc>
          <w:tcPr>
            <w:tcW w:w="2074" w:type="dxa"/>
            <w:shd w:val="clear" w:color="auto" w:fill="auto"/>
            <w:vAlign w:val="center"/>
          </w:tcPr>
          <w:p w14:paraId="30829FD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0</w:t>
            </w:r>
          </w:p>
        </w:tc>
        <w:tc>
          <w:tcPr>
            <w:tcW w:w="2074" w:type="dxa"/>
            <w:shd w:val="clear" w:color="auto" w:fill="auto"/>
            <w:vAlign w:val="center"/>
          </w:tcPr>
          <w:p w14:paraId="184FF53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10</w:t>
            </w:r>
          </w:p>
        </w:tc>
        <w:tc>
          <w:tcPr>
            <w:tcW w:w="2074" w:type="dxa"/>
            <w:shd w:val="clear" w:color="auto" w:fill="auto"/>
            <w:vAlign w:val="center"/>
          </w:tcPr>
          <w:p w14:paraId="4FCD883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ajorEastAsia" w:hAnsiTheme="majorEastAsia" w:eastAsiaTheme="majorEastAsia" w:cstheme="majorEastAsia"/>
                <w:b w:val="0"/>
                <w:bCs w:val="0"/>
                <w:snapToGrid/>
                <w:color w:val="000000"/>
                <w:kern w:val="2"/>
                <w:sz w:val="24"/>
                <w:szCs w:val="24"/>
                <w:lang w:val="en-US" w:eastAsia="zh-CN" w:bidi="ar-SA"/>
              </w:rPr>
            </w:pPr>
            <w:r>
              <w:rPr>
                <w:rFonts w:hint="eastAsia" w:asciiTheme="majorEastAsia" w:hAnsiTheme="majorEastAsia" w:eastAsiaTheme="majorEastAsia" w:cstheme="majorEastAsia"/>
                <w:b w:val="0"/>
                <w:bCs w:val="0"/>
                <w:snapToGrid/>
                <w:kern w:val="2"/>
                <w:sz w:val="24"/>
                <w:szCs w:val="24"/>
                <w:lang w:val="en-US" w:eastAsia="zh-CN"/>
              </w:rPr>
              <w:t>按需（扣分制）</w:t>
            </w:r>
          </w:p>
        </w:tc>
      </w:tr>
    </w:tbl>
    <w:p w14:paraId="737B6D66">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5.1.8行政人事部考核办法</w:t>
      </w:r>
    </w:p>
    <w:p w14:paraId="755E1516">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58CCD99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分值为100分。考核总分由生产进度完成率得分、产值得分及部门相关行动项完成率，乘以权重后累计求和得出。</w:t>
      </w:r>
    </w:p>
    <w:p w14:paraId="75609762">
      <w:pPr>
        <w:keepNext w:val="0"/>
        <w:keepLines w:val="0"/>
        <w:pageBreakBefore w:val="0"/>
        <w:widowControl/>
        <w:kinsoku/>
        <w:wordWrap w:val="0"/>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2）考核指标及权重</w:t>
      </w:r>
    </w:p>
    <w:tbl>
      <w:tblPr>
        <w:tblStyle w:val="6"/>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2613"/>
        <w:gridCol w:w="3707"/>
        <w:gridCol w:w="1180"/>
      </w:tblGrid>
      <w:tr w14:paraId="256D8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60CC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26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7EAC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8AD3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1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130C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权重</w:t>
            </w:r>
          </w:p>
        </w:tc>
      </w:tr>
      <w:tr w14:paraId="1DBF2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7B1AC7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26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2E18F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D417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11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29D35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占考核分值的10%</w:t>
            </w:r>
          </w:p>
        </w:tc>
      </w:tr>
      <w:tr w14:paraId="436BC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EBF37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6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57507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3FFA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11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DD645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114D2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3"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288235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26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26990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C451E">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11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F6AFE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占考核分值的10%</w:t>
            </w:r>
          </w:p>
        </w:tc>
      </w:tr>
      <w:tr w14:paraId="62C68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9"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D11A0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6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E9FAC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E9C8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311E338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6844B45D">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11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AD492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5BA4B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57"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20EB1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26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21810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5C68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11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31586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占考核分值的80%</w:t>
            </w:r>
          </w:p>
        </w:tc>
      </w:tr>
      <w:tr w14:paraId="441AA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079C9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6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E0181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F6D2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11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E5068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bl>
    <w:p w14:paraId="318C6613">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082ADB83">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1CB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vAlign w:val="center"/>
          </w:tcPr>
          <w:p w14:paraId="583B632A">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行政人事部</w:t>
            </w:r>
            <w:r>
              <w:rPr>
                <w:rFonts w:hint="eastAsia" w:ascii="宋体" w:hAnsi="宋体" w:eastAsia="宋体" w:cs="宋体"/>
                <w:b w:val="0"/>
                <w:bCs w:val="0"/>
                <w:sz w:val="24"/>
                <w:szCs w:val="24"/>
                <w:lang w:eastAsia="zh-CN"/>
              </w:rPr>
              <w:t>考核项目表</w:t>
            </w:r>
          </w:p>
        </w:tc>
      </w:tr>
      <w:tr w14:paraId="715E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4CB8CBD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2074" w:type="dxa"/>
            <w:vAlign w:val="center"/>
          </w:tcPr>
          <w:p w14:paraId="40660FD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2074" w:type="dxa"/>
            <w:vAlign w:val="center"/>
          </w:tcPr>
          <w:p w14:paraId="3408F4F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2074" w:type="dxa"/>
            <w:vAlign w:val="center"/>
          </w:tcPr>
          <w:p w14:paraId="521A3C3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0EA9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074" w:type="dxa"/>
            <w:shd w:val="clear" w:color="auto" w:fill="auto"/>
            <w:vAlign w:val="center"/>
          </w:tcPr>
          <w:p w14:paraId="0AF22AF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2074" w:type="dxa"/>
            <w:shd w:val="clear" w:color="auto" w:fill="auto"/>
            <w:vAlign w:val="center"/>
          </w:tcPr>
          <w:p w14:paraId="3200499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10</w:t>
            </w:r>
            <w:r>
              <w:rPr>
                <w:rFonts w:hint="eastAsia" w:ascii="宋体" w:hAnsi="宋体" w:eastAsia="宋体" w:cs="宋体"/>
                <w:b w:val="0"/>
                <w:bCs w:val="0"/>
                <w:snapToGrid/>
                <w:kern w:val="2"/>
                <w:sz w:val="24"/>
                <w:szCs w:val="24"/>
                <w:lang w:eastAsia="zh-CN"/>
              </w:rPr>
              <w:t>%</w:t>
            </w:r>
          </w:p>
        </w:tc>
        <w:tc>
          <w:tcPr>
            <w:tcW w:w="2074" w:type="dxa"/>
            <w:shd w:val="clear" w:color="auto" w:fill="auto"/>
            <w:vAlign w:val="center"/>
          </w:tcPr>
          <w:p w14:paraId="416B12E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10</w:t>
            </w:r>
          </w:p>
        </w:tc>
        <w:tc>
          <w:tcPr>
            <w:tcW w:w="2074" w:type="dxa"/>
            <w:shd w:val="clear" w:color="auto" w:fill="auto"/>
            <w:vAlign w:val="center"/>
          </w:tcPr>
          <w:p w14:paraId="6BD178C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eastAsia="zh-CN"/>
              </w:rPr>
              <w:t>月</w:t>
            </w:r>
          </w:p>
        </w:tc>
      </w:tr>
      <w:tr w14:paraId="5952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74" w:type="dxa"/>
            <w:shd w:val="clear" w:color="auto" w:fill="auto"/>
            <w:vAlign w:val="center"/>
          </w:tcPr>
          <w:p w14:paraId="521B051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产值完成率</w:t>
            </w:r>
          </w:p>
        </w:tc>
        <w:tc>
          <w:tcPr>
            <w:tcW w:w="2074" w:type="dxa"/>
            <w:shd w:val="clear" w:color="auto" w:fill="auto"/>
            <w:vAlign w:val="center"/>
          </w:tcPr>
          <w:p w14:paraId="7820D79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10%</w:t>
            </w:r>
          </w:p>
        </w:tc>
        <w:tc>
          <w:tcPr>
            <w:tcW w:w="2074" w:type="dxa"/>
            <w:shd w:val="clear" w:color="auto" w:fill="auto"/>
            <w:vAlign w:val="center"/>
          </w:tcPr>
          <w:p w14:paraId="284618F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10</w:t>
            </w:r>
          </w:p>
        </w:tc>
        <w:tc>
          <w:tcPr>
            <w:tcW w:w="2074" w:type="dxa"/>
            <w:shd w:val="clear" w:color="auto" w:fill="auto"/>
            <w:vAlign w:val="center"/>
          </w:tcPr>
          <w:p w14:paraId="2070DE8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r w14:paraId="5D4F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6A3EDF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行动项完成率</w:t>
            </w:r>
          </w:p>
        </w:tc>
        <w:tc>
          <w:tcPr>
            <w:tcW w:w="2074" w:type="dxa"/>
            <w:vAlign w:val="center"/>
          </w:tcPr>
          <w:p w14:paraId="73696C5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8</w:t>
            </w:r>
            <w:r>
              <w:rPr>
                <w:rFonts w:hint="eastAsia" w:ascii="宋体" w:hAnsi="宋体" w:eastAsia="宋体" w:cs="宋体"/>
                <w:b w:val="0"/>
                <w:bCs w:val="0"/>
                <w:snapToGrid/>
                <w:kern w:val="2"/>
                <w:sz w:val="24"/>
                <w:szCs w:val="24"/>
                <w:lang w:eastAsia="zh-CN"/>
              </w:rPr>
              <w:t>0%</w:t>
            </w:r>
          </w:p>
        </w:tc>
        <w:tc>
          <w:tcPr>
            <w:tcW w:w="2074" w:type="dxa"/>
            <w:vAlign w:val="center"/>
          </w:tcPr>
          <w:p w14:paraId="2B938A0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val="en-US" w:eastAsia="zh-CN"/>
              </w:rPr>
              <w:t>8</w:t>
            </w:r>
            <w:r>
              <w:rPr>
                <w:rFonts w:hint="eastAsia" w:ascii="宋体" w:hAnsi="宋体" w:eastAsia="宋体" w:cs="宋体"/>
                <w:b w:val="0"/>
                <w:bCs w:val="0"/>
                <w:snapToGrid/>
                <w:kern w:val="2"/>
                <w:sz w:val="24"/>
                <w:szCs w:val="24"/>
                <w:lang w:eastAsia="zh-CN"/>
              </w:rPr>
              <w:t>0</w:t>
            </w:r>
          </w:p>
        </w:tc>
        <w:tc>
          <w:tcPr>
            <w:tcW w:w="2074" w:type="dxa"/>
            <w:vAlign w:val="center"/>
          </w:tcPr>
          <w:p w14:paraId="3B6DE73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bl>
    <w:p w14:paraId="163ADEE1">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5.1.9财务部考核办法</w:t>
      </w:r>
    </w:p>
    <w:p w14:paraId="703D2240">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1）分值及构成</w:t>
      </w:r>
    </w:p>
    <w:p w14:paraId="451F4C8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Theme="minorEastAsia" w:cstheme="minorEastAsia"/>
          <w:snapToGrid/>
          <w:kern w:val="2"/>
          <w:sz w:val="28"/>
          <w:szCs w:val="28"/>
          <w:lang w:val="en-US" w:eastAsia="zh-CN"/>
        </w:rPr>
        <w:t>分值为100分考核总分由生产进度完成率得分及部门相关行动项完成率，乘以权重后累计求和得出。</w:t>
      </w:r>
    </w:p>
    <w:p w14:paraId="78146FDE">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2）考核指标及权重</w:t>
      </w:r>
    </w:p>
    <w:tbl>
      <w:tblPr>
        <w:tblStyle w:val="6"/>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2613"/>
        <w:gridCol w:w="3707"/>
        <w:gridCol w:w="1180"/>
      </w:tblGrid>
      <w:tr w14:paraId="3EC99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AC51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指标项</w:t>
            </w:r>
          </w:p>
        </w:tc>
        <w:tc>
          <w:tcPr>
            <w:tcW w:w="26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077B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考核内容</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B2B2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评分标准</w:t>
            </w:r>
          </w:p>
        </w:tc>
        <w:tc>
          <w:tcPr>
            <w:tcW w:w="1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6AB8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权重</w:t>
            </w:r>
          </w:p>
        </w:tc>
      </w:tr>
      <w:tr w14:paraId="46A21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09692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生产进度完成率得分</w:t>
            </w:r>
          </w:p>
        </w:tc>
        <w:tc>
          <w:tcPr>
            <w:tcW w:w="26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D0F50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生产进度完成率按照95%进行考核，即按照月度计划完成率为95%，该项考核指标为满分</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5117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计算公式为：生产进度完成率=（实际交付数量÷计划生产数量）×100%+5%。</w:t>
            </w:r>
          </w:p>
        </w:tc>
        <w:tc>
          <w:tcPr>
            <w:tcW w:w="11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C2AAE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占考核分值的10%</w:t>
            </w:r>
          </w:p>
        </w:tc>
      </w:tr>
      <w:tr w14:paraId="7C154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A3CEB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6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CDC98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8DD6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1.月度计划表</w:t>
            </w:r>
            <w:r>
              <w:rPr>
                <w:rFonts w:hint="eastAsia" w:ascii="宋体" w:hAnsi="宋体" w:eastAsia="宋体" w:cs="宋体"/>
                <w:i w:val="0"/>
                <w:iCs w:val="0"/>
                <w:snapToGrid w:val="0"/>
                <w:color w:val="000000"/>
                <w:kern w:val="0"/>
                <w:sz w:val="24"/>
                <w:szCs w:val="24"/>
                <w:u w:val="none"/>
                <w:lang w:val="en-US" w:eastAsia="zh-CN" w:bidi="ar"/>
              </w:rPr>
              <w:br w:type="textWrapping"/>
            </w:r>
            <w:r>
              <w:rPr>
                <w:rFonts w:hint="eastAsia" w:ascii="宋体" w:hAnsi="宋体" w:eastAsia="宋体" w:cs="宋体"/>
                <w:i w:val="0"/>
                <w:iCs w:val="0"/>
                <w:snapToGrid w:val="0"/>
                <w:color w:val="000000"/>
                <w:kern w:val="0"/>
                <w:sz w:val="24"/>
                <w:szCs w:val="24"/>
                <w:u w:val="none"/>
                <w:lang w:val="en-US" w:eastAsia="zh-CN" w:bidi="ar"/>
              </w:rPr>
              <w:t>2.交付报表</w:t>
            </w:r>
          </w:p>
        </w:tc>
        <w:tc>
          <w:tcPr>
            <w:tcW w:w="11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4B900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4993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3"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2BDDE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产值得分</w:t>
            </w:r>
          </w:p>
        </w:tc>
        <w:tc>
          <w:tcPr>
            <w:tcW w:w="26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1143BD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根据项目管理部每月下发计划的产值完成情况进行评分</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06E24">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产值完成率=（实际产值÷计划产值）×100%</w:t>
            </w:r>
          </w:p>
        </w:tc>
        <w:tc>
          <w:tcPr>
            <w:tcW w:w="11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A7476E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占考核分值的10%</w:t>
            </w:r>
          </w:p>
        </w:tc>
      </w:tr>
      <w:tr w14:paraId="6B29C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9"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C5882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26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05085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snapToGrid w:val="0"/>
                <w:color w:val="000000"/>
                <w:kern w:val="0"/>
                <w:sz w:val="24"/>
                <w:szCs w:val="24"/>
                <w:u w:val="none"/>
                <w:lang w:val="en-US" w:eastAsia="zh-CN" w:bidi="ar"/>
              </w:rPr>
            </w:pP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39FB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数据来源：</w:t>
            </w:r>
          </w:p>
          <w:p w14:paraId="7371BE5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1.月度计划产值</w:t>
            </w:r>
          </w:p>
          <w:p w14:paraId="65BFD93E">
            <w:pPr>
              <w:keepNext w:val="0"/>
              <w:keepLines w:val="0"/>
              <w:pageBreakBefore w:val="0"/>
              <w:widowControl/>
              <w:suppressLineNumbers w:val="0"/>
              <w:wordWrap/>
              <w:overflowPunct/>
              <w:topLinePunct w:val="0"/>
              <w:bidi w:val="0"/>
              <w:spacing w:after="0" w:line="240" w:lineRule="auto"/>
              <w:jc w:val="center"/>
              <w:textAlignment w:val="center"/>
              <w:rPr>
                <w:rFonts w:ascii="宋体" w:hAnsi="宋体" w:eastAsia="宋体" w:cs="宋体"/>
                <w:sz w:val="24"/>
                <w:szCs w:val="24"/>
              </w:rPr>
            </w:pPr>
            <w:r>
              <w:rPr>
                <w:rFonts w:hint="eastAsia" w:ascii="宋体" w:hAnsi="宋体" w:eastAsia="宋体" w:cs="宋体"/>
                <w:i w:val="0"/>
                <w:iCs w:val="0"/>
                <w:snapToGrid w:val="0"/>
                <w:color w:val="000000"/>
                <w:kern w:val="0"/>
                <w:sz w:val="24"/>
                <w:szCs w:val="24"/>
                <w:u w:val="none"/>
                <w:lang w:val="en-US" w:eastAsia="zh-CN" w:bidi="ar"/>
              </w:rPr>
              <w:t>2.交付报表</w:t>
            </w:r>
          </w:p>
        </w:tc>
        <w:tc>
          <w:tcPr>
            <w:tcW w:w="11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C2B1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p>
        </w:tc>
      </w:tr>
      <w:tr w14:paraId="13EB1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57" w:hRule="atLeast"/>
          <w:jc w:val="center"/>
        </w:trPr>
        <w:tc>
          <w:tcPr>
            <w:tcW w:w="11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1AD302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行动项完成情况</w:t>
            </w:r>
          </w:p>
        </w:tc>
        <w:tc>
          <w:tcPr>
            <w:tcW w:w="261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0025E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根据项目管理部下发行动项展开相关工作保证生产任务顺利进行的程度。</w:t>
            </w: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DD6E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ascii="宋体" w:hAnsi="宋体" w:eastAsia="宋体" w:cs="宋体"/>
                <w:sz w:val="24"/>
                <w:szCs w:val="24"/>
              </w:rPr>
              <w:t>公司每月KPI指标分解行动项，以及项目管理会议、生产专题会议产生的行动项，统一由勤哲系统下发，并在制定时同步设定对应分值；系统负责数据抓取与进度跟踪，考核采用扣分制，行动项拖期每发生1项，即按其对应分值予以扣除。</w:t>
            </w:r>
          </w:p>
        </w:tc>
        <w:tc>
          <w:tcPr>
            <w:tcW w:w="11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7C6CD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占考核分值的80%</w:t>
            </w:r>
          </w:p>
        </w:tc>
      </w:tr>
      <w:tr w14:paraId="6B203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11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E8181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61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31D1E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0368B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数据来源：勤哲</w:t>
            </w:r>
          </w:p>
        </w:tc>
        <w:tc>
          <w:tcPr>
            <w:tcW w:w="11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453C5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bl>
    <w:p w14:paraId="5ABE0BDD">
      <w:pPr>
        <w:keepNext w:val="0"/>
        <w:keepLines w:val="0"/>
        <w:pageBreakBefore w:val="0"/>
        <w:widowControl/>
        <w:kinsoku/>
        <w:wordWrap w:val="0"/>
        <w:overflowPunct/>
        <w:topLinePunct w:val="0"/>
        <w:autoSpaceDE/>
        <w:autoSpaceDN/>
        <w:bidi w:val="0"/>
        <w:adjustRightInd/>
        <w:snapToGrid/>
        <w:spacing w:after="0" w:line="440" w:lineRule="exact"/>
        <w:ind w:left="636" w:leftChars="202" w:hanging="212" w:hangingChars="76"/>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3）考核分数计算公式</w:t>
      </w:r>
    </w:p>
    <w:p w14:paraId="3C77C56E">
      <w:pPr>
        <w:keepNext w:val="0"/>
        <w:keepLines w:val="0"/>
        <w:pageBreakBefore w:val="0"/>
        <w:widowControl w:val="0"/>
        <w:numPr>
          <w:ilvl w:val="0"/>
          <w:numId w:val="0"/>
        </w:numPr>
        <w:kinsoku/>
        <w:overflowPunct/>
        <w:topLinePunct w:val="0"/>
        <w:autoSpaceDE/>
        <w:autoSpaceDN/>
        <w:bidi w:val="0"/>
        <w:adjustRightInd/>
        <w:snapToGrid/>
        <w:spacing w:after="0" w:line="440" w:lineRule="exact"/>
        <w:ind w:left="0" w:leftChars="0" w:firstLine="420" w:firstLineChars="150"/>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宋体" w:cs="Times New Roman"/>
          <w:snapToGrid/>
          <w:kern w:val="0"/>
          <w:sz w:val="28"/>
          <w:szCs w:val="22"/>
          <w:lang w:val="en-US" w:eastAsia="zh-CN" w:bidi="ar-SA"/>
        </w:rPr>
        <w:t>考核总分=生产进度完成率得分+产值完成率得分+行动项完成率得分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D32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vAlign w:val="center"/>
          </w:tcPr>
          <w:p w14:paraId="3214F585">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财务部</w:t>
            </w:r>
            <w:r>
              <w:rPr>
                <w:rFonts w:hint="eastAsia" w:ascii="宋体" w:hAnsi="宋体" w:eastAsia="宋体" w:cs="宋体"/>
                <w:b w:val="0"/>
                <w:bCs w:val="0"/>
                <w:sz w:val="24"/>
                <w:szCs w:val="24"/>
                <w:lang w:eastAsia="zh-CN"/>
              </w:rPr>
              <w:t>考核项目表</w:t>
            </w:r>
          </w:p>
        </w:tc>
      </w:tr>
      <w:tr w14:paraId="58058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59D76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2074" w:type="dxa"/>
          </w:tcPr>
          <w:p w14:paraId="0AE041D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2074" w:type="dxa"/>
          </w:tcPr>
          <w:p w14:paraId="06D1F82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2074" w:type="dxa"/>
          </w:tcPr>
          <w:p w14:paraId="253E29C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6348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074" w:type="dxa"/>
            <w:shd w:val="clear" w:color="auto" w:fill="auto"/>
            <w:vAlign w:val="top"/>
          </w:tcPr>
          <w:p w14:paraId="054DD58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生产进度完成</w:t>
            </w:r>
            <w:r>
              <w:rPr>
                <w:rFonts w:hint="eastAsia" w:ascii="宋体" w:hAnsi="宋体" w:eastAsia="宋体" w:cs="宋体"/>
                <w:b w:val="0"/>
                <w:bCs w:val="0"/>
                <w:snapToGrid/>
                <w:kern w:val="2"/>
                <w:sz w:val="24"/>
                <w:szCs w:val="24"/>
                <w:lang w:eastAsia="zh-CN"/>
              </w:rPr>
              <w:t>率</w:t>
            </w:r>
          </w:p>
        </w:tc>
        <w:tc>
          <w:tcPr>
            <w:tcW w:w="2074" w:type="dxa"/>
            <w:shd w:val="clear" w:color="auto" w:fill="auto"/>
            <w:vAlign w:val="top"/>
          </w:tcPr>
          <w:p w14:paraId="74CAAE7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10</w:t>
            </w:r>
            <w:r>
              <w:rPr>
                <w:rFonts w:hint="eastAsia" w:ascii="宋体" w:hAnsi="宋体" w:eastAsia="宋体" w:cs="宋体"/>
                <w:b w:val="0"/>
                <w:bCs w:val="0"/>
                <w:snapToGrid/>
                <w:kern w:val="2"/>
                <w:sz w:val="24"/>
                <w:szCs w:val="24"/>
                <w:lang w:eastAsia="zh-CN"/>
              </w:rPr>
              <w:t>%</w:t>
            </w:r>
          </w:p>
        </w:tc>
        <w:tc>
          <w:tcPr>
            <w:tcW w:w="2074" w:type="dxa"/>
            <w:shd w:val="clear" w:color="auto" w:fill="auto"/>
            <w:vAlign w:val="top"/>
          </w:tcPr>
          <w:p w14:paraId="5B9B68C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val="en-US" w:eastAsia="zh-CN"/>
              </w:rPr>
              <w:t>10</w:t>
            </w:r>
          </w:p>
        </w:tc>
        <w:tc>
          <w:tcPr>
            <w:tcW w:w="2074" w:type="dxa"/>
            <w:shd w:val="clear" w:color="auto" w:fill="auto"/>
            <w:vAlign w:val="top"/>
          </w:tcPr>
          <w:p w14:paraId="7923258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color w:val="000000"/>
                <w:kern w:val="2"/>
                <w:sz w:val="24"/>
                <w:szCs w:val="24"/>
                <w:lang w:val="en-US" w:eastAsia="zh-CN" w:bidi="ar-SA"/>
              </w:rPr>
            </w:pPr>
            <w:r>
              <w:rPr>
                <w:rFonts w:hint="eastAsia" w:ascii="宋体" w:hAnsi="宋体" w:eastAsia="宋体" w:cs="宋体"/>
                <w:b w:val="0"/>
                <w:bCs w:val="0"/>
                <w:snapToGrid/>
                <w:kern w:val="2"/>
                <w:sz w:val="24"/>
                <w:szCs w:val="24"/>
                <w:lang w:eastAsia="zh-CN"/>
              </w:rPr>
              <w:t>月</w:t>
            </w:r>
          </w:p>
        </w:tc>
      </w:tr>
      <w:tr w14:paraId="5390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074" w:type="dxa"/>
            <w:shd w:val="clear" w:color="auto" w:fill="auto"/>
            <w:vAlign w:val="center"/>
          </w:tcPr>
          <w:p w14:paraId="0CEAA66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产值完成率</w:t>
            </w:r>
          </w:p>
        </w:tc>
        <w:tc>
          <w:tcPr>
            <w:tcW w:w="2074" w:type="dxa"/>
            <w:shd w:val="clear" w:color="auto" w:fill="auto"/>
            <w:vAlign w:val="top"/>
          </w:tcPr>
          <w:p w14:paraId="24BBDBF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10%</w:t>
            </w:r>
          </w:p>
        </w:tc>
        <w:tc>
          <w:tcPr>
            <w:tcW w:w="2074" w:type="dxa"/>
            <w:shd w:val="clear" w:color="auto" w:fill="auto"/>
            <w:vAlign w:val="top"/>
          </w:tcPr>
          <w:p w14:paraId="6D06D2A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10</w:t>
            </w:r>
          </w:p>
        </w:tc>
        <w:tc>
          <w:tcPr>
            <w:tcW w:w="2074" w:type="dxa"/>
            <w:shd w:val="clear" w:color="auto" w:fill="auto"/>
            <w:vAlign w:val="top"/>
          </w:tcPr>
          <w:p w14:paraId="5EE35EF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r w14:paraId="34C0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CAA39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行动项完成率</w:t>
            </w:r>
          </w:p>
        </w:tc>
        <w:tc>
          <w:tcPr>
            <w:tcW w:w="2074" w:type="dxa"/>
          </w:tcPr>
          <w:p w14:paraId="4ABE079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80%</w:t>
            </w:r>
          </w:p>
        </w:tc>
        <w:tc>
          <w:tcPr>
            <w:tcW w:w="2074" w:type="dxa"/>
          </w:tcPr>
          <w:p w14:paraId="4D84473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80</w:t>
            </w:r>
          </w:p>
        </w:tc>
        <w:tc>
          <w:tcPr>
            <w:tcW w:w="2074" w:type="dxa"/>
          </w:tcPr>
          <w:p w14:paraId="0EAB717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val="en-US" w:eastAsia="zh-CN"/>
              </w:rPr>
            </w:pPr>
            <w:r>
              <w:rPr>
                <w:rFonts w:hint="eastAsia" w:ascii="宋体" w:hAnsi="宋体" w:eastAsia="宋体" w:cs="宋体"/>
                <w:b w:val="0"/>
                <w:bCs w:val="0"/>
                <w:snapToGrid/>
                <w:kern w:val="2"/>
                <w:sz w:val="24"/>
                <w:szCs w:val="24"/>
                <w:lang w:val="en-US" w:eastAsia="zh-CN"/>
              </w:rPr>
              <w:t>月</w:t>
            </w:r>
          </w:p>
        </w:tc>
      </w:tr>
    </w:tbl>
    <w:p w14:paraId="4E70712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5.2经营维度考核管理规定</w:t>
      </w:r>
    </w:p>
    <w:p w14:paraId="46D5559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宋体" w:cs="Times New Roman"/>
          <w:snapToGrid/>
          <w:kern w:val="0"/>
          <w:sz w:val="28"/>
          <w:szCs w:val="24"/>
          <w:lang w:val="en-US" w:eastAsia="zh-CN" w:bidi="en-US"/>
        </w:rPr>
        <w:t>5</w:t>
      </w:r>
      <w:r>
        <w:rPr>
          <w:rFonts w:hint="eastAsia" w:ascii="Times New Roman" w:hAnsi="Times New Roman" w:eastAsiaTheme="minorEastAsia" w:cstheme="minorEastAsia"/>
          <w:snapToGrid/>
          <w:kern w:val="2"/>
          <w:sz w:val="28"/>
          <w:szCs w:val="28"/>
          <w:lang w:val="en-US" w:eastAsia="zh-CN"/>
        </w:rPr>
        <w:t>.2.1分值及构成</w:t>
      </w:r>
    </w:p>
    <w:p w14:paraId="220C5F10">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经营维度考核总分为100分，其中重点任务满分为50分，行动项满分为50分。</w:t>
      </w:r>
    </w:p>
    <w:p w14:paraId="6555197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经营指标分解计划、重点任务、行动项制定与提供：经营发展部应在每月例会结束后两个工作日内，向项目管理部提供本月重点任务及行动项清单，统一由项目管理部通过勤哲系统向公司全体部门下达。统一填写</w:t>
      </w:r>
      <w:r>
        <w:rPr>
          <w:rFonts w:hint="eastAsia" w:ascii="Times New Roman" w:hAnsi="Times New Roman" w:eastAsiaTheme="minorEastAsia" w:cstheme="minorEastAsia"/>
          <w:snapToGrid/>
          <w:kern w:val="2"/>
          <w:sz w:val="28"/>
          <w:szCs w:val="28"/>
          <w:highlight w:val="none"/>
          <w:lang w:val="en-US" w:eastAsia="zh-CN"/>
        </w:rPr>
        <w:t>《公司级会议任务清单》</w:t>
      </w:r>
      <w:r>
        <w:rPr>
          <w:rFonts w:hint="eastAsia" w:ascii="Times New Roman" w:hAnsi="Times New Roman" w:eastAsiaTheme="minorEastAsia" w:cstheme="minorEastAsia"/>
          <w:snapToGrid/>
          <w:kern w:val="2"/>
          <w:sz w:val="28"/>
          <w:szCs w:val="28"/>
          <w:lang w:val="en-US" w:eastAsia="zh-CN"/>
        </w:rPr>
        <w:t>，按模板填写需求时间、责任部门、责任人等内容，确保工作目标清晰、任务分配合理。</w:t>
      </w:r>
    </w:p>
    <w:p w14:paraId="612E09B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考核周期：按月度进行考核，每月15号进行，对当月工作任务完成情况、工作表现进行评估，及时反馈工作问题，为员工调整工作方向提供依据。</w:t>
      </w:r>
    </w:p>
    <w:p w14:paraId="3DA73302">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考核数据：各部门负责人负责在勤哲系统中维护任务完成情况，项目管理部按月度考核周期在系统内统一提取考核数据，作为考核依据。</w:t>
      </w:r>
    </w:p>
    <w:p w14:paraId="6158EC5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5.2.2考核指标及权重</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1746"/>
        <w:gridCol w:w="3693"/>
        <w:gridCol w:w="2005"/>
      </w:tblGrid>
      <w:tr w14:paraId="3801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2" w:type="pct"/>
            <w:vAlign w:val="center"/>
          </w:tcPr>
          <w:p w14:paraId="033F0A5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指标项</w:t>
            </w:r>
          </w:p>
        </w:tc>
        <w:tc>
          <w:tcPr>
            <w:tcW w:w="1024" w:type="pct"/>
            <w:vAlign w:val="center"/>
          </w:tcPr>
          <w:p w14:paraId="3D71960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考核内容</w:t>
            </w:r>
          </w:p>
        </w:tc>
        <w:tc>
          <w:tcPr>
            <w:tcW w:w="2166" w:type="pct"/>
            <w:vAlign w:val="center"/>
          </w:tcPr>
          <w:p w14:paraId="21B37A4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评分标准</w:t>
            </w:r>
          </w:p>
        </w:tc>
        <w:tc>
          <w:tcPr>
            <w:tcW w:w="1176" w:type="pct"/>
            <w:vAlign w:val="center"/>
          </w:tcPr>
          <w:p w14:paraId="2CC5120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权重</w:t>
            </w:r>
          </w:p>
        </w:tc>
      </w:tr>
      <w:tr w14:paraId="2B6B0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jc w:val="center"/>
        </w:trPr>
        <w:tc>
          <w:tcPr>
            <w:tcW w:w="632" w:type="pct"/>
            <w:vAlign w:val="center"/>
          </w:tcPr>
          <w:p w14:paraId="3DC63FE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公司级重点任务完成率</w:t>
            </w:r>
          </w:p>
        </w:tc>
        <w:tc>
          <w:tcPr>
            <w:tcW w:w="1024" w:type="pct"/>
            <w:vAlign w:val="center"/>
          </w:tcPr>
          <w:p w14:paraId="202C7CC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用于考核各部门月度例会下达的重点任务完成情况</w:t>
            </w:r>
          </w:p>
        </w:tc>
        <w:tc>
          <w:tcPr>
            <w:tcW w:w="2166" w:type="pct"/>
            <w:vAlign w:val="center"/>
          </w:tcPr>
          <w:p w14:paraId="6B34B48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经营发展部根据部门月度重点任务按时完成数量采用扣分制考核，未完成一项扣除5分，以此类推，上限50分。</w:t>
            </w:r>
          </w:p>
        </w:tc>
        <w:tc>
          <w:tcPr>
            <w:tcW w:w="1176" w:type="pct"/>
            <w:vAlign w:val="center"/>
          </w:tcPr>
          <w:p w14:paraId="75416B5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公司级重点任务完成率占经营发展部考核总分50%，满分50分</w:t>
            </w:r>
          </w:p>
        </w:tc>
      </w:tr>
      <w:tr w14:paraId="05A8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7" w:hRule="atLeast"/>
          <w:jc w:val="center"/>
        </w:trPr>
        <w:tc>
          <w:tcPr>
            <w:tcW w:w="632" w:type="pct"/>
            <w:vAlign w:val="center"/>
          </w:tcPr>
          <w:p w14:paraId="7C3F0D9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公司级行动项完成率</w:t>
            </w:r>
          </w:p>
        </w:tc>
        <w:tc>
          <w:tcPr>
            <w:tcW w:w="1024" w:type="pct"/>
            <w:vAlign w:val="center"/>
          </w:tcPr>
          <w:p w14:paraId="3B928C0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用于考核各部门月度例会下达的行动项完成情况</w:t>
            </w:r>
          </w:p>
        </w:tc>
        <w:tc>
          <w:tcPr>
            <w:tcW w:w="2166" w:type="pct"/>
            <w:vAlign w:val="center"/>
          </w:tcPr>
          <w:p w14:paraId="7ED9F73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经营发展部根据部门月度行动项按时完成数量采用扣分制考核，未完成一项扣除5分，以此类推，上限50分。</w:t>
            </w:r>
          </w:p>
        </w:tc>
        <w:tc>
          <w:tcPr>
            <w:tcW w:w="1176" w:type="pct"/>
            <w:vAlign w:val="center"/>
          </w:tcPr>
          <w:p w14:paraId="2F5A5D9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Theme="minorEastAsia" w:cstheme="minorBidi"/>
                <w:snapToGrid/>
                <w:kern w:val="2"/>
                <w:sz w:val="24"/>
                <w:szCs w:val="24"/>
                <w:lang w:eastAsia="zh-CN"/>
              </w:rPr>
            </w:pPr>
            <w:r>
              <w:rPr>
                <w:rFonts w:hint="eastAsia" w:ascii="宋体" w:hAnsi="宋体" w:eastAsiaTheme="minorEastAsia" w:cstheme="minorBidi"/>
                <w:snapToGrid/>
                <w:kern w:val="2"/>
                <w:sz w:val="24"/>
                <w:szCs w:val="24"/>
                <w:lang w:eastAsia="zh-CN"/>
              </w:rPr>
              <w:t>公司级行动项完成率占经营发展部考核总分50%，满分50分</w:t>
            </w:r>
          </w:p>
        </w:tc>
      </w:tr>
    </w:tbl>
    <w:p w14:paraId="78C87CD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5.2.3考核分数计算公式</w:t>
      </w:r>
    </w:p>
    <w:p w14:paraId="7CCAADC1">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经营发维度考核各部门打分=公司级重点任务和行动项得分</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5"/>
        <w:gridCol w:w="1346"/>
        <w:gridCol w:w="1201"/>
        <w:gridCol w:w="2074"/>
      </w:tblGrid>
      <w:tr w14:paraId="3FE4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8296" w:type="dxa"/>
            <w:gridSpan w:val="4"/>
            <w:vAlign w:val="center"/>
          </w:tcPr>
          <w:p w14:paraId="21EA1BAA">
            <w:pPr>
              <w:keepNext w:val="0"/>
              <w:keepLines w:val="0"/>
              <w:pageBreakBefore w:val="0"/>
              <w:wordWrap/>
              <w:overflowPunct/>
              <w:topLinePunct w:val="0"/>
              <w:bidi w:val="0"/>
              <w:spacing w:after="0" w:line="240" w:lineRule="auto"/>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经营发展部考核项目表</w:t>
            </w:r>
          </w:p>
        </w:tc>
      </w:tr>
      <w:tr w14:paraId="52F2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vAlign w:val="center"/>
          </w:tcPr>
          <w:p w14:paraId="1D69F50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考核项目</w:t>
            </w:r>
          </w:p>
        </w:tc>
        <w:tc>
          <w:tcPr>
            <w:tcW w:w="1346" w:type="dxa"/>
            <w:vAlign w:val="center"/>
          </w:tcPr>
          <w:p w14:paraId="2499BA1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权重比率</w:t>
            </w:r>
          </w:p>
        </w:tc>
        <w:tc>
          <w:tcPr>
            <w:tcW w:w="1201" w:type="dxa"/>
            <w:vAlign w:val="center"/>
          </w:tcPr>
          <w:p w14:paraId="383B59D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分值</w:t>
            </w:r>
          </w:p>
        </w:tc>
        <w:tc>
          <w:tcPr>
            <w:tcW w:w="2074" w:type="dxa"/>
            <w:vAlign w:val="center"/>
          </w:tcPr>
          <w:p w14:paraId="0B96348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考核周期</w:t>
            </w:r>
          </w:p>
        </w:tc>
      </w:tr>
      <w:tr w14:paraId="2294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vAlign w:val="center"/>
          </w:tcPr>
          <w:p w14:paraId="0DBD25D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公司级重点任务完成率</w:t>
            </w:r>
          </w:p>
        </w:tc>
        <w:tc>
          <w:tcPr>
            <w:tcW w:w="1346" w:type="dxa"/>
            <w:vAlign w:val="center"/>
          </w:tcPr>
          <w:p w14:paraId="239F6E2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50%</w:t>
            </w:r>
          </w:p>
        </w:tc>
        <w:tc>
          <w:tcPr>
            <w:tcW w:w="1201" w:type="dxa"/>
            <w:vAlign w:val="center"/>
          </w:tcPr>
          <w:p w14:paraId="55502A9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50</w:t>
            </w:r>
          </w:p>
        </w:tc>
        <w:tc>
          <w:tcPr>
            <w:tcW w:w="2074" w:type="dxa"/>
            <w:vAlign w:val="center"/>
          </w:tcPr>
          <w:p w14:paraId="1ED4A77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r w14:paraId="5013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vAlign w:val="center"/>
          </w:tcPr>
          <w:p w14:paraId="00A5364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公司级行动项完成率</w:t>
            </w:r>
          </w:p>
        </w:tc>
        <w:tc>
          <w:tcPr>
            <w:tcW w:w="1346" w:type="dxa"/>
            <w:vAlign w:val="center"/>
          </w:tcPr>
          <w:p w14:paraId="2D874F7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50%</w:t>
            </w:r>
          </w:p>
        </w:tc>
        <w:tc>
          <w:tcPr>
            <w:tcW w:w="1201" w:type="dxa"/>
            <w:vAlign w:val="center"/>
          </w:tcPr>
          <w:p w14:paraId="62DE102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50</w:t>
            </w:r>
          </w:p>
        </w:tc>
        <w:tc>
          <w:tcPr>
            <w:tcW w:w="2074" w:type="dxa"/>
            <w:vAlign w:val="center"/>
          </w:tcPr>
          <w:p w14:paraId="14EF3DF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b w:val="0"/>
                <w:bCs w:val="0"/>
                <w:snapToGrid/>
                <w:kern w:val="2"/>
                <w:sz w:val="24"/>
                <w:szCs w:val="24"/>
                <w:lang w:eastAsia="zh-CN"/>
              </w:rPr>
            </w:pPr>
            <w:r>
              <w:rPr>
                <w:rFonts w:hint="eastAsia" w:ascii="宋体" w:hAnsi="宋体" w:eastAsia="宋体" w:cs="宋体"/>
                <w:b w:val="0"/>
                <w:bCs w:val="0"/>
                <w:snapToGrid/>
                <w:kern w:val="2"/>
                <w:sz w:val="24"/>
                <w:szCs w:val="24"/>
                <w:lang w:eastAsia="zh-CN"/>
              </w:rPr>
              <w:t>月</w:t>
            </w:r>
          </w:p>
        </w:tc>
      </w:tr>
    </w:tbl>
    <w:p w14:paraId="1600CB5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5.3考核方式、考核总分计算公式及绩效发放标准</w:t>
      </w:r>
    </w:p>
    <w:p w14:paraId="74CD9F3B">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default" w:ascii="Times New Roman" w:hAnsi="Times New Roman" w:eastAsiaTheme="minorEastAsia" w:cstheme="minorEastAsia"/>
          <w:snapToGrid/>
          <w:kern w:val="2"/>
          <w:sz w:val="28"/>
          <w:szCs w:val="28"/>
          <w:lang w:val="en-US" w:eastAsia="zh-CN"/>
        </w:rPr>
        <w:t>行动项来源覆盖公司级KPI考核、项目管理周例会、民机项目三级会、项目部现场二级会、每日研制例会、民机快表及公司月度例会，形成贯穿研制与批产全过程的任务触发体系。公司级KPI在每月20日统一下发，项目管理周例会在每周五下班前下发，民机三级会与现场二级会、研制例会均在当日下班前完成下发，民机快表行动项直接摘取导入，月度例会行动项在会议结束后两个工作日内下发，确保任务时效统一、节奏明确。</w:t>
      </w:r>
    </w:p>
    <w:p w14:paraId="55624760">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default" w:ascii="Times New Roman" w:hAnsi="Times New Roman" w:eastAsiaTheme="minorEastAsia" w:cstheme="minorEastAsia"/>
          <w:snapToGrid/>
          <w:kern w:val="2"/>
          <w:sz w:val="28"/>
          <w:szCs w:val="28"/>
          <w:lang w:val="en-US" w:eastAsia="zh-CN"/>
        </w:rPr>
        <w:t>行动项制定遵循优先级与影响度原则，公司级KPI、民机快表与民机三级会优先级最高、直接下发，项目管理周例会聚焦对生产交付与装配厂开工有重大影响的关键事项，现场二级会围绕因组织不力导致计划拖期或零件因技术质量问题滞留三天以上的阻滞问题制定，研制例会则依据研制节点与攻关需求形成任务，确保任务聚焦主线、责任清晰、拉动有力。</w:t>
      </w:r>
    </w:p>
    <w:p w14:paraId="52CCBA18">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default" w:ascii="Times New Roman" w:hAnsi="Times New Roman" w:eastAsiaTheme="minorEastAsia" w:cstheme="minorEastAsia"/>
          <w:snapToGrid/>
          <w:kern w:val="2"/>
          <w:sz w:val="28"/>
          <w:szCs w:val="28"/>
          <w:lang w:val="en-US" w:eastAsia="zh-CN"/>
        </w:rPr>
        <w:t>行动项管理实行闭环跟踪，项目管理部指派专人负责记录、确认节点并在勤哲系统创建任务，跟踪完成情况，过程可追溯、结果可评价。每月考核中，依据未完成行动项的比例扣除对应分数，采用扣分制推动责任部门刚性承接、及时落实，确保任务管理有抓手、考核有依据、执行有闭环。</w:t>
      </w:r>
    </w:p>
    <w:p w14:paraId="090B531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left"/>
        <w:textAlignment w:val="auto"/>
        <w:rPr>
          <w:rFonts w:hint="eastAsia" w:ascii="Times New Roman" w:hAnsi="Times New Roman" w:eastAsia="黑体" w:cs="Times New Roman"/>
          <w:iCs/>
          <w:snapToGrid/>
          <w:kern w:val="2"/>
          <w:sz w:val="28"/>
          <w:szCs w:val="28"/>
          <w:lang w:val="en-US" w:eastAsia="zh-CN" w:bidi="ar-SA"/>
        </w:rPr>
      </w:pPr>
      <w:r>
        <w:rPr>
          <w:rFonts w:hint="eastAsia" w:ascii="Times New Roman" w:hAnsi="Times New Roman" w:eastAsia="黑体" w:cs="Times New Roman"/>
          <w:iCs/>
          <w:snapToGrid/>
          <w:kern w:val="2"/>
          <w:sz w:val="28"/>
          <w:szCs w:val="28"/>
          <w:lang w:val="en-US" w:eastAsia="zh-CN" w:bidi="ar-SA"/>
        </w:rPr>
        <w:t>5.4考核方式、考核总分计算公式及绩效发放标准</w:t>
      </w:r>
    </w:p>
    <w:p w14:paraId="3FE78E1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5.4.1项目管理部负责汇总整理行动项（含月度重点任务及行动项）进展情况，经营发展部按既定标准实施监督考核，确保信息真实、准确、完整；对重点任务及行动项调整申请进行审核，综合考虑申请原因及对整体工作的影响，作出合理决策。经营发展部绩效评分表由经营发展部根据当月重点任务及行动项完成情况编制，报分管领导审批后执行。</w:t>
      </w:r>
    </w:p>
    <w:p w14:paraId="0EF6626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5.4.2项目管理部负责汇总各部门项目进度、质量及成本执行情况，经营发展部依据执行情况按既定标准实施监督考核，确保信息真实、准确、完整；对各部门月度项目进度、质量及成本计划调整申请进行审核，综合考虑调整原因及影响程度，形成审核意见。相关考核或调整方案由项目管理部编制，报分管领导审批实施，并提报经营发展部。</w:t>
      </w:r>
    </w:p>
    <w:p w14:paraId="69E42A5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5.4.3公司月度综合打分表由经营发展部部长编制，财务部部长校对，分管领导审核，总经理批准实施。</w:t>
      </w:r>
    </w:p>
    <w:p w14:paraId="79BAD7F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5.4.4当月工作计划中的任务确需调整的，各部门应于任务节点前3个工作日填写《××部××月工作任务调整申请单》，并在申请中明确区分主观原因（如工作失误、拖延等）与客观原因（如市场环</w:t>
      </w:r>
      <w:bookmarkStart w:id="0" w:name="_GoBack"/>
      <w:bookmarkEnd w:id="0"/>
      <w:r>
        <w:rPr>
          <w:rFonts w:hint="eastAsia" w:ascii="Times New Roman" w:hAnsi="Times New Roman" w:eastAsiaTheme="minorEastAsia" w:cstheme="minorEastAsia"/>
          <w:snapToGrid/>
          <w:kern w:val="2"/>
          <w:sz w:val="28"/>
          <w:szCs w:val="28"/>
          <w:lang w:val="en-US" w:eastAsia="zh-CN"/>
        </w:rPr>
        <w:t>境变化、不可抗力等），对调整事由作出完整说明。申请单经部门统一汇总后提交，由部门主管领导结合任务延期原因及对整体工作的影响进行初审，经营发展部和项目管理部根据公司经营指标评估是否予以调整，最终报分管领导审批。</w:t>
      </w:r>
    </w:p>
    <w:p w14:paraId="2D0711E3">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每项任务最多允许调整2次，超过2次仍未完成的，视为未完成任务并加重考核。因客观原因导致延期且已及时申请并获批的任务，可不予考核；但客观因素消除后仍未完成的，将视情况加重考核。因公司战略调整或重大业务变更等公司层面原因导致任务无法按原计划完成的，经分管领导确认后，重新调整任务目标及考核标准。</w:t>
      </w:r>
    </w:p>
    <w:p w14:paraId="6EF6307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5.4.5公司实施分类考核机制，将考核基数分为以下3档：</w:t>
      </w:r>
    </w:p>
    <w:tbl>
      <w:tblPr>
        <w:tblStyle w:val="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6"/>
        <w:gridCol w:w="1183"/>
        <w:gridCol w:w="1176"/>
        <w:gridCol w:w="4664"/>
      </w:tblGrid>
      <w:tr w14:paraId="0F36C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DA8B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部门</w:t>
            </w:r>
          </w:p>
        </w:tc>
        <w:tc>
          <w:tcPr>
            <w:tcW w:w="6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74E4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考核档位</w:t>
            </w:r>
          </w:p>
        </w:tc>
        <w:tc>
          <w:tcPr>
            <w:tcW w:w="6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7EC5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考核基数</w:t>
            </w:r>
          </w:p>
        </w:tc>
        <w:tc>
          <w:tcPr>
            <w:tcW w:w="27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52A3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主要理由</w:t>
            </w:r>
          </w:p>
        </w:tc>
      </w:tr>
      <w:tr w14:paraId="72075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0202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复材车间</w:t>
            </w:r>
          </w:p>
        </w:tc>
        <w:tc>
          <w:tcPr>
            <w:tcW w:w="694" w:type="pct"/>
            <w:vMerge w:val="restart"/>
            <w:tcBorders>
              <w:top w:val="single" w:color="000000" w:sz="4" w:space="0"/>
              <w:left w:val="single" w:color="000000" w:sz="4" w:space="0"/>
              <w:right w:val="single" w:color="000000" w:sz="4" w:space="0"/>
            </w:tcBorders>
            <w:shd w:val="clear" w:color="auto" w:fill="auto"/>
            <w:noWrap/>
            <w:vAlign w:val="center"/>
          </w:tcPr>
          <w:p w14:paraId="3911CB6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第一档</w:t>
            </w:r>
          </w:p>
        </w:tc>
        <w:tc>
          <w:tcPr>
            <w:tcW w:w="690" w:type="pct"/>
            <w:vMerge w:val="restart"/>
            <w:tcBorders>
              <w:top w:val="single" w:color="000000" w:sz="4" w:space="0"/>
              <w:left w:val="single" w:color="000000" w:sz="4" w:space="0"/>
              <w:right w:val="single" w:color="000000" w:sz="4" w:space="0"/>
            </w:tcBorders>
            <w:shd w:val="clear" w:color="auto" w:fill="auto"/>
            <w:noWrap/>
            <w:vAlign w:val="center"/>
          </w:tcPr>
          <w:p w14:paraId="4AADD8BE">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95</w:t>
            </w: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E4091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生产任务受物料、设备、技术等多因素影响；抢工、交付压力大；计划完成不确定性高</w:t>
            </w:r>
          </w:p>
        </w:tc>
      </w:tr>
      <w:tr w14:paraId="326F5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41EB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工程技术部</w:t>
            </w:r>
          </w:p>
        </w:tc>
        <w:tc>
          <w:tcPr>
            <w:tcW w:w="694" w:type="pct"/>
            <w:vMerge w:val="continue"/>
            <w:tcBorders>
              <w:left w:val="single" w:color="000000" w:sz="4" w:space="0"/>
              <w:right w:val="single" w:color="000000" w:sz="4" w:space="0"/>
            </w:tcBorders>
            <w:shd w:val="clear" w:color="auto" w:fill="auto"/>
            <w:noWrap/>
            <w:vAlign w:val="center"/>
          </w:tcPr>
          <w:p w14:paraId="32D0890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690" w:type="pct"/>
            <w:vMerge w:val="continue"/>
            <w:tcBorders>
              <w:left w:val="single" w:color="000000" w:sz="4" w:space="0"/>
              <w:right w:val="single" w:color="000000" w:sz="4" w:space="0"/>
            </w:tcBorders>
            <w:shd w:val="clear" w:color="auto" w:fill="auto"/>
            <w:noWrap/>
            <w:vAlign w:val="center"/>
          </w:tcPr>
          <w:p w14:paraId="30FA17C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7A738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技术文件编制、现场问题处置需结合生产实际动态调整；技术需求响应难度高。</w:t>
            </w:r>
          </w:p>
        </w:tc>
      </w:tr>
      <w:tr w14:paraId="227DF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3779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项目管理部</w:t>
            </w:r>
          </w:p>
        </w:tc>
        <w:tc>
          <w:tcPr>
            <w:tcW w:w="694" w:type="pct"/>
            <w:vMerge w:val="continue"/>
            <w:tcBorders>
              <w:left w:val="single" w:color="000000" w:sz="4" w:space="0"/>
              <w:bottom w:val="single" w:color="000000" w:sz="4" w:space="0"/>
              <w:right w:val="single" w:color="000000" w:sz="4" w:space="0"/>
            </w:tcBorders>
            <w:shd w:val="clear" w:color="auto" w:fill="auto"/>
            <w:noWrap/>
            <w:vAlign w:val="center"/>
          </w:tcPr>
          <w:p w14:paraId="373AE31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690" w:type="pct"/>
            <w:vMerge w:val="continue"/>
            <w:tcBorders>
              <w:left w:val="single" w:color="000000" w:sz="4" w:space="0"/>
              <w:bottom w:val="single" w:color="000000" w:sz="4" w:space="0"/>
              <w:right w:val="single" w:color="000000" w:sz="4" w:space="0"/>
            </w:tcBorders>
            <w:shd w:val="clear" w:color="auto" w:fill="auto"/>
            <w:noWrap/>
            <w:vAlign w:val="center"/>
          </w:tcPr>
          <w:p w14:paraId="2338476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D5F2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b/>
                <w:bCs/>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项目计划编制、风险管控需协调多部门，且受车间执行反馈影响大。</w:t>
            </w:r>
          </w:p>
        </w:tc>
      </w:tr>
      <w:tr w14:paraId="0860C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C612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质量管理部</w:t>
            </w:r>
          </w:p>
        </w:tc>
        <w:tc>
          <w:tcPr>
            <w:tcW w:w="694" w:type="pct"/>
            <w:vMerge w:val="restart"/>
            <w:tcBorders>
              <w:top w:val="single" w:color="000000" w:sz="4" w:space="0"/>
              <w:left w:val="single" w:color="000000" w:sz="4" w:space="0"/>
              <w:right w:val="single" w:color="000000" w:sz="4" w:space="0"/>
            </w:tcBorders>
            <w:shd w:val="clear" w:color="auto" w:fill="auto"/>
            <w:noWrap/>
            <w:vAlign w:val="center"/>
          </w:tcPr>
          <w:p w14:paraId="1418412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第二档</w:t>
            </w:r>
          </w:p>
        </w:tc>
        <w:tc>
          <w:tcPr>
            <w:tcW w:w="690" w:type="pct"/>
            <w:vMerge w:val="restart"/>
            <w:tcBorders>
              <w:top w:val="single" w:color="000000" w:sz="4" w:space="0"/>
              <w:left w:val="single" w:color="000000" w:sz="4" w:space="0"/>
              <w:right w:val="single" w:color="000000" w:sz="4" w:space="0"/>
            </w:tcBorders>
            <w:shd w:val="clear" w:color="auto" w:fill="auto"/>
            <w:noWrap/>
            <w:vAlign w:val="center"/>
          </w:tcPr>
          <w:p w14:paraId="56CBAA13">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98</w:t>
            </w: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FF9A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提检、质量问题处置依赖车间生产节奏；报废流程需跨部门协调。</w:t>
            </w:r>
          </w:p>
        </w:tc>
      </w:tr>
      <w:tr w14:paraId="3F67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7D4E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物资保障部</w:t>
            </w:r>
          </w:p>
        </w:tc>
        <w:tc>
          <w:tcPr>
            <w:tcW w:w="694" w:type="pct"/>
            <w:vMerge w:val="continue"/>
            <w:tcBorders>
              <w:left w:val="single" w:color="000000" w:sz="4" w:space="0"/>
              <w:right w:val="single" w:color="000000" w:sz="4" w:space="0"/>
            </w:tcBorders>
            <w:shd w:val="clear" w:color="auto" w:fill="auto"/>
            <w:noWrap/>
            <w:vAlign w:val="center"/>
          </w:tcPr>
          <w:p w14:paraId="3CACBE5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690" w:type="pct"/>
            <w:vMerge w:val="continue"/>
            <w:tcBorders>
              <w:left w:val="single" w:color="000000" w:sz="4" w:space="0"/>
              <w:right w:val="single" w:color="000000" w:sz="4" w:space="0"/>
            </w:tcBorders>
            <w:shd w:val="clear" w:color="auto" w:fill="auto"/>
            <w:noWrap/>
            <w:vAlign w:val="center"/>
          </w:tcPr>
          <w:p w14:paraId="1D643CA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C103F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物料、工装供应受采购周期、库存波动影响，需匹配车间生产计划。</w:t>
            </w:r>
          </w:p>
        </w:tc>
      </w:tr>
      <w:tr w14:paraId="1A1FE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318D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经营发展部</w:t>
            </w:r>
          </w:p>
        </w:tc>
        <w:tc>
          <w:tcPr>
            <w:tcW w:w="694" w:type="pct"/>
            <w:vMerge w:val="continue"/>
            <w:tcBorders>
              <w:left w:val="single" w:color="000000" w:sz="4" w:space="0"/>
              <w:right w:val="single" w:color="000000" w:sz="4" w:space="0"/>
            </w:tcBorders>
            <w:shd w:val="clear" w:color="auto" w:fill="auto"/>
            <w:noWrap/>
            <w:vAlign w:val="center"/>
          </w:tcPr>
          <w:p w14:paraId="0378E98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690" w:type="pct"/>
            <w:vMerge w:val="continue"/>
            <w:tcBorders>
              <w:left w:val="single" w:color="000000" w:sz="4" w:space="0"/>
              <w:right w:val="single" w:color="000000" w:sz="4" w:space="0"/>
            </w:tcBorders>
            <w:shd w:val="clear" w:color="auto" w:fill="auto"/>
            <w:noWrap/>
            <w:vAlign w:val="center"/>
          </w:tcPr>
          <w:p w14:paraId="36ECE5B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9F8FD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负责的订单、采购、外协需衔接车间需求，交付及时性受供应链影响。</w:t>
            </w:r>
          </w:p>
        </w:tc>
      </w:tr>
      <w:tr w14:paraId="5C938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F1719">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运维安环部</w:t>
            </w:r>
          </w:p>
        </w:tc>
        <w:tc>
          <w:tcPr>
            <w:tcW w:w="694" w:type="pct"/>
            <w:vMerge w:val="continue"/>
            <w:tcBorders>
              <w:left w:val="single" w:color="000000" w:sz="4" w:space="0"/>
              <w:bottom w:val="single" w:color="000000" w:sz="4" w:space="0"/>
              <w:right w:val="single" w:color="000000" w:sz="4" w:space="0"/>
            </w:tcBorders>
            <w:shd w:val="clear" w:color="auto" w:fill="auto"/>
            <w:noWrap/>
            <w:vAlign w:val="center"/>
          </w:tcPr>
          <w:p w14:paraId="349F766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690" w:type="pct"/>
            <w:vMerge w:val="continue"/>
            <w:tcBorders>
              <w:left w:val="single" w:color="000000" w:sz="4" w:space="0"/>
              <w:bottom w:val="single" w:color="000000" w:sz="4" w:space="0"/>
              <w:right w:val="single" w:color="000000" w:sz="4" w:space="0"/>
            </w:tcBorders>
            <w:shd w:val="clear" w:color="auto" w:fill="auto"/>
            <w:noWrap/>
            <w:vAlign w:val="center"/>
          </w:tcPr>
          <w:p w14:paraId="039B720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00F08E">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Theme="majorEastAsia" w:hAnsiTheme="majorEastAsia" w:eastAsiaTheme="majorEastAsia" w:cstheme="majorEastAsia"/>
                <w:sz w:val="24"/>
                <w:szCs w:val="24"/>
                <w:lang w:val="en-US" w:eastAsia="zh-CN"/>
              </w:rPr>
              <w:t>负责的设备维护、设备保养、工装维护、工装定检、工装返修受外部影响。</w:t>
            </w:r>
          </w:p>
        </w:tc>
      </w:tr>
      <w:tr w14:paraId="367CF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9"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D4F6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行政人事部</w:t>
            </w:r>
          </w:p>
        </w:tc>
        <w:tc>
          <w:tcPr>
            <w:tcW w:w="6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7A5A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第三档</w:t>
            </w:r>
          </w:p>
        </w:tc>
        <w:tc>
          <w:tcPr>
            <w:tcW w:w="69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B790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100</w:t>
            </w: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2EFD8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工作内容标准化程度高（如人事考勤）；受外部因素影响小；核心职责为内部服务支撑，目标清晰、可控性强。</w:t>
            </w:r>
          </w:p>
        </w:tc>
      </w:tr>
      <w:tr w14:paraId="67E35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jc w:val="center"/>
        </w:trPr>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9FEC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财务部</w:t>
            </w:r>
          </w:p>
        </w:tc>
        <w:tc>
          <w:tcPr>
            <w:tcW w:w="6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6141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69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8BEA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2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99E73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工作内容标准化程度高（如财务核算、体系搭建）；受外部因素影响小；核心职责为内部服务支撑，目标清晰、可控性强。</w:t>
            </w:r>
          </w:p>
        </w:tc>
      </w:tr>
    </w:tbl>
    <w:p w14:paraId="0B1E2E06">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当该部门综合得分高于其考核基数时，将对该部门予以绩效奖励，每超1分增加1%的绩效，绩效最高可增加10%；该部门综合得分低于其考核基数时，则依据实际得分情况执行相应的扣罚。</w:t>
      </w:r>
    </w:p>
    <w:p w14:paraId="61221207">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当月领导同意调整的任务不纳入该月考核范围。</w:t>
      </w:r>
    </w:p>
    <w:p w14:paraId="017E6521">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针对复材车间已完工、但相关验收的单据未签字，若复材车间主动提交书面申请，明确承诺一周内完成回单签字补齐流程，由生产副总经理及总经理审批同意，则该部分零件产值以及生产进度可纳入当月考核，注：所有零件只能调整一次，若未按承诺期限提交回单，该部分零件不予再次调整。</w:t>
      </w:r>
    </w:p>
    <w:p w14:paraId="017DD984">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考核主要目的是生产产值达成目标，当刚性产值达到目标，项目管理维度60%权重不做考核，每高于刚性目标100万，所有部门绩效系数增加0.05；经营维度40%权重正常考核。若遇到生产进度完成率小于生产产值完成率的情况，可统一按照产值完成率计算各部门考核得分；若产值完成率小于生产进度完成率，则不适用。</w:t>
      </w:r>
    </w:p>
    <w:p w14:paraId="048D474F">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5.4.6月度任务权重分配：项目管理维度打分以及经营维度打分在考核体系中的整体权重占比为6:4。各项任务得分需乘以对应的权重占比，得出的结果之和即为最终得分。</w:t>
      </w:r>
    </w:p>
    <w:p w14:paraId="66FD165C">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5.4.7各部门月度得分=Σ项目管理维度打分×60%+Σ经营维度打分×40%</w:t>
      </w:r>
    </w:p>
    <w:p w14:paraId="13425EB7">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default"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5.4.8各部门绩效计算办法：</w:t>
      </w:r>
    </w:p>
    <w:p w14:paraId="2404165D">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复材车间、项目管理部、工程技术部绩效工资=绩效工资×（部门月度综合得分+5）×100%</w:t>
      </w:r>
    </w:p>
    <w:p w14:paraId="1BE327A7">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物资保障部、质量管理部、经营发展部绩效工资=绩效工资×（部门月度综合得分+2）×100%</w:t>
      </w:r>
    </w:p>
    <w:p w14:paraId="6475CA9A">
      <w:pPr>
        <w:keepNext w:val="0"/>
        <w:keepLines w:val="0"/>
        <w:pageBreakBefore w:val="0"/>
        <w:widowControl w:val="0"/>
        <w:kinsoku/>
        <w:wordWrap/>
        <w:overflowPunct/>
        <w:topLinePunct w:val="0"/>
        <w:autoSpaceDE/>
        <w:autoSpaceDN/>
        <w:bidi w:val="0"/>
        <w:adjustRightInd/>
        <w:snapToGrid/>
        <w:spacing w:after="0" w:line="440" w:lineRule="exact"/>
        <w:ind w:firstLine="560" w:firstLineChars="200"/>
        <w:jc w:val="both"/>
        <w:textAlignment w:val="auto"/>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Theme="minorEastAsia" w:cstheme="minorEastAsia"/>
          <w:snapToGrid/>
          <w:kern w:val="2"/>
          <w:sz w:val="28"/>
          <w:szCs w:val="28"/>
          <w:lang w:val="en-US" w:eastAsia="zh-CN"/>
        </w:rPr>
        <w:t>行政人事部、财务部绩效工资=绩效工资×部门月度综合得分×100%</w:t>
      </w:r>
    </w:p>
    <w:p w14:paraId="2CF1848C">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jc w:val="left"/>
        <w:textAlignment w:val="auto"/>
        <w:rPr>
          <w:rFonts w:hint="eastAsia" w:ascii="Times New Roman" w:hAnsi="Times New Roman" w:eastAsia="宋体" w:cs="Times New Roman"/>
          <w:snapToGrid/>
          <w:kern w:val="0"/>
          <w:sz w:val="28"/>
          <w:szCs w:val="22"/>
          <w:lang w:val="en-US" w:eastAsia="zh-CN" w:bidi="ar-SA"/>
        </w:rPr>
      </w:pPr>
      <w:r>
        <w:rPr>
          <w:rFonts w:hint="eastAsia" w:ascii="Times New Roman" w:hAnsi="Times New Roman" w:eastAsia="黑体" w:cs="黑体"/>
          <w:b w:val="0"/>
          <w:bCs w:val="0"/>
          <w:sz w:val="28"/>
          <w:highlight w:val="none"/>
          <w:lang w:val="en-US" w:eastAsia="zh-CN"/>
        </w:rPr>
        <w:t>6 流程</w:t>
      </w:r>
    </w:p>
    <w:p w14:paraId="1304C8E8">
      <w:pPr>
        <w:widowControl w:val="0"/>
        <w:numPr>
          <w:ilvl w:val="0"/>
          <w:numId w:val="0"/>
        </w:numPr>
        <w:kinsoku/>
        <w:autoSpaceDE/>
        <w:autoSpaceDN/>
        <w:adjustRightInd/>
        <w:snapToGrid/>
        <w:spacing w:after="0" w:line="240" w:lineRule="auto"/>
        <w:jc w:val="both"/>
        <w:textAlignment w:val="auto"/>
        <w:rPr>
          <w:rFonts w:hint="eastAsia" w:asciiTheme="minorHAnsi" w:hAnsiTheme="minorHAnsi" w:eastAsiaTheme="minorEastAsia" w:cstheme="minorBidi"/>
          <w:snapToGrid/>
          <w:kern w:val="2"/>
          <w:sz w:val="28"/>
          <w:szCs w:val="24"/>
          <w:highlight w:val="none"/>
          <w:lang w:val="en-US" w:eastAsia="zh-CN"/>
        </w:rPr>
      </w:pPr>
      <w:r>
        <w:rPr>
          <w:rFonts w:hint="eastAsia" w:asciiTheme="minorHAnsi" w:hAnsiTheme="minorHAnsi" w:eastAsiaTheme="minorEastAsia" w:cstheme="minorBidi"/>
          <w:snapToGrid/>
          <w:kern w:val="2"/>
          <w:sz w:val="28"/>
          <w:szCs w:val="24"/>
          <w:highlight w:val="none"/>
          <w:lang w:val="en-US" w:eastAsia="zh-CN"/>
        </w:rPr>
        <w:t>月度综合打分表编制流程：</w:t>
      </w:r>
    </w:p>
    <w:p w14:paraId="430DFE9E">
      <w:pPr>
        <w:spacing w:line="360" w:lineRule="auto"/>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object>
          <v:shape id="_x0000_i1025" o:spt="75" type="#_x0000_t75" style="height:142.45pt;width:415.25pt;" o:ole="t" filled="f" o:preferrelative="t" stroked="f" coordsize="21600,21600">
            <v:path/>
            <v:fill on="f" focussize="0,0"/>
            <v:stroke on="f"/>
            <v:imagedata r:id="rId8" o:title=""/>
            <o:lock v:ext="edit" aspectratio="f"/>
            <w10:wrap type="none"/>
            <w10:anchorlock/>
          </v:shape>
          <o:OLEObject Type="Embed" ProgID="Visio.Drawing.15" ShapeID="_x0000_i1025" DrawAspect="Content" ObjectID="_1468075725" r:id="rId7">
            <o:LockedField>false</o:LockedField>
          </o:OLEObject>
        </w:object>
      </w:r>
    </w:p>
    <w:p w14:paraId="4B94F221">
      <w:pPr>
        <w:widowControl w:val="0"/>
        <w:numPr>
          <w:ilvl w:val="0"/>
          <w:numId w:val="0"/>
        </w:numPr>
        <w:kinsoku/>
        <w:autoSpaceDE/>
        <w:autoSpaceDN/>
        <w:adjustRightInd/>
        <w:snapToGrid/>
        <w:spacing w:after="0" w:line="240" w:lineRule="auto"/>
        <w:jc w:val="both"/>
        <w:textAlignment w:val="auto"/>
        <w:rPr>
          <w:rFonts w:hint="eastAsia" w:asciiTheme="minorHAnsi" w:hAnsiTheme="minorHAnsi" w:eastAsiaTheme="minorEastAsia" w:cstheme="minorBidi"/>
          <w:snapToGrid/>
          <w:kern w:val="2"/>
          <w:sz w:val="28"/>
          <w:szCs w:val="24"/>
          <w:highlight w:val="none"/>
          <w:lang w:val="en-US" w:eastAsia="zh-CN"/>
        </w:rPr>
      </w:pPr>
      <w:r>
        <w:rPr>
          <w:rFonts w:hint="eastAsia" w:asciiTheme="minorHAnsi" w:hAnsiTheme="minorHAnsi" w:eastAsiaTheme="minorEastAsia" w:cstheme="minorBidi"/>
          <w:snapToGrid/>
          <w:kern w:val="2"/>
          <w:sz w:val="28"/>
          <w:szCs w:val="24"/>
          <w:highlight w:val="none"/>
          <w:lang w:val="en-US" w:eastAsia="zh-CN"/>
        </w:rPr>
        <w:t>月度任务调整流程：</w:t>
      </w:r>
    </w:p>
    <w:p w14:paraId="5A492C9E">
      <w:pPr>
        <w:spacing w:line="360" w:lineRule="auto"/>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object>
          <v:shape id="_x0000_i1026" o:spt="75" type="#_x0000_t75" style="height:214.8pt;width:339.6pt;" o:ole="t" filled="f" o:preferrelative="t" stroked="f" coordsize="21600,21600">
            <v:path/>
            <v:fill on="f" focussize="0,0"/>
            <v:stroke on="f"/>
            <v:imagedata r:id="rId10" o:title=""/>
            <o:lock v:ext="edit" aspectratio="f"/>
            <w10:wrap type="none"/>
            <w10:anchorlock/>
          </v:shape>
          <o:OLEObject Type="Embed" ProgID="Visio.Drawing.15" ShapeID="_x0000_i1026" DrawAspect="Content" ObjectID="_1468075726" r:id="rId9">
            <o:LockedField>false</o:LockedField>
          </o:OLEObject>
        </w:object>
      </w:r>
    </w:p>
    <w:p w14:paraId="6EFC8F1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7 记录表格</w:t>
      </w:r>
    </w:p>
    <w:p w14:paraId="14C7075C">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GLTX-JY-05-01-A__部第__月工作任务调整申请单，供任务责任部门在无法按时完成当月工作任务时，申请调整任务期限所用，需填写申请原因、情况说明等内容，并经相关领导审批。</w:t>
      </w:r>
    </w:p>
    <w:p w14:paraId="63F86A64">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GLTX-JY-05-02-A公司__月综合打分表，用于记录公司各部门每月综合详细得分及扣分原因说明。</w:t>
      </w:r>
    </w:p>
    <w:p w14:paraId="7A6253F9">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GLTX-JY-05-03-A未完成任务明细表，用于统计由于外部因素导致复材车间任务未完成原因</w:t>
      </w:r>
    </w:p>
    <w:p w14:paraId="7951512A">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default"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GLTX-JY-05-04-A公司级会议任务清单，用于各部门组织会议下发的公司级任务，在系统上进行任务下发。</w:t>
      </w:r>
    </w:p>
    <w:p w14:paraId="132847D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Times New Roman" w:hAnsi="Times New Roman" w:eastAsia="黑体" w:cs="Times New Roman"/>
          <w:bCs/>
          <w:kern w:val="44"/>
          <w:sz w:val="28"/>
          <w:szCs w:val="44"/>
          <w:lang w:val="en-US" w:eastAsia="zh-CN" w:bidi="ar-SA"/>
        </w:rPr>
      </w:pPr>
      <w:r>
        <w:rPr>
          <w:rFonts w:hint="eastAsia" w:ascii="Times New Roman" w:hAnsi="Times New Roman" w:eastAsia="黑体" w:cs="Times New Roman"/>
          <w:bCs/>
          <w:kern w:val="44"/>
          <w:sz w:val="28"/>
          <w:szCs w:val="44"/>
          <w:lang w:val="en-US" w:eastAsia="zh-CN" w:bidi="ar-SA"/>
        </w:rPr>
        <w:t>8 记录控制</w:t>
      </w:r>
    </w:p>
    <w:p w14:paraId="02B19D38">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经营发展部__月打分表》《项目管理部__月打分表》《公司__月综合打分表》由经营发展部负责保存，保存期限为自计划执行完成之日起3年。保存期间，应确保记录的完整性和准确性，便于随时查阅和追溯工作进展情况。</w:t>
      </w:r>
    </w:p>
    <w:p w14:paraId="4892C595">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调整申请记录：《__部第__月工作任务调整申请单》由行政人事部负责归档保存，保存期限同样为3年。所有调整申请记录应按照时间顺序和任务类别进行分类整理，方便查询和统计任务调整情况。</w:t>
      </w:r>
    </w:p>
    <w:p w14:paraId="347380E1">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r>
        <w:rPr>
          <w:rFonts w:hint="eastAsia" w:ascii="Times New Roman" w:hAnsi="Times New Roman" w:eastAsia="宋体" w:cstheme="majorEastAsia"/>
          <w:b w:val="0"/>
          <w:bCs w:val="0"/>
          <w:snapToGrid/>
          <w:kern w:val="2"/>
          <w:sz w:val="28"/>
          <w:szCs w:val="24"/>
          <w:highlight w:val="none"/>
          <w:lang w:val="en-US" w:eastAsia="zh-CN"/>
        </w:rPr>
        <w:t>考核记录：各部门每月的考核结果记录由行政人事部负责保存，保存期限为5年。考核记录应详细记录各部门的各项任务完成情况、考核得分、考核结果应用等信息，作为部门全年打分的重要依据。</w:t>
      </w:r>
    </w:p>
    <w:p w14:paraId="6EC3362D">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pPr>
    </w:p>
    <w:p w14:paraId="1892DE0F">
      <w:pPr>
        <w:keepNext w:val="0"/>
        <w:keepLines w:val="0"/>
        <w:pageBreakBefore w:val="0"/>
        <w:widowControl w:val="0"/>
        <w:numPr>
          <w:ilvl w:val="0"/>
          <w:numId w:val="0"/>
        </w:numPr>
        <w:kinsoku/>
        <w:wordWrap/>
        <w:overflowPunct/>
        <w:topLinePunct w:val="0"/>
        <w:autoSpaceDE/>
        <w:autoSpaceDN/>
        <w:bidi w:val="0"/>
        <w:adjustRightInd/>
        <w:snapToGrid/>
        <w:spacing w:after="0" w:line="440" w:lineRule="exact"/>
        <w:ind w:firstLine="560" w:firstLineChars="200"/>
        <w:jc w:val="left"/>
        <w:textAlignment w:val="auto"/>
        <w:rPr>
          <w:rFonts w:hint="eastAsia" w:ascii="Times New Roman" w:hAnsi="Times New Roman" w:eastAsia="宋体" w:cstheme="majorEastAsia"/>
          <w:b w:val="0"/>
          <w:bCs w:val="0"/>
          <w:snapToGrid/>
          <w:kern w:val="2"/>
          <w:sz w:val="28"/>
          <w:szCs w:val="24"/>
          <w:highlight w:val="none"/>
          <w:lang w:val="en-US" w:eastAsia="zh-CN"/>
        </w:rPr>
        <w:sectPr>
          <w:footerReference r:id="rId5" w:type="default"/>
          <w:pgSz w:w="11906" w:h="16838"/>
          <w:pgMar w:top="1440" w:right="1800" w:bottom="1440" w:left="1800" w:header="851" w:footer="992" w:gutter="0"/>
          <w:pgNumType w:fmt="numberInDash" w:start="1"/>
          <w:cols w:space="425" w:num="1"/>
          <w:docGrid w:type="lines" w:linePitch="312" w:charSpace="0"/>
        </w:sectPr>
      </w:pPr>
    </w:p>
    <w:p w14:paraId="7076C65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40" w:lineRule="auto"/>
        <w:jc w:val="left"/>
        <w:textAlignment w:val="auto"/>
        <w:rPr>
          <w:rFonts w:hint="default" w:ascii="Times New Roman" w:hAnsi="Times New Roman" w:eastAsia="黑体" w:cs="Times New Roman"/>
          <w:b w:val="0"/>
          <w:bCs w:val="0"/>
          <w:snapToGrid/>
          <w:kern w:val="2"/>
          <w:sz w:val="28"/>
          <w:szCs w:val="28"/>
          <w:highlight w:val="none"/>
          <w:lang w:val="en-US" w:eastAsia="zh-CN"/>
        </w:rPr>
      </w:pPr>
      <w:r>
        <w:rPr>
          <w:rFonts w:hint="default" w:ascii="Times New Roman" w:hAnsi="Times New Roman" w:eastAsia="宋体" w:cstheme="majorEastAsia"/>
          <w:b w:val="0"/>
          <w:bCs w:val="0"/>
          <w:snapToGrid/>
          <w:kern w:val="2"/>
          <w:sz w:val="28"/>
          <w:szCs w:val="24"/>
          <w:highlight w:val="none"/>
          <w:lang w:val="en-US" w:eastAsia="zh-CN"/>
        </w:rPr>
        <w:t>GLTX-JY-05-01-A_部第_月工作任务调整申请单</w:t>
      </w:r>
    </w:p>
    <w:p w14:paraId="02CF603B">
      <w:pPr>
        <w:spacing w:line="360" w:lineRule="auto"/>
        <w:jc w:val="center"/>
        <w:rPr>
          <w:rFonts w:eastAsia="宋体"/>
          <w:b/>
          <w:bCs/>
          <w:sz w:val="28"/>
          <w:u w:val="single"/>
          <w:lang w:eastAsia="zh-CN"/>
        </w:rPr>
      </w:pPr>
      <w:r>
        <w:rPr>
          <w:rFonts w:hint="eastAsia" w:ascii="黑体" w:hAnsi="黑体" w:eastAsia="黑体" w:cs="黑体"/>
          <w:b w:val="0"/>
          <w:bCs w:val="0"/>
          <w:snapToGrid/>
          <w:kern w:val="2"/>
          <w:sz w:val="28"/>
          <w:szCs w:val="28"/>
          <w:u w:val="single"/>
          <w:vertAlign w:val="baseline"/>
          <w:lang w:val="en-US" w:eastAsia="zh-CN"/>
        </w:rPr>
        <w:t xml:space="preserve">              </w:t>
      </w:r>
      <w:r>
        <w:rPr>
          <w:rFonts w:hint="eastAsia" w:ascii="黑体" w:hAnsi="黑体" w:eastAsia="黑体" w:cs="黑体"/>
          <w:b w:val="0"/>
          <w:bCs w:val="0"/>
          <w:snapToGrid/>
          <w:kern w:val="2"/>
          <w:sz w:val="28"/>
          <w:szCs w:val="28"/>
          <w:vertAlign w:val="baseline"/>
          <w:lang w:val="en-US" w:eastAsia="zh-CN"/>
        </w:rPr>
        <w:t>部第</w:t>
      </w:r>
      <w:r>
        <w:rPr>
          <w:rFonts w:hint="eastAsia" w:ascii="黑体" w:hAnsi="黑体" w:eastAsia="黑体" w:cs="黑体"/>
          <w:b w:val="0"/>
          <w:bCs w:val="0"/>
          <w:snapToGrid/>
          <w:kern w:val="2"/>
          <w:sz w:val="28"/>
          <w:szCs w:val="28"/>
          <w:u w:val="single"/>
          <w:vertAlign w:val="baseline"/>
          <w:lang w:val="en-US" w:eastAsia="zh-CN"/>
        </w:rPr>
        <w:t xml:space="preserve">   </w:t>
      </w:r>
      <w:r>
        <w:rPr>
          <w:rFonts w:hint="eastAsia" w:ascii="黑体" w:hAnsi="黑体" w:eastAsia="黑体" w:cs="黑体"/>
          <w:b w:val="0"/>
          <w:bCs w:val="0"/>
          <w:snapToGrid/>
          <w:kern w:val="2"/>
          <w:sz w:val="28"/>
          <w:szCs w:val="28"/>
          <w:vertAlign w:val="baseline"/>
          <w:lang w:val="en-US" w:eastAsia="zh-CN"/>
        </w:rPr>
        <w:t>月工作任务调整申请单</w:t>
      </w:r>
    </w:p>
    <w:tbl>
      <w:tblPr>
        <w:tblStyle w:val="6"/>
        <w:tblW w:w="9427" w:type="dxa"/>
        <w:jc w:val="center"/>
        <w:tblLayout w:type="fixed"/>
        <w:tblCellMar>
          <w:top w:w="0" w:type="dxa"/>
          <w:left w:w="108" w:type="dxa"/>
          <w:bottom w:w="0" w:type="dxa"/>
          <w:right w:w="108" w:type="dxa"/>
        </w:tblCellMar>
      </w:tblPr>
      <w:tblGrid>
        <w:gridCol w:w="1725"/>
        <w:gridCol w:w="960"/>
        <w:gridCol w:w="1987"/>
        <w:gridCol w:w="225"/>
        <w:gridCol w:w="1554"/>
        <w:gridCol w:w="2976"/>
      </w:tblGrid>
      <w:tr w14:paraId="73FBE0D9">
        <w:tblPrEx>
          <w:tblCellMar>
            <w:top w:w="0" w:type="dxa"/>
            <w:left w:w="108" w:type="dxa"/>
            <w:bottom w:w="0" w:type="dxa"/>
            <w:right w:w="108" w:type="dxa"/>
          </w:tblCellMar>
        </w:tblPrEx>
        <w:trPr>
          <w:trHeight w:val="398" w:hRule="atLeast"/>
          <w:jc w:val="center"/>
        </w:trPr>
        <w:tc>
          <w:tcPr>
            <w:tcW w:w="9427" w:type="dxa"/>
            <w:gridSpan w:val="6"/>
            <w:tcBorders>
              <w:top w:val="single" w:color="000000" w:sz="4" w:space="0"/>
              <w:left w:val="single" w:color="000000" w:sz="4" w:space="0"/>
              <w:bottom w:val="single" w:color="000000" w:sz="4" w:space="0"/>
              <w:right w:val="single" w:color="000000" w:sz="4" w:space="0"/>
            </w:tcBorders>
            <w:noWrap/>
            <w:vAlign w:val="center"/>
          </w:tcPr>
          <w:p w14:paraId="42F915D5">
            <w:pPr>
              <w:keepNext w:val="0"/>
              <w:keepLines w:val="0"/>
              <w:pageBreakBefore w:val="0"/>
              <w:wordWrap/>
              <w:overflowPunct/>
              <w:topLinePunct w:val="0"/>
              <w:bidi w:val="0"/>
              <w:spacing w:after="0"/>
              <w:jc w:val="center"/>
              <w:textAlignment w:val="center"/>
              <w:rPr>
                <w:rFonts w:hint="eastAsia" w:ascii="宋体" w:hAnsi="宋体" w:eastAsia="宋体" w:cs="宋体"/>
                <w:sz w:val="24"/>
                <w:szCs w:val="24"/>
                <w:lang w:eastAsia="zh-CN"/>
              </w:rPr>
            </w:pPr>
            <w:r>
              <w:rPr>
                <w:rFonts w:hint="eastAsia" w:ascii="黑体" w:hAnsi="黑体" w:eastAsia="黑体" w:cs="黑体"/>
                <w:b w:val="0"/>
                <w:bCs w:val="0"/>
                <w:snapToGrid/>
                <w:kern w:val="2"/>
                <w:sz w:val="28"/>
                <w:szCs w:val="28"/>
                <w:u w:val="single"/>
                <w:vertAlign w:val="baseline"/>
                <w:lang w:val="en-US" w:eastAsia="zh-CN"/>
              </w:rPr>
              <w:t xml:space="preserve">   </w:t>
            </w:r>
            <w:r>
              <w:rPr>
                <w:rFonts w:hint="eastAsia" w:ascii="黑体" w:hAnsi="黑体" w:eastAsia="黑体" w:cs="黑体"/>
                <w:b w:val="0"/>
                <w:bCs w:val="0"/>
                <w:snapToGrid/>
                <w:kern w:val="2"/>
                <w:sz w:val="28"/>
                <w:szCs w:val="28"/>
                <w:vertAlign w:val="baseline"/>
                <w:lang w:val="en-US" w:eastAsia="zh-CN"/>
              </w:rPr>
              <w:t>部第_月工作任务调整申请单</w:t>
            </w:r>
          </w:p>
        </w:tc>
      </w:tr>
      <w:tr w14:paraId="48FB3CFA">
        <w:tblPrEx>
          <w:tblCellMar>
            <w:top w:w="0" w:type="dxa"/>
            <w:left w:w="108" w:type="dxa"/>
            <w:bottom w:w="0" w:type="dxa"/>
            <w:right w:w="108" w:type="dxa"/>
          </w:tblCellMar>
        </w:tblPrEx>
        <w:trPr>
          <w:trHeight w:val="621"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6E2F0AF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部门及责任人</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385EEE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c>
          <w:tcPr>
            <w:tcW w:w="2212" w:type="dxa"/>
            <w:gridSpan w:val="2"/>
            <w:tcBorders>
              <w:top w:val="single" w:color="000000" w:sz="4" w:space="0"/>
              <w:left w:val="single" w:color="000000" w:sz="4" w:space="0"/>
              <w:bottom w:val="single" w:color="000000" w:sz="4" w:space="0"/>
              <w:right w:val="single" w:color="000000" w:sz="4" w:space="0"/>
            </w:tcBorders>
            <w:noWrap/>
            <w:vAlign w:val="center"/>
          </w:tcPr>
          <w:p w14:paraId="3CA41F2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任务类型</w:t>
            </w:r>
          </w:p>
        </w:tc>
        <w:tc>
          <w:tcPr>
            <w:tcW w:w="4530" w:type="dxa"/>
            <w:gridSpan w:val="2"/>
            <w:tcBorders>
              <w:top w:val="single" w:color="000000" w:sz="4" w:space="0"/>
              <w:left w:val="single" w:color="000000" w:sz="4" w:space="0"/>
              <w:bottom w:val="single" w:color="000000" w:sz="4" w:space="0"/>
              <w:right w:val="single" w:color="000000" w:sz="4" w:space="0"/>
            </w:tcBorders>
            <w:noWrap/>
            <w:vAlign w:val="center"/>
          </w:tcPr>
          <w:p w14:paraId="13ACA26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r w14:paraId="4E922D12">
        <w:tblPrEx>
          <w:tblCellMar>
            <w:top w:w="0" w:type="dxa"/>
            <w:left w:w="108" w:type="dxa"/>
            <w:bottom w:w="0" w:type="dxa"/>
            <w:right w:w="108" w:type="dxa"/>
          </w:tblCellMar>
        </w:tblPrEx>
        <w:trPr>
          <w:trHeight w:val="668"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068E472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计划完成日期</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ADEC57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c>
          <w:tcPr>
            <w:tcW w:w="2212" w:type="dxa"/>
            <w:gridSpan w:val="2"/>
            <w:tcBorders>
              <w:top w:val="single" w:color="000000" w:sz="4" w:space="0"/>
              <w:left w:val="single" w:color="000000" w:sz="4" w:space="0"/>
              <w:bottom w:val="single" w:color="000000" w:sz="4" w:space="0"/>
              <w:right w:val="single" w:color="000000" w:sz="4" w:space="0"/>
            </w:tcBorders>
            <w:noWrap/>
            <w:vAlign w:val="center"/>
          </w:tcPr>
          <w:p w14:paraId="0CD82BB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申请完成日期</w:t>
            </w:r>
          </w:p>
        </w:tc>
        <w:tc>
          <w:tcPr>
            <w:tcW w:w="4530" w:type="dxa"/>
            <w:gridSpan w:val="2"/>
            <w:tcBorders>
              <w:top w:val="single" w:color="000000" w:sz="4" w:space="0"/>
              <w:left w:val="single" w:color="000000" w:sz="4" w:space="0"/>
              <w:bottom w:val="single" w:color="000000" w:sz="4" w:space="0"/>
              <w:right w:val="single" w:color="000000" w:sz="4" w:space="0"/>
            </w:tcBorders>
            <w:noWrap/>
            <w:vAlign w:val="center"/>
          </w:tcPr>
          <w:p w14:paraId="4DC82EE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r w14:paraId="7310BC5F">
        <w:tblPrEx>
          <w:tblCellMar>
            <w:top w:w="0" w:type="dxa"/>
            <w:left w:w="108" w:type="dxa"/>
            <w:bottom w:w="0" w:type="dxa"/>
            <w:right w:w="108" w:type="dxa"/>
          </w:tblCellMar>
        </w:tblPrEx>
        <w:trPr>
          <w:trHeight w:val="739"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2CDDD41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工作内容</w:t>
            </w:r>
          </w:p>
        </w:tc>
        <w:tc>
          <w:tcPr>
            <w:tcW w:w="7702" w:type="dxa"/>
            <w:gridSpan w:val="5"/>
            <w:tcBorders>
              <w:top w:val="single" w:color="000000" w:sz="4" w:space="0"/>
              <w:left w:val="single" w:color="000000" w:sz="4" w:space="0"/>
              <w:bottom w:val="single" w:color="000000" w:sz="4" w:space="0"/>
              <w:right w:val="single" w:color="000000" w:sz="4" w:space="0"/>
            </w:tcBorders>
            <w:noWrap/>
            <w:vAlign w:val="center"/>
          </w:tcPr>
          <w:p w14:paraId="5BDBF3A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r w14:paraId="38B22522">
        <w:tblPrEx>
          <w:tblCellMar>
            <w:top w:w="0" w:type="dxa"/>
            <w:left w:w="108" w:type="dxa"/>
            <w:bottom w:w="0" w:type="dxa"/>
            <w:right w:w="108" w:type="dxa"/>
          </w:tblCellMar>
        </w:tblPrEx>
        <w:trPr>
          <w:trHeight w:val="714"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363AABA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原因类别</w:t>
            </w:r>
          </w:p>
        </w:tc>
        <w:tc>
          <w:tcPr>
            <w:tcW w:w="7702" w:type="dxa"/>
            <w:gridSpan w:val="5"/>
            <w:tcBorders>
              <w:top w:val="single" w:color="000000" w:sz="4" w:space="0"/>
              <w:left w:val="single" w:color="000000" w:sz="4" w:space="0"/>
              <w:bottom w:val="single" w:color="000000" w:sz="4" w:space="0"/>
              <w:right w:val="single" w:color="000000" w:sz="4" w:space="0"/>
            </w:tcBorders>
            <w:noWrap/>
            <w:vAlign w:val="center"/>
          </w:tcPr>
          <w:p w14:paraId="22BCDB4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主观原因()    客观原因()</w:t>
            </w:r>
          </w:p>
        </w:tc>
      </w:tr>
      <w:tr w14:paraId="0D52B831">
        <w:tblPrEx>
          <w:tblCellMar>
            <w:top w:w="0" w:type="dxa"/>
            <w:left w:w="108" w:type="dxa"/>
            <w:bottom w:w="0" w:type="dxa"/>
            <w:right w:w="108" w:type="dxa"/>
          </w:tblCellMar>
        </w:tblPrEx>
        <w:trPr>
          <w:trHeight w:val="621"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7C12F8B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情况说明</w:t>
            </w:r>
          </w:p>
        </w:tc>
        <w:tc>
          <w:tcPr>
            <w:tcW w:w="7702" w:type="dxa"/>
            <w:gridSpan w:val="5"/>
            <w:tcBorders>
              <w:top w:val="single" w:color="000000" w:sz="4" w:space="0"/>
              <w:left w:val="single" w:color="000000" w:sz="4" w:space="0"/>
              <w:bottom w:val="single" w:color="000000" w:sz="4" w:space="0"/>
              <w:right w:val="single" w:color="000000" w:sz="4" w:space="0"/>
            </w:tcBorders>
            <w:noWrap/>
            <w:vAlign w:val="center"/>
          </w:tcPr>
          <w:p w14:paraId="7BC0E8F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75A5F2A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7A0F395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55486D1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189E32E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3B9D9AF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131BFAC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0F9BACF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5C8C92C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r w14:paraId="1B015D3C">
        <w:tblPrEx>
          <w:tblCellMar>
            <w:top w:w="0" w:type="dxa"/>
            <w:left w:w="108" w:type="dxa"/>
            <w:bottom w:w="0" w:type="dxa"/>
            <w:right w:w="108" w:type="dxa"/>
          </w:tblCellMar>
        </w:tblPrEx>
        <w:trPr>
          <w:trHeight w:val="798"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25A651A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编制</w:t>
            </w:r>
          </w:p>
        </w:tc>
        <w:tc>
          <w:tcPr>
            <w:tcW w:w="2947" w:type="dxa"/>
            <w:gridSpan w:val="2"/>
            <w:tcBorders>
              <w:top w:val="single" w:color="000000" w:sz="4" w:space="0"/>
              <w:left w:val="single" w:color="000000" w:sz="4" w:space="0"/>
              <w:bottom w:val="single" w:color="000000" w:sz="4" w:space="0"/>
              <w:right w:val="single" w:color="000000" w:sz="4" w:space="0"/>
            </w:tcBorders>
            <w:noWrap/>
            <w:vAlign w:val="center"/>
          </w:tcPr>
          <w:p w14:paraId="4E9214C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c>
          <w:tcPr>
            <w:tcW w:w="1779" w:type="dxa"/>
            <w:gridSpan w:val="2"/>
            <w:tcBorders>
              <w:top w:val="single" w:color="000000" w:sz="4" w:space="0"/>
              <w:left w:val="single" w:color="000000" w:sz="4" w:space="0"/>
              <w:bottom w:val="single" w:color="000000" w:sz="4" w:space="0"/>
              <w:right w:val="single" w:color="000000" w:sz="4" w:space="0"/>
            </w:tcBorders>
            <w:noWrap/>
            <w:vAlign w:val="center"/>
          </w:tcPr>
          <w:p w14:paraId="693DA7D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部门领导</w:t>
            </w:r>
          </w:p>
        </w:tc>
        <w:tc>
          <w:tcPr>
            <w:tcW w:w="2976" w:type="dxa"/>
            <w:tcBorders>
              <w:top w:val="single" w:color="000000" w:sz="4" w:space="0"/>
              <w:left w:val="single" w:color="000000" w:sz="4" w:space="0"/>
              <w:bottom w:val="single" w:color="000000" w:sz="4" w:space="0"/>
              <w:right w:val="single" w:color="000000" w:sz="4" w:space="0"/>
            </w:tcBorders>
            <w:noWrap/>
            <w:vAlign w:val="center"/>
          </w:tcPr>
          <w:p w14:paraId="0D4576D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r w14:paraId="3A8F9190">
        <w:tblPrEx>
          <w:tblCellMar>
            <w:top w:w="0" w:type="dxa"/>
            <w:left w:w="108" w:type="dxa"/>
            <w:bottom w:w="0" w:type="dxa"/>
            <w:right w:w="108" w:type="dxa"/>
          </w:tblCellMar>
        </w:tblPrEx>
        <w:trPr>
          <w:trHeight w:val="798"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60F59F0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主管部门意见</w:t>
            </w:r>
          </w:p>
        </w:tc>
        <w:tc>
          <w:tcPr>
            <w:tcW w:w="7702" w:type="dxa"/>
            <w:gridSpan w:val="5"/>
            <w:tcBorders>
              <w:top w:val="single" w:color="000000" w:sz="4" w:space="0"/>
              <w:left w:val="single" w:color="000000" w:sz="4" w:space="0"/>
              <w:bottom w:val="single" w:color="000000" w:sz="4" w:space="0"/>
              <w:right w:val="single" w:color="000000" w:sz="4" w:space="0"/>
            </w:tcBorders>
            <w:noWrap/>
            <w:vAlign w:val="center"/>
          </w:tcPr>
          <w:p w14:paraId="4959139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7065C36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6559EFF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260C10F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774BDAB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08D28FB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44B973C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227285C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3A27831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5B14C31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r w14:paraId="7AA1F1BB">
        <w:tblPrEx>
          <w:tblCellMar>
            <w:top w:w="0" w:type="dxa"/>
            <w:left w:w="108" w:type="dxa"/>
            <w:bottom w:w="0" w:type="dxa"/>
            <w:right w:w="108" w:type="dxa"/>
          </w:tblCellMar>
        </w:tblPrEx>
        <w:trPr>
          <w:trHeight w:val="798" w:hRule="atLeast"/>
          <w:jc w:val="center"/>
        </w:trPr>
        <w:tc>
          <w:tcPr>
            <w:tcW w:w="1725" w:type="dxa"/>
            <w:tcBorders>
              <w:top w:val="single" w:color="000000" w:sz="4" w:space="0"/>
              <w:left w:val="single" w:color="000000" w:sz="4" w:space="0"/>
              <w:bottom w:val="single" w:color="000000" w:sz="4" w:space="0"/>
              <w:right w:val="single" w:color="000000" w:sz="4" w:space="0"/>
            </w:tcBorders>
            <w:noWrap/>
            <w:vAlign w:val="center"/>
          </w:tcPr>
          <w:p w14:paraId="286A35F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r>
              <w:rPr>
                <w:rFonts w:hint="eastAsia" w:ascii="宋体" w:hAnsi="宋体" w:eastAsiaTheme="minorEastAsia" w:cstheme="minorBidi"/>
                <w:snapToGrid/>
                <w:kern w:val="2"/>
                <w:sz w:val="24"/>
                <w:szCs w:val="24"/>
                <w:lang w:val="en-US" w:eastAsia="zh-CN"/>
              </w:rPr>
              <w:t>分管领导意见</w:t>
            </w:r>
          </w:p>
        </w:tc>
        <w:tc>
          <w:tcPr>
            <w:tcW w:w="7702" w:type="dxa"/>
            <w:gridSpan w:val="5"/>
            <w:tcBorders>
              <w:top w:val="single" w:color="000000" w:sz="4" w:space="0"/>
              <w:left w:val="single" w:color="000000" w:sz="4" w:space="0"/>
              <w:bottom w:val="single" w:color="000000" w:sz="4" w:space="0"/>
              <w:right w:val="single" w:color="000000" w:sz="4" w:space="0"/>
            </w:tcBorders>
            <w:noWrap/>
            <w:vAlign w:val="center"/>
          </w:tcPr>
          <w:p w14:paraId="0E39416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7652ED0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0028AAD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p w14:paraId="6B20844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Theme="minorEastAsia" w:cstheme="minorBidi"/>
                <w:snapToGrid/>
                <w:kern w:val="2"/>
                <w:sz w:val="24"/>
                <w:szCs w:val="24"/>
                <w:lang w:val="en-US" w:eastAsia="zh-CN"/>
              </w:rPr>
            </w:pPr>
          </w:p>
        </w:tc>
      </w:tr>
    </w:tbl>
    <w:p w14:paraId="59196765">
      <w:pPr>
        <w:rPr>
          <w:rFonts w:hint="eastAsia" w:ascii="Times New Roman" w:hAnsi="Times New Roman" w:eastAsia="黑体" w:cstheme="minorEastAsia"/>
          <w:b w:val="0"/>
          <w:bCs w:val="0"/>
          <w:snapToGrid/>
          <w:kern w:val="2"/>
          <w:sz w:val="28"/>
          <w:szCs w:val="28"/>
          <w:lang w:val="en-US" w:eastAsia="zh-CN"/>
        </w:rPr>
        <w:sectPr>
          <w:pgSz w:w="11906" w:h="16838"/>
          <w:pgMar w:top="1440" w:right="1800" w:bottom="1440" w:left="1800" w:header="851" w:footer="992" w:gutter="0"/>
          <w:pgNumType w:fmt="numberInDash"/>
          <w:cols w:space="425" w:num="1"/>
          <w:docGrid w:type="lines" w:linePitch="312" w:charSpace="0"/>
        </w:sectPr>
      </w:pPr>
    </w:p>
    <w:p w14:paraId="3E0B75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40" w:lineRule="auto"/>
        <w:jc w:val="left"/>
        <w:textAlignment w:val="auto"/>
        <w:rPr>
          <w:rFonts w:hint="eastAsia" w:ascii="Times New Roman" w:hAnsi="Times New Roman" w:eastAsia="黑体" w:cstheme="minorEastAsia"/>
          <w:b w:val="0"/>
          <w:bCs w:val="0"/>
          <w:snapToGrid/>
          <w:kern w:val="2"/>
          <w:sz w:val="28"/>
          <w:szCs w:val="28"/>
          <w:lang w:val="en-US" w:eastAsia="zh-CN"/>
        </w:rPr>
      </w:pPr>
      <w:r>
        <w:rPr>
          <w:rFonts w:hint="eastAsia" w:ascii="Times New Roman" w:hAnsi="Times New Roman" w:eastAsia="宋体" w:cstheme="majorEastAsia"/>
          <w:b w:val="0"/>
          <w:bCs w:val="0"/>
          <w:snapToGrid/>
          <w:kern w:val="2"/>
          <w:sz w:val="28"/>
          <w:szCs w:val="24"/>
          <w:highlight w:val="none"/>
          <w:lang w:val="en-US" w:eastAsia="zh-CN"/>
        </w:rPr>
        <w:t>GLTX-JY-05-02-A公司_月综合打分表</w:t>
      </w:r>
    </w:p>
    <w:p w14:paraId="3CADAA56">
      <w:pPr>
        <w:ind w:firstLine="562" w:firstLineChars="200"/>
        <w:jc w:val="center"/>
        <w:rPr>
          <w:rFonts w:hint="eastAsia" w:ascii="宋体" w:hAnsi="宋体" w:eastAsia="宋体" w:cs="宋体"/>
          <w:sz w:val="28"/>
          <w:szCs w:val="28"/>
          <w:lang w:eastAsia="zh-CN"/>
        </w:rPr>
      </w:pPr>
      <w:r>
        <w:rPr>
          <w:rFonts w:hint="eastAsia" w:ascii="黑体" w:hAnsi="黑体" w:eastAsia="黑体" w:cs="黑体"/>
          <w:b/>
          <w:bCs/>
          <w:sz w:val="28"/>
          <w:szCs w:val="28"/>
          <w:lang w:eastAsia="zh-CN"/>
        </w:rPr>
        <w:t>公司  月综合打分表</w:t>
      </w:r>
    </w:p>
    <w:tbl>
      <w:tblPr>
        <w:tblStyle w:val="6"/>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1"/>
        <w:gridCol w:w="1635"/>
        <w:gridCol w:w="1558"/>
        <w:gridCol w:w="2216"/>
        <w:gridCol w:w="510"/>
        <w:gridCol w:w="1969"/>
        <w:gridCol w:w="2479"/>
        <w:gridCol w:w="2082"/>
        <w:gridCol w:w="963"/>
      </w:tblGrid>
      <w:tr w14:paraId="73C9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0693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序号</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2C0D2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部门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05532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项目管理维度打分</w:t>
            </w: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7958B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项目管理维度扣分说明</w:t>
            </w: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A4DCB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行动项打分</w:t>
            </w: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44FD5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重点任务打分</w:t>
            </w: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1907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经营维度扣分说明</w:t>
            </w: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3B65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总分</w:t>
            </w:r>
          </w:p>
        </w:tc>
      </w:tr>
      <w:tr w14:paraId="50319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FCAB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271A6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行政人事部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0608A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BBAC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E01ACD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542F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A9953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D9DEC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2CC1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5AAE1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F466A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经营发展部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9E2F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2EB1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195554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FB02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FCFB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23F60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5B1FE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E91FA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3</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2C63E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工程技术部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1AA0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0109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AD1A3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258A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DF27A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92739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5272F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534663">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4</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274B28">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质量管理部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5EC4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AEC3A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959CE6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B6FD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4FC2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9B36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F8FA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8F3E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5</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019FC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财务部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B9FCA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DC25A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4CE037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17CF5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D876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DBB0D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77B8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AE54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6</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A38E4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项目管理部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FFA18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2FE9C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0CB62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18779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1E997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5E7BA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6B6A6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B254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7</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D276B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物资保障部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7750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43453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F2F20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F884B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705F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4F15D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85A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258FD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8</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9C5D6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复材车间</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7DFD3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179C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CAC2E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8D6E3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2EB6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7274D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2C06F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009362">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9</w:t>
            </w: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C9995">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运维安环部</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70C8F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1A63D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845A55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E6712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516A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799F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0BB2C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9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6C7D75D">
            <w:pPr>
              <w:keepNext w:val="0"/>
              <w:keepLines w:val="0"/>
              <w:pageBreakBefore w:val="0"/>
              <w:widowControl/>
              <w:suppressLineNumbers w:val="0"/>
              <w:wordWrap/>
              <w:overflowPunct/>
              <w:topLinePunct w:val="0"/>
              <w:bidi w:val="0"/>
              <w:spacing w:after="0" w:line="240" w:lineRule="auto"/>
              <w:jc w:val="left"/>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 xml:space="preserve">编制：             </w:t>
            </w:r>
          </w:p>
        </w:tc>
        <w:tc>
          <w:tcPr>
            <w:tcW w:w="96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87CF2B">
            <w:pPr>
              <w:keepNext w:val="0"/>
              <w:keepLines w:val="0"/>
              <w:pageBreakBefore w:val="0"/>
              <w:widowControl/>
              <w:suppressLineNumbers w:val="0"/>
              <w:wordWrap/>
              <w:overflowPunct/>
              <w:topLinePunct w:val="0"/>
              <w:bidi w:val="0"/>
              <w:spacing w:after="0" w:line="240" w:lineRule="auto"/>
              <w:jc w:val="left"/>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财务核对：</w:t>
            </w:r>
          </w:p>
        </w:tc>
        <w:tc>
          <w:tcPr>
            <w:tcW w:w="2645"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40D3E27">
            <w:pPr>
              <w:keepNext w:val="0"/>
              <w:keepLines w:val="0"/>
              <w:pageBreakBefore w:val="0"/>
              <w:widowControl/>
              <w:suppressLineNumbers w:val="0"/>
              <w:wordWrap/>
              <w:overflowPunct/>
              <w:topLinePunct w:val="0"/>
              <w:bidi w:val="0"/>
              <w:spacing w:after="0" w:line="240" w:lineRule="auto"/>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分管领导审核：                 总经理批准：</w:t>
            </w:r>
          </w:p>
        </w:tc>
      </w:tr>
    </w:tbl>
    <w:p w14:paraId="304DDB26">
      <w:pPr>
        <w:rPr>
          <w:rFonts w:hint="eastAsia" w:ascii="宋体" w:hAnsi="宋体" w:eastAsia="宋体" w:cs="宋体"/>
          <w:sz w:val="28"/>
          <w:szCs w:val="28"/>
          <w:lang w:eastAsia="zh-CN"/>
        </w:rPr>
        <w:sectPr>
          <w:pgSz w:w="16838" w:h="11906" w:orient="landscape"/>
          <w:pgMar w:top="1800" w:right="1440" w:bottom="1800" w:left="1440" w:header="851" w:footer="992" w:gutter="0"/>
          <w:pgNumType w:fmt="numberInDash"/>
          <w:cols w:space="425" w:num="1"/>
          <w:docGrid w:type="lines" w:linePitch="312" w:charSpace="0"/>
        </w:sectPr>
      </w:pPr>
    </w:p>
    <w:p w14:paraId="725397ED">
      <w:pPr>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黑体" w:cstheme="minorEastAsia"/>
          <w:b w:val="0"/>
          <w:bCs w:val="0"/>
          <w:snapToGrid/>
          <w:kern w:val="2"/>
          <w:sz w:val="28"/>
          <w:szCs w:val="28"/>
          <w:lang w:val="en-US" w:eastAsia="zh-CN"/>
        </w:rPr>
        <w:t>GLTX-JY-05-03-A</w:t>
      </w:r>
      <w:r>
        <w:rPr>
          <w:rFonts w:hint="eastAsia" w:ascii="Times New Roman" w:hAnsi="Times New Roman" w:eastAsiaTheme="minorEastAsia" w:cstheme="minorEastAsia"/>
          <w:snapToGrid/>
          <w:kern w:val="2"/>
          <w:sz w:val="28"/>
          <w:szCs w:val="28"/>
          <w:lang w:val="en-US" w:eastAsia="zh-CN"/>
        </w:rPr>
        <w:t>未完成任务明细表</w:t>
      </w:r>
    </w:p>
    <w:tbl>
      <w:tblPr>
        <w:tblStyle w:val="6"/>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24"/>
        <w:gridCol w:w="1898"/>
        <w:gridCol w:w="2136"/>
        <w:gridCol w:w="2524"/>
        <w:gridCol w:w="3006"/>
        <w:gridCol w:w="2085"/>
        <w:gridCol w:w="1590"/>
      </w:tblGrid>
      <w:tr w14:paraId="3A2C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A60B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序号</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ADBB5B">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零件图号</w:t>
            </w: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CE2552">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数量</w:t>
            </w: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0BBF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未完成原因</w:t>
            </w: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048DBF">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是否属实</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0FD5EA">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是否下发行动项</w:t>
            </w: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37160">
            <w:pPr>
              <w:keepNext w:val="0"/>
              <w:keepLines w:val="0"/>
              <w:pageBreakBefore w:val="0"/>
              <w:widowControl/>
              <w:suppressLineNumbers w:val="0"/>
              <w:wordWrap/>
              <w:overflowPunct/>
              <w:topLinePunct w:val="0"/>
              <w:bidi w:val="0"/>
              <w:spacing w:after="0" w:line="240" w:lineRule="auto"/>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snapToGrid w:val="0"/>
                <w:color w:val="000000"/>
                <w:kern w:val="0"/>
                <w:sz w:val="24"/>
                <w:szCs w:val="24"/>
                <w:u w:val="none"/>
                <w:lang w:val="en-US" w:eastAsia="zh-CN" w:bidi="ar"/>
              </w:rPr>
              <w:t>扣分分数</w:t>
            </w:r>
          </w:p>
        </w:tc>
      </w:tr>
      <w:tr w14:paraId="772AA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CB1E6A">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1</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C28B29">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F0BA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1F045">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605CC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8AA1D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23F3F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A374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0C349D">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2</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47DD6C">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A85A9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E218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B7D5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C2AA88">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9F6E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370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88771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3</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60F4F5">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0D782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D1ECC">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5477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118A2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926C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7C33F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9034CE">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4</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379AE1">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4F1B93">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995E7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CC16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80D6F">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B1851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54E7E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DB48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5</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A941D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AEDF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050616">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2F9AB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1583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30920">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0BD59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3CAA6B">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6</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57AC0">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18712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544D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79FF5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C6FD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623B2">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7688D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A4FCA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7</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EB0826">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0DDD9">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E0B2D7">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EE5ACD">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A25EDE">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CD9A0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29C9D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41E304">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8</w:t>
            </w:r>
          </w:p>
        </w:tc>
        <w:tc>
          <w:tcPr>
            <w:tcW w:w="6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26D5A7">
            <w:pPr>
              <w:keepNext w:val="0"/>
              <w:keepLines w:val="0"/>
              <w:pageBreakBefore w:val="0"/>
              <w:widowControl/>
              <w:suppressLineNumbers w:val="0"/>
              <w:wordWrap/>
              <w:overflowPunct/>
              <w:topLinePunct w:val="0"/>
              <w:bidi w:val="0"/>
              <w:spacing w:after="0" w:line="240" w:lineRule="auto"/>
              <w:jc w:val="center"/>
              <w:textAlignment w:val="center"/>
              <w:rPr>
                <w:rFonts w:hint="eastAsia" w:ascii="宋体" w:hAnsi="宋体" w:eastAsia="宋体" w:cs="宋体"/>
                <w:i w:val="0"/>
                <w:iCs w:val="0"/>
                <w:color w:val="000000"/>
                <w:sz w:val="24"/>
                <w:szCs w:val="24"/>
                <w:u w:val="none"/>
              </w:rPr>
            </w:pPr>
          </w:p>
        </w:tc>
        <w:tc>
          <w:tcPr>
            <w:tcW w:w="7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561F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8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A42F4B">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10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B4341">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D33E44">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c>
          <w:tcPr>
            <w:tcW w:w="5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482E9A">
            <w:pPr>
              <w:keepNext w:val="0"/>
              <w:keepLines w:val="0"/>
              <w:pageBreakBefore w:val="0"/>
              <w:widowControl/>
              <w:wordWrap/>
              <w:overflowPunct/>
              <w:topLinePunct w:val="0"/>
              <w:bidi w:val="0"/>
              <w:spacing w:after="0" w:line="240" w:lineRule="auto"/>
              <w:jc w:val="center"/>
              <w:rPr>
                <w:rFonts w:hint="eastAsia" w:ascii="宋体" w:hAnsi="宋体" w:eastAsia="宋体" w:cs="宋体"/>
                <w:i w:val="0"/>
                <w:iCs w:val="0"/>
                <w:color w:val="000000"/>
                <w:sz w:val="24"/>
                <w:szCs w:val="24"/>
                <w:u w:val="none"/>
              </w:rPr>
            </w:pPr>
          </w:p>
        </w:tc>
      </w:tr>
      <w:tr w14:paraId="4B250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641"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98C546E">
            <w:pPr>
              <w:keepNext w:val="0"/>
              <w:keepLines w:val="0"/>
              <w:pageBreakBefore w:val="0"/>
              <w:widowControl/>
              <w:suppressLineNumbers w:val="0"/>
              <w:wordWrap/>
              <w:overflowPunct/>
              <w:topLinePunct w:val="0"/>
              <w:bidi w:val="0"/>
              <w:spacing w:after="0" w:line="240" w:lineRule="auto"/>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编制：</w:t>
            </w:r>
          </w:p>
        </w:tc>
        <w:tc>
          <w:tcPr>
            <w:tcW w:w="2358"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FB7A510">
            <w:pPr>
              <w:keepNext w:val="0"/>
              <w:keepLines w:val="0"/>
              <w:pageBreakBefore w:val="0"/>
              <w:widowControl/>
              <w:suppressLineNumbers w:val="0"/>
              <w:wordWrap/>
              <w:overflowPunct/>
              <w:topLinePunct w:val="0"/>
              <w:bidi w:val="0"/>
              <w:spacing w:after="0" w:line="240" w:lineRule="auto"/>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项目管理部核查：</w:t>
            </w:r>
          </w:p>
        </w:tc>
      </w:tr>
    </w:tbl>
    <w:p w14:paraId="67777F71">
      <w:pPr>
        <w:rPr>
          <w:rFonts w:hint="eastAsia" w:ascii="Times New Roman" w:hAnsi="Times New Roman" w:eastAsiaTheme="minorEastAsia" w:cstheme="minorEastAsia"/>
          <w:snapToGrid/>
          <w:kern w:val="2"/>
          <w:sz w:val="28"/>
          <w:szCs w:val="28"/>
          <w:lang w:val="en-US" w:eastAsia="zh-CN"/>
        </w:rPr>
        <w:sectPr>
          <w:pgSz w:w="16838" w:h="11906" w:orient="landscape"/>
          <w:pgMar w:top="1800" w:right="1440" w:bottom="1800" w:left="1440" w:header="851" w:footer="992" w:gutter="0"/>
          <w:pgNumType w:fmt="numberInDash"/>
          <w:cols w:space="425" w:num="1"/>
          <w:docGrid w:type="lines" w:linePitch="312" w:charSpace="0"/>
        </w:sectPr>
      </w:pPr>
    </w:p>
    <w:p w14:paraId="0C52A259">
      <w:pPr>
        <w:rPr>
          <w:rFonts w:hint="eastAsia" w:ascii="Times New Roman" w:hAnsi="Times New Roman" w:eastAsiaTheme="minorEastAsia" w:cstheme="minorEastAsia"/>
          <w:snapToGrid/>
          <w:kern w:val="2"/>
          <w:sz w:val="28"/>
          <w:szCs w:val="28"/>
          <w:lang w:val="en-US" w:eastAsia="zh-CN"/>
        </w:rPr>
      </w:pPr>
      <w:r>
        <w:rPr>
          <w:rFonts w:hint="eastAsia" w:ascii="Times New Roman" w:hAnsi="Times New Roman" w:eastAsia="宋体" w:cstheme="majorEastAsia"/>
          <w:b w:val="0"/>
          <w:bCs w:val="0"/>
          <w:snapToGrid/>
          <w:kern w:val="2"/>
          <w:sz w:val="28"/>
          <w:szCs w:val="24"/>
          <w:highlight w:val="none"/>
          <w:lang w:val="en-US" w:eastAsia="zh-CN"/>
        </w:rPr>
        <w:t>GLTX-JY-05-04-A公司级会议任务清单</w:t>
      </w:r>
    </w:p>
    <w:tbl>
      <w:tblPr>
        <w:tblStyle w:val="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7238"/>
        <w:gridCol w:w="2026"/>
        <w:gridCol w:w="1627"/>
        <w:gridCol w:w="1510"/>
        <w:gridCol w:w="791"/>
      </w:tblGrid>
      <w:tr w14:paraId="22EE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343" w:type="pct"/>
            <w:tcBorders>
              <w:top w:val="single" w:color="auto" w:sz="4" w:space="0"/>
              <w:left w:val="single" w:color="auto" w:sz="4" w:space="0"/>
              <w:bottom w:val="single" w:color="auto" w:sz="4" w:space="0"/>
              <w:right w:val="single" w:color="auto" w:sz="4" w:space="0"/>
            </w:tcBorders>
            <w:shd w:val="clear" w:color="auto" w:fill="auto"/>
            <w:vAlign w:val="center"/>
          </w:tcPr>
          <w:p w14:paraId="35C61F92">
            <w:pPr>
              <w:keepNext w:val="0"/>
              <w:keepLines w:val="0"/>
              <w:pageBreakBefore w:val="0"/>
              <w:widowControl/>
              <w:suppressLineNumbers w:val="0"/>
              <w:kinsoku w:val="0"/>
              <w:wordWrap/>
              <w:overflowPunct/>
              <w:topLinePunct w:val="0"/>
              <w:autoSpaceDE w:val="0"/>
              <w:autoSpaceDN w:val="0"/>
              <w:bidi w:val="0"/>
              <w:adjustRightInd w:val="0"/>
              <w:snapToGrid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序号</w:t>
            </w:r>
          </w:p>
        </w:tc>
        <w:tc>
          <w:tcPr>
            <w:tcW w:w="2554" w:type="pct"/>
            <w:tcBorders>
              <w:top w:val="single" w:color="auto" w:sz="4" w:space="0"/>
              <w:left w:val="single" w:color="auto" w:sz="4" w:space="0"/>
              <w:bottom w:val="single" w:color="auto" w:sz="4" w:space="0"/>
              <w:right w:val="single" w:color="auto" w:sz="4" w:space="0"/>
            </w:tcBorders>
            <w:shd w:val="clear" w:color="auto" w:fill="auto"/>
            <w:vAlign w:val="center"/>
          </w:tcPr>
          <w:p w14:paraId="69DA2EE0">
            <w:pPr>
              <w:keepNext w:val="0"/>
              <w:keepLines w:val="0"/>
              <w:pageBreakBefore w:val="0"/>
              <w:widowControl/>
              <w:suppressLineNumbers w:val="0"/>
              <w:kinsoku w:val="0"/>
              <w:wordWrap/>
              <w:overflowPunct/>
              <w:topLinePunct w:val="0"/>
              <w:autoSpaceDE w:val="0"/>
              <w:autoSpaceDN w:val="0"/>
              <w:bidi w:val="0"/>
              <w:adjustRightInd w:val="0"/>
              <w:snapToGrid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行动项具体内容</w:t>
            </w:r>
          </w:p>
        </w:tc>
        <w:tc>
          <w:tcPr>
            <w:tcW w:w="715" w:type="pct"/>
            <w:tcBorders>
              <w:top w:val="single" w:color="auto" w:sz="4" w:space="0"/>
              <w:left w:val="single" w:color="auto" w:sz="4" w:space="0"/>
              <w:bottom w:val="single" w:color="auto" w:sz="4" w:space="0"/>
              <w:right w:val="single" w:color="auto" w:sz="4" w:space="0"/>
            </w:tcBorders>
            <w:shd w:val="clear" w:color="auto" w:fill="auto"/>
            <w:vAlign w:val="center"/>
          </w:tcPr>
          <w:p w14:paraId="5F2AAD31">
            <w:pPr>
              <w:keepNext w:val="0"/>
              <w:keepLines w:val="0"/>
              <w:pageBreakBefore w:val="0"/>
              <w:widowControl/>
              <w:suppressLineNumbers w:val="0"/>
              <w:kinsoku w:val="0"/>
              <w:wordWrap/>
              <w:overflowPunct/>
              <w:topLinePunct w:val="0"/>
              <w:autoSpaceDE w:val="0"/>
              <w:autoSpaceDN w:val="0"/>
              <w:bidi w:val="0"/>
              <w:adjustRightInd w:val="0"/>
              <w:snapToGrid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责任部门</w:t>
            </w:r>
          </w:p>
        </w:tc>
        <w:tc>
          <w:tcPr>
            <w:tcW w:w="574" w:type="pct"/>
            <w:tcBorders>
              <w:top w:val="single" w:color="auto" w:sz="4" w:space="0"/>
              <w:left w:val="single" w:color="auto" w:sz="4" w:space="0"/>
              <w:bottom w:val="single" w:color="auto" w:sz="4" w:space="0"/>
              <w:right w:val="single" w:color="auto" w:sz="4" w:space="0"/>
            </w:tcBorders>
            <w:shd w:val="clear" w:color="auto" w:fill="auto"/>
            <w:vAlign w:val="center"/>
          </w:tcPr>
          <w:p w14:paraId="79AEA650">
            <w:pPr>
              <w:keepNext w:val="0"/>
              <w:keepLines w:val="0"/>
              <w:pageBreakBefore w:val="0"/>
              <w:widowControl/>
              <w:suppressLineNumbers w:val="0"/>
              <w:kinsoku w:val="0"/>
              <w:wordWrap/>
              <w:overflowPunct/>
              <w:topLinePunct w:val="0"/>
              <w:autoSpaceDE w:val="0"/>
              <w:autoSpaceDN w:val="0"/>
              <w:bidi w:val="0"/>
              <w:adjustRightInd w:val="0"/>
              <w:snapToGrid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责任人</w:t>
            </w:r>
          </w:p>
        </w:tc>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79642208">
            <w:pPr>
              <w:keepNext w:val="0"/>
              <w:keepLines w:val="0"/>
              <w:pageBreakBefore w:val="0"/>
              <w:widowControl/>
              <w:suppressLineNumbers w:val="0"/>
              <w:kinsoku w:val="0"/>
              <w:wordWrap/>
              <w:overflowPunct/>
              <w:topLinePunct w:val="0"/>
              <w:autoSpaceDE w:val="0"/>
              <w:autoSpaceDN w:val="0"/>
              <w:bidi w:val="0"/>
              <w:adjustRightInd w:val="0"/>
              <w:snapToGrid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完成时间</w:t>
            </w:r>
          </w:p>
        </w:tc>
        <w:tc>
          <w:tcPr>
            <w:tcW w:w="279" w:type="pct"/>
            <w:tcBorders>
              <w:top w:val="single" w:color="auto" w:sz="4" w:space="0"/>
              <w:left w:val="single" w:color="auto" w:sz="4" w:space="0"/>
              <w:bottom w:val="single" w:color="auto" w:sz="4" w:space="0"/>
              <w:right w:val="single" w:color="auto" w:sz="4" w:space="0"/>
            </w:tcBorders>
            <w:shd w:val="clear" w:color="auto" w:fill="auto"/>
            <w:vAlign w:val="center"/>
          </w:tcPr>
          <w:p w14:paraId="1E63D318">
            <w:pPr>
              <w:keepNext w:val="0"/>
              <w:keepLines w:val="0"/>
              <w:pageBreakBefore w:val="0"/>
              <w:widowControl/>
              <w:suppressLineNumbers w:val="0"/>
              <w:kinsoku w:val="0"/>
              <w:wordWrap/>
              <w:overflowPunct/>
              <w:topLinePunct w:val="0"/>
              <w:autoSpaceDE w:val="0"/>
              <w:autoSpaceDN w:val="0"/>
              <w:bidi w:val="0"/>
              <w:adjustRightInd w:val="0"/>
              <w:snapToGrid w:val="0"/>
              <w:spacing w:after="0" w:line="240" w:lineRule="auto"/>
              <w:jc w:val="center"/>
              <w:textAlignment w:val="center"/>
              <w:rPr>
                <w:rFonts w:hint="eastAsia" w:ascii="宋体" w:hAnsi="宋体" w:eastAsia="宋体" w:cs="宋体"/>
                <w:i w:val="0"/>
                <w:iCs w:val="0"/>
                <w:snapToGrid w:val="0"/>
                <w:color w:val="000000"/>
                <w:kern w:val="0"/>
                <w:sz w:val="24"/>
                <w:szCs w:val="24"/>
                <w:u w:val="none"/>
                <w:lang w:val="en-US" w:eastAsia="zh-CN" w:bidi="ar"/>
              </w:rPr>
            </w:pPr>
            <w:r>
              <w:rPr>
                <w:rFonts w:hint="eastAsia" w:ascii="宋体" w:hAnsi="宋体" w:eastAsia="宋体" w:cs="宋体"/>
                <w:i w:val="0"/>
                <w:iCs w:val="0"/>
                <w:snapToGrid w:val="0"/>
                <w:color w:val="000000"/>
                <w:kern w:val="0"/>
                <w:sz w:val="24"/>
                <w:szCs w:val="24"/>
                <w:u w:val="none"/>
                <w:lang w:val="en-US" w:eastAsia="zh-CN" w:bidi="ar"/>
              </w:rPr>
              <w:t>备注</w:t>
            </w:r>
          </w:p>
        </w:tc>
      </w:tr>
      <w:tr w14:paraId="43DE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343" w:type="pct"/>
            <w:tcBorders>
              <w:top w:val="single" w:color="auto" w:sz="4" w:space="0"/>
            </w:tcBorders>
            <w:vAlign w:val="center"/>
          </w:tcPr>
          <w:p w14:paraId="7D90A5E3">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tcBorders>
              <w:top w:val="single" w:color="auto" w:sz="4" w:space="0"/>
            </w:tcBorders>
            <w:vAlign w:val="center"/>
          </w:tcPr>
          <w:p w14:paraId="7759868C">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lang w:eastAsia="zh-CN"/>
              </w:rPr>
            </w:pPr>
          </w:p>
        </w:tc>
        <w:tc>
          <w:tcPr>
            <w:tcW w:w="715" w:type="pct"/>
            <w:tcBorders>
              <w:top w:val="single" w:color="auto" w:sz="4" w:space="0"/>
            </w:tcBorders>
            <w:shd w:val="clear" w:color="auto" w:fill="auto"/>
            <w:vAlign w:val="center"/>
          </w:tcPr>
          <w:p w14:paraId="7C005352">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574" w:type="pct"/>
            <w:tcBorders>
              <w:top w:val="single" w:color="auto" w:sz="4" w:space="0"/>
            </w:tcBorders>
            <w:vAlign w:val="center"/>
          </w:tcPr>
          <w:p w14:paraId="3522B3C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533" w:type="pct"/>
            <w:tcBorders>
              <w:top w:val="single" w:color="auto" w:sz="4" w:space="0"/>
            </w:tcBorders>
            <w:vAlign w:val="center"/>
          </w:tcPr>
          <w:p w14:paraId="64759E15">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sz w:val="22"/>
                <w:szCs w:val="22"/>
                <w:lang w:val="en-US" w:eastAsia="zh-CN"/>
              </w:rPr>
            </w:pPr>
          </w:p>
        </w:tc>
        <w:tc>
          <w:tcPr>
            <w:tcW w:w="279" w:type="pct"/>
            <w:tcBorders>
              <w:top w:val="single" w:color="auto" w:sz="4" w:space="0"/>
            </w:tcBorders>
            <w:vAlign w:val="center"/>
          </w:tcPr>
          <w:p w14:paraId="16E030CE">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7A1FE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1A3185AB">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vAlign w:val="center"/>
          </w:tcPr>
          <w:p w14:paraId="76ABF0AC">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sz w:val="22"/>
                <w:szCs w:val="22"/>
                <w:lang w:val="en-US" w:eastAsia="zh-CN"/>
              </w:rPr>
            </w:pPr>
          </w:p>
        </w:tc>
        <w:tc>
          <w:tcPr>
            <w:tcW w:w="715" w:type="pct"/>
            <w:shd w:val="clear" w:color="auto" w:fill="auto"/>
            <w:vAlign w:val="center"/>
          </w:tcPr>
          <w:p w14:paraId="364D615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lang w:val="en-US" w:eastAsia="zh-CN"/>
              </w:rPr>
            </w:pPr>
          </w:p>
        </w:tc>
        <w:tc>
          <w:tcPr>
            <w:tcW w:w="574" w:type="pct"/>
            <w:vAlign w:val="center"/>
          </w:tcPr>
          <w:p w14:paraId="7A7DC533">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lang w:eastAsia="zh-CN"/>
              </w:rPr>
            </w:pPr>
          </w:p>
        </w:tc>
        <w:tc>
          <w:tcPr>
            <w:tcW w:w="533" w:type="pct"/>
            <w:vAlign w:val="center"/>
          </w:tcPr>
          <w:p w14:paraId="09F6202A">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sz w:val="22"/>
                <w:szCs w:val="22"/>
                <w:lang w:val="en-US" w:eastAsia="zh-CN"/>
              </w:rPr>
            </w:pPr>
          </w:p>
        </w:tc>
        <w:tc>
          <w:tcPr>
            <w:tcW w:w="279" w:type="pct"/>
            <w:vAlign w:val="center"/>
          </w:tcPr>
          <w:p w14:paraId="120EAF2A">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69B1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38A88D12">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612631F0">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000BE18D">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74" w:type="pct"/>
            <w:shd w:val="clear" w:color="auto" w:fill="auto"/>
            <w:vAlign w:val="center"/>
          </w:tcPr>
          <w:p w14:paraId="0101B551">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33" w:type="pct"/>
            <w:shd w:val="clear" w:color="auto" w:fill="auto"/>
            <w:vAlign w:val="center"/>
          </w:tcPr>
          <w:p w14:paraId="75323AD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279" w:type="pct"/>
            <w:vAlign w:val="center"/>
          </w:tcPr>
          <w:p w14:paraId="17080E1B">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07A9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3DDA073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5683C42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12A810C1">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574" w:type="pct"/>
            <w:shd w:val="clear" w:color="auto" w:fill="auto"/>
            <w:vAlign w:val="center"/>
          </w:tcPr>
          <w:p w14:paraId="1C745BA9">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533" w:type="pct"/>
            <w:shd w:val="clear" w:color="auto" w:fill="auto"/>
            <w:vAlign w:val="center"/>
          </w:tcPr>
          <w:p w14:paraId="41DA9703">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279" w:type="pct"/>
            <w:vAlign w:val="center"/>
          </w:tcPr>
          <w:p w14:paraId="13742472">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5776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670670F7">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500D87D3">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3296805A">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74" w:type="pct"/>
            <w:shd w:val="clear" w:color="auto" w:fill="auto"/>
            <w:vAlign w:val="center"/>
          </w:tcPr>
          <w:p w14:paraId="2B7F87B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33" w:type="pct"/>
            <w:shd w:val="clear" w:color="auto" w:fill="auto"/>
            <w:vAlign w:val="center"/>
          </w:tcPr>
          <w:p w14:paraId="0811E464">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279" w:type="pct"/>
            <w:vAlign w:val="center"/>
          </w:tcPr>
          <w:p w14:paraId="04A9E102">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44F3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493E4608">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5F2C6338">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4757549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74" w:type="pct"/>
            <w:shd w:val="clear" w:color="auto" w:fill="auto"/>
            <w:vAlign w:val="center"/>
          </w:tcPr>
          <w:p w14:paraId="5EF22D4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533" w:type="pct"/>
            <w:shd w:val="clear" w:color="auto" w:fill="auto"/>
            <w:vAlign w:val="center"/>
          </w:tcPr>
          <w:p w14:paraId="711FABCA">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279" w:type="pct"/>
            <w:vAlign w:val="center"/>
          </w:tcPr>
          <w:p w14:paraId="5262ADC8">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63F5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78856BE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329EA435">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3B324E91">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74" w:type="pct"/>
            <w:shd w:val="clear" w:color="auto" w:fill="auto"/>
            <w:vAlign w:val="center"/>
          </w:tcPr>
          <w:p w14:paraId="7F7480D5">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33" w:type="pct"/>
            <w:shd w:val="clear" w:color="auto" w:fill="auto"/>
            <w:vAlign w:val="center"/>
          </w:tcPr>
          <w:p w14:paraId="3F3874E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279" w:type="pct"/>
            <w:vAlign w:val="center"/>
          </w:tcPr>
          <w:p w14:paraId="1BC4DE0D">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337F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7DF9506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018812C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6A931398">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74" w:type="pct"/>
            <w:shd w:val="clear" w:color="auto" w:fill="auto"/>
            <w:vAlign w:val="center"/>
          </w:tcPr>
          <w:p w14:paraId="7FF842E5">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33" w:type="pct"/>
            <w:shd w:val="clear" w:color="auto" w:fill="auto"/>
            <w:vAlign w:val="center"/>
          </w:tcPr>
          <w:p w14:paraId="5D587B7A">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279" w:type="pct"/>
            <w:vAlign w:val="center"/>
          </w:tcPr>
          <w:p w14:paraId="4442F757">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55E4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2666B583">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c>
          <w:tcPr>
            <w:tcW w:w="2554" w:type="pct"/>
            <w:shd w:val="clear" w:color="auto" w:fill="auto"/>
            <w:vAlign w:val="center"/>
          </w:tcPr>
          <w:p w14:paraId="3D389BB8">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70C841FB">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574" w:type="pct"/>
            <w:shd w:val="clear" w:color="auto" w:fill="auto"/>
            <w:vAlign w:val="center"/>
          </w:tcPr>
          <w:p w14:paraId="19DF149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33" w:type="pct"/>
            <w:shd w:val="clear" w:color="auto" w:fill="auto"/>
            <w:vAlign w:val="center"/>
          </w:tcPr>
          <w:p w14:paraId="62DD2406">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279" w:type="pct"/>
            <w:vAlign w:val="center"/>
          </w:tcPr>
          <w:p w14:paraId="35369DA5">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r w14:paraId="63B5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43" w:type="pct"/>
            <w:vAlign w:val="center"/>
          </w:tcPr>
          <w:p w14:paraId="4858F5C1">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sz w:val="22"/>
                <w:szCs w:val="22"/>
                <w:lang w:val="en-US" w:eastAsia="zh-CN"/>
              </w:rPr>
            </w:pPr>
          </w:p>
        </w:tc>
        <w:tc>
          <w:tcPr>
            <w:tcW w:w="2554" w:type="pct"/>
            <w:shd w:val="clear" w:color="auto" w:fill="auto"/>
            <w:vAlign w:val="center"/>
          </w:tcPr>
          <w:p w14:paraId="6C7FBD53">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715" w:type="pct"/>
            <w:shd w:val="clear" w:color="auto" w:fill="auto"/>
            <w:vAlign w:val="center"/>
          </w:tcPr>
          <w:p w14:paraId="0AFB5625">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74" w:type="pct"/>
            <w:shd w:val="clear" w:color="auto" w:fill="auto"/>
            <w:vAlign w:val="center"/>
          </w:tcPr>
          <w:p w14:paraId="6B65639E">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kern w:val="2"/>
                <w:sz w:val="22"/>
                <w:szCs w:val="22"/>
                <w:lang w:val="en-US" w:eastAsia="zh-CN" w:bidi="ar-SA"/>
              </w:rPr>
            </w:pPr>
          </w:p>
        </w:tc>
        <w:tc>
          <w:tcPr>
            <w:tcW w:w="533" w:type="pct"/>
            <w:shd w:val="clear" w:color="auto" w:fill="auto"/>
            <w:vAlign w:val="center"/>
          </w:tcPr>
          <w:p w14:paraId="65B572E1">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default" w:ascii="仿宋" w:hAnsi="仿宋" w:eastAsia="仿宋" w:cs="仿宋"/>
                <w:kern w:val="2"/>
                <w:sz w:val="22"/>
                <w:szCs w:val="22"/>
                <w:lang w:val="en-US" w:eastAsia="zh-CN" w:bidi="ar-SA"/>
              </w:rPr>
            </w:pPr>
          </w:p>
        </w:tc>
        <w:tc>
          <w:tcPr>
            <w:tcW w:w="279" w:type="pct"/>
            <w:vAlign w:val="center"/>
          </w:tcPr>
          <w:p w14:paraId="780B63CF">
            <w:pPr>
              <w:keepNext w:val="0"/>
              <w:keepLines w:val="0"/>
              <w:pageBreakBefore w:val="0"/>
              <w:widowControl/>
              <w:kinsoku w:val="0"/>
              <w:wordWrap/>
              <w:overflowPunct/>
              <w:topLinePunct w:val="0"/>
              <w:autoSpaceDE w:val="0"/>
              <w:autoSpaceDN w:val="0"/>
              <w:bidi w:val="0"/>
              <w:adjustRightInd w:val="0"/>
              <w:snapToGrid w:val="0"/>
              <w:spacing w:line="240" w:lineRule="auto"/>
              <w:jc w:val="center"/>
              <w:rPr>
                <w:rFonts w:hint="eastAsia" w:ascii="仿宋" w:hAnsi="仿宋" w:eastAsia="仿宋" w:cs="仿宋"/>
                <w:sz w:val="22"/>
                <w:szCs w:val="22"/>
              </w:rPr>
            </w:pPr>
          </w:p>
        </w:tc>
      </w:tr>
    </w:tbl>
    <w:p w14:paraId="18A373B5">
      <w:pPr>
        <w:rPr>
          <w:rFonts w:hint="eastAsia" w:ascii="Times New Roman" w:hAnsi="Times New Roman" w:eastAsiaTheme="minorEastAsia" w:cstheme="minorEastAsia"/>
          <w:snapToGrid/>
          <w:kern w:val="2"/>
          <w:sz w:val="28"/>
          <w:szCs w:val="28"/>
          <w:lang w:val="en-US" w:eastAsia="zh-CN"/>
        </w:rPr>
      </w:pPr>
    </w:p>
    <w:sectPr>
      <w:pgSz w:w="16838" w:h="11906" w:orient="landscape"/>
      <w:pgMar w:top="1800" w:right="1440" w:bottom="1800" w:left="144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A2082">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0502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750502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00355790"/>
    <w:rsid w:val="00007DF7"/>
    <w:rsid w:val="000B705A"/>
    <w:rsid w:val="000E2245"/>
    <w:rsid w:val="00131D28"/>
    <w:rsid w:val="00167B86"/>
    <w:rsid w:val="001B5844"/>
    <w:rsid w:val="001D264B"/>
    <w:rsid w:val="001D3731"/>
    <w:rsid w:val="00291705"/>
    <w:rsid w:val="002B2E2D"/>
    <w:rsid w:val="002C7173"/>
    <w:rsid w:val="00355790"/>
    <w:rsid w:val="003C06DF"/>
    <w:rsid w:val="0042284F"/>
    <w:rsid w:val="004254BB"/>
    <w:rsid w:val="00524F06"/>
    <w:rsid w:val="005952D7"/>
    <w:rsid w:val="00780218"/>
    <w:rsid w:val="007D6199"/>
    <w:rsid w:val="00810992"/>
    <w:rsid w:val="008845F6"/>
    <w:rsid w:val="009108DC"/>
    <w:rsid w:val="009118CB"/>
    <w:rsid w:val="00982843"/>
    <w:rsid w:val="009F7CE6"/>
    <w:rsid w:val="00A10B6D"/>
    <w:rsid w:val="00A45056"/>
    <w:rsid w:val="00AC24F2"/>
    <w:rsid w:val="00B11B2B"/>
    <w:rsid w:val="00B86B61"/>
    <w:rsid w:val="00BC016D"/>
    <w:rsid w:val="00CB28BB"/>
    <w:rsid w:val="00CD0CAC"/>
    <w:rsid w:val="00D225BB"/>
    <w:rsid w:val="00D42437"/>
    <w:rsid w:val="00D51D34"/>
    <w:rsid w:val="00D57784"/>
    <w:rsid w:val="00E12F53"/>
    <w:rsid w:val="00FC0CFC"/>
    <w:rsid w:val="012D3152"/>
    <w:rsid w:val="01B32187"/>
    <w:rsid w:val="01CE127E"/>
    <w:rsid w:val="02356A36"/>
    <w:rsid w:val="073D38A3"/>
    <w:rsid w:val="084E4E2A"/>
    <w:rsid w:val="096674F8"/>
    <w:rsid w:val="0AF4728D"/>
    <w:rsid w:val="0B8F598C"/>
    <w:rsid w:val="0C3A7C05"/>
    <w:rsid w:val="0C5E598A"/>
    <w:rsid w:val="0C6611B3"/>
    <w:rsid w:val="0C936AA5"/>
    <w:rsid w:val="0E38635F"/>
    <w:rsid w:val="0E4F3DD7"/>
    <w:rsid w:val="0EB85AE1"/>
    <w:rsid w:val="0F895C3A"/>
    <w:rsid w:val="10101D4F"/>
    <w:rsid w:val="10352221"/>
    <w:rsid w:val="10520CEE"/>
    <w:rsid w:val="115A3006"/>
    <w:rsid w:val="117F3DA9"/>
    <w:rsid w:val="139425DC"/>
    <w:rsid w:val="172C2FE4"/>
    <w:rsid w:val="17605DF4"/>
    <w:rsid w:val="18435E81"/>
    <w:rsid w:val="189E7973"/>
    <w:rsid w:val="195A7F25"/>
    <w:rsid w:val="1A572767"/>
    <w:rsid w:val="1A6F4134"/>
    <w:rsid w:val="1B214753"/>
    <w:rsid w:val="1BBF0D08"/>
    <w:rsid w:val="1D4C09FE"/>
    <w:rsid w:val="1EE35CAA"/>
    <w:rsid w:val="1F1011BD"/>
    <w:rsid w:val="1FE43FA1"/>
    <w:rsid w:val="208E2520"/>
    <w:rsid w:val="22317C38"/>
    <w:rsid w:val="22715609"/>
    <w:rsid w:val="227710FC"/>
    <w:rsid w:val="23AA29A7"/>
    <w:rsid w:val="261B6772"/>
    <w:rsid w:val="2651109E"/>
    <w:rsid w:val="26633E71"/>
    <w:rsid w:val="26FC0712"/>
    <w:rsid w:val="272A0E33"/>
    <w:rsid w:val="27536E96"/>
    <w:rsid w:val="2AB84190"/>
    <w:rsid w:val="2CC118F2"/>
    <w:rsid w:val="2E505355"/>
    <w:rsid w:val="2E9434D3"/>
    <w:rsid w:val="2F400093"/>
    <w:rsid w:val="2F417CC6"/>
    <w:rsid w:val="2F594874"/>
    <w:rsid w:val="30BC18D6"/>
    <w:rsid w:val="31D43BEA"/>
    <w:rsid w:val="323653C6"/>
    <w:rsid w:val="35A63ECE"/>
    <w:rsid w:val="3733447D"/>
    <w:rsid w:val="39397BCA"/>
    <w:rsid w:val="3B6648A7"/>
    <w:rsid w:val="3D15385A"/>
    <w:rsid w:val="3E1D06A0"/>
    <w:rsid w:val="3F474C20"/>
    <w:rsid w:val="413774A0"/>
    <w:rsid w:val="423C1B29"/>
    <w:rsid w:val="431163E4"/>
    <w:rsid w:val="43860D47"/>
    <w:rsid w:val="43AD080E"/>
    <w:rsid w:val="43DD25BD"/>
    <w:rsid w:val="44AA561B"/>
    <w:rsid w:val="457360F6"/>
    <w:rsid w:val="45790B64"/>
    <w:rsid w:val="45CD73F5"/>
    <w:rsid w:val="45E564AE"/>
    <w:rsid w:val="4A727F96"/>
    <w:rsid w:val="4B0E1984"/>
    <w:rsid w:val="4D857276"/>
    <w:rsid w:val="4DAC4A9E"/>
    <w:rsid w:val="50B65D76"/>
    <w:rsid w:val="50CD402F"/>
    <w:rsid w:val="528452DA"/>
    <w:rsid w:val="5314540A"/>
    <w:rsid w:val="536F55B6"/>
    <w:rsid w:val="53823B1A"/>
    <w:rsid w:val="541328F6"/>
    <w:rsid w:val="54B86549"/>
    <w:rsid w:val="550E1AB0"/>
    <w:rsid w:val="55147F83"/>
    <w:rsid w:val="553719C9"/>
    <w:rsid w:val="55C26BFF"/>
    <w:rsid w:val="56EF3C7A"/>
    <w:rsid w:val="56F97D56"/>
    <w:rsid w:val="571C57F3"/>
    <w:rsid w:val="577E20FE"/>
    <w:rsid w:val="5896713A"/>
    <w:rsid w:val="59FE155A"/>
    <w:rsid w:val="5A147B7C"/>
    <w:rsid w:val="5A2760E8"/>
    <w:rsid w:val="5B6B3838"/>
    <w:rsid w:val="5F31350F"/>
    <w:rsid w:val="5FA92343"/>
    <w:rsid w:val="60197D78"/>
    <w:rsid w:val="613C42D7"/>
    <w:rsid w:val="62087367"/>
    <w:rsid w:val="644E3A97"/>
    <w:rsid w:val="65A7545E"/>
    <w:rsid w:val="66C47F1C"/>
    <w:rsid w:val="68C42DF2"/>
    <w:rsid w:val="6D9B6D14"/>
    <w:rsid w:val="6EDF7788"/>
    <w:rsid w:val="71FE17F9"/>
    <w:rsid w:val="72895758"/>
    <w:rsid w:val="76F758CF"/>
    <w:rsid w:val="76FF3135"/>
    <w:rsid w:val="77701517"/>
    <w:rsid w:val="77B07EF0"/>
    <w:rsid w:val="77DA1D31"/>
    <w:rsid w:val="783D22FA"/>
    <w:rsid w:val="798D69BF"/>
    <w:rsid w:val="7A420438"/>
    <w:rsid w:val="7A4B52FA"/>
    <w:rsid w:val="7A6A04A0"/>
    <w:rsid w:val="7B3B6D35"/>
    <w:rsid w:val="7B9B47C7"/>
    <w:rsid w:val="7C634513"/>
    <w:rsid w:val="7E2216A5"/>
    <w:rsid w:val="7F5A6AE8"/>
    <w:rsid w:val="7FCA3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160" w:line="278" w:lineRule="auto"/>
      <w:textAlignment w:val="baseline"/>
    </w:pPr>
    <w:rPr>
      <w:rFonts w:ascii="Arial" w:hAnsi="Arial" w:eastAsia="Arial" w:cs="Arial"/>
      <w:snapToGrid w:val="0"/>
      <w:color w:val="000000"/>
      <w:sz w:val="21"/>
      <w:szCs w:val="21"/>
      <w:lang w:val="en-US" w:eastAsia="en-US"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qFormat/>
    <w:uiPriority w:val="0"/>
  </w:style>
  <w:style w:type="paragraph" w:styleId="3">
    <w:name w:val="footer"/>
    <w:basedOn w:val="1"/>
    <w:qFormat/>
    <w:uiPriority w:val="0"/>
    <w:pPr>
      <w:tabs>
        <w:tab w:val="center" w:pos="4153"/>
        <w:tab w:val="right" w:pos="8306"/>
      </w:tabs>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5">
    <w:name w:val="annotation subject"/>
    <w:basedOn w:val="2"/>
    <w:next w:val="2"/>
    <w:link w:val="12"/>
    <w:qFormat/>
    <w:uiPriority w:val="0"/>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annotation reference"/>
    <w:basedOn w:val="8"/>
    <w:qFormat/>
    <w:uiPriority w:val="0"/>
    <w:rPr>
      <w:sz w:val="21"/>
      <w:szCs w:val="21"/>
    </w:rPr>
  </w:style>
  <w:style w:type="character" w:customStyle="1" w:styleId="11">
    <w:name w:val="批注文字 字符"/>
    <w:basedOn w:val="8"/>
    <w:link w:val="2"/>
    <w:qFormat/>
    <w:uiPriority w:val="0"/>
    <w:rPr>
      <w:rFonts w:ascii="Arial" w:hAnsi="Arial" w:eastAsia="Arial" w:cs="Arial"/>
      <w:snapToGrid w:val="0"/>
      <w:color w:val="000000"/>
      <w:sz w:val="21"/>
      <w:szCs w:val="21"/>
      <w:lang w:eastAsia="en-US"/>
    </w:rPr>
  </w:style>
  <w:style w:type="character" w:customStyle="1" w:styleId="12">
    <w:name w:val="批注主题 字符"/>
    <w:basedOn w:val="11"/>
    <w:link w:val="5"/>
    <w:qFormat/>
    <w:uiPriority w:val="0"/>
    <w:rPr>
      <w:rFonts w:ascii="Arial" w:hAnsi="Arial" w:eastAsia="Arial" w:cs="Arial"/>
      <w:b/>
      <w:bCs/>
      <w:snapToGrid w:val="0"/>
      <w:color w:val="000000"/>
      <w:sz w:val="21"/>
      <w:szCs w:val="21"/>
      <w:lang w:eastAsia="en-US"/>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1983</Words>
  <Characters>2021</Characters>
  <Lines>98</Lines>
  <Paragraphs>27</Paragraphs>
  <TotalTime>37</TotalTime>
  <ScaleCrop>false</ScaleCrop>
  <LinksUpToDate>false</LinksUpToDate>
  <CharactersWithSpaces>2043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2025-06-23T01:16:00Z</dcterms:created>
  <dc:creator>Administrator</dc:creator>
  <cp:lastModifiedBy>G</cp:lastModifiedBy>
  <cp:lastPrinted>2026-04-30T07:43:14Z</cp:lastPrinted>
  <dcterms:modified xsi:type="dcterms:W3CDTF">2026-04-30T07:43:23Z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7424B9A33D834EC49D859E612D9050B7_13</vt:lpwstr>
  </property>
  <property fmtid="{D5CDD505-2E9C-101B-9397-08002B2CF9AE}" pid="4" name="KSOTemplateDocerSaveRecord">
    <vt:lpwstr>eyJoZGlkIjoiYjNmMzNmNzE3MDlmMDUyNGVkMzAxYzhkNDcwZDE1NzIiLCJ1c2VySWQiOiIxNjA1OTk5OTQ5In0=</vt:lpwstr>
  </property>
</Properties>
</file>