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480"/>
        <w:gridCol w:w="156"/>
        <w:gridCol w:w="464"/>
        <w:gridCol w:w="529"/>
        <w:gridCol w:w="471"/>
        <w:gridCol w:w="1130"/>
        <w:gridCol w:w="825"/>
        <w:gridCol w:w="12"/>
        <w:gridCol w:w="267"/>
        <w:gridCol w:w="612"/>
        <w:gridCol w:w="421"/>
        <w:gridCol w:w="1115"/>
        <w:gridCol w:w="457"/>
        <w:gridCol w:w="368"/>
        <w:gridCol w:w="260"/>
        <w:gridCol w:w="1366"/>
      </w:tblGrid>
      <w:tr w14:paraId="4E85CF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7"/>
            <w:tcBorders>
              <w:top w:val="single" w:color="auto" w:sz="12" w:space="0"/>
              <w:left w:val="single" w:color="auto" w:sz="12" w:space="0"/>
              <w:right w:val="single" w:color="auto" w:sz="12" w:space="0"/>
            </w:tcBorders>
            <w:vAlign w:val="center"/>
          </w:tcPr>
          <w:p w14:paraId="5B67B9E3">
            <w:pPr>
              <w:spacing w:line="360" w:lineRule="auto"/>
              <w:jc w:val="center"/>
              <w:rPr>
                <w:spacing w:val="20"/>
              </w:rPr>
            </w:pPr>
            <w:r>
              <w:rPr>
                <w:rFonts w:hint="eastAsia" w:ascii="黑体" w:eastAsia="黑体"/>
                <w:spacing w:val="20"/>
                <w:sz w:val="36"/>
                <w:szCs w:val="36"/>
              </w:rPr>
              <w:t>沈阳昌兴复材航空科技有限责任公司</w:t>
            </w:r>
          </w:p>
          <w:p w14:paraId="35530F7C">
            <w:pPr>
              <w:spacing w:line="360" w:lineRule="auto"/>
              <w:jc w:val="center"/>
              <w:rPr>
                <w:rFonts w:ascii="宋体"/>
                <w:spacing w:val="160"/>
                <w:sz w:val="36"/>
                <w:szCs w:val="36"/>
              </w:rPr>
            </w:pPr>
            <w:r>
              <w:rPr>
                <w:rFonts w:hint="eastAsia" w:ascii="黑体" w:eastAsia="黑体"/>
                <w:spacing w:val="160"/>
                <w:sz w:val="36"/>
                <w:szCs w:val="36"/>
              </w:rPr>
              <w:t>制度文件</w:t>
            </w:r>
          </w:p>
        </w:tc>
      </w:tr>
      <w:tr w14:paraId="79496C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3"/>
            <w:vMerge w:val="restart"/>
            <w:tcBorders>
              <w:left w:val="single" w:color="auto" w:sz="12" w:space="0"/>
            </w:tcBorders>
            <w:vAlign w:val="center"/>
          </w:tcPr>
          <w:p w14:paraId="7E7A32B0">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30F791C9">
            <w:pPr>
              <w:spacing w:line="400" w:lineRule="exact"/>
              <w:jc w:val="center"/>
              <w:rPr>
                <w:rFonts w:ascii="黑体" w:eastAsia="黑体"/>
                <w:sz w:val="28"/>
                <w:szCs w:val="36"/>
              </w:rPr>
            </w:pPr>
            <w:r>
              <w:rPr>
                <w:rFonts w:hint="eastAsia" w:ascii="黑体" w:eastAsia="黑体"/>
                <w:sz w:val="28"/>
                <w:szCs w:val="36"/>
              </w:rPr>
              <w:t>年度部门绩效考核管理程序</w:t>
            </w:r>
          </w:p>
        </w:tc>
        <w:tc>
          <w:tcPr>
            <w:tcW w:w="1993" w:type="dxa"/>
            <w:gridSpan w:val="3"/>
            <w:tcBorders>
              <w:bottom w:val="single" w:color="auto" w:sz="4" w:space="0"/>
            </w:tcBorders>
            <w:vAlign w:val="center"/>
          </w:tcPr>
          <w:p w14:paraId="24A08BA3">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3E19A7DC">
            <w:pPr>
              <w:spacing w:line="400" w:lineRule="exact"/>
              <w:jc w:val="center"/>
              <w:rPr>
                <w:rFonts w:ascii="黑体" w:eastAsia="黑体"/>
                <w:sz w:val="28"/>
                <w:szCs w:val="36"/>
              </w:rPr>
            </w:pPr>
            <w:r>
              <w:rPr>
                <w:rFonts w:hint="eastAsia" w:ascii="黑体" w:eastAsia="黑体"/>
                <w:sz w:val="28"/>
                <w:szCs w:val="36"/>
              </w:rPr>
              <w:t>GLTX-JY-06</w:t>
            </w:r>
          </w:p>
        </w:tc>
      </w:tr>
      <w:tr w14:paraId="7F76E1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3"/>
            <w:vMerge w:val="continue"/>
            <w:tcBorders>
              <w:left w:val="single" w:color="auto" w:sz="12" w:space="0"/>
            </w:tcBorders>
            <w:vAlign w:val="center"/>
          </w:tcPr>
          <w:p w14:paraId="10E2B1EF">
            <w:pPr>
              <w:spacing w:line="400" w:lineRule="exact"/>
              <w:jc w:val="center"/>
              <w:rPr>
                <w:rFonts w:ascii="黑体" w:eastAsia="黑体"/>
                <w:sz w:val="28"/>
                <w:szCs w:val="36"/>
              </w:rPr>
            </w:pPr>
          </w:p>
        </w:tc>
        <w:tc>
          <w:tcPr>
            <w:tcW w:w="4310" w:type="dxa"/>
            <w:gridSpan w:val="8"/>
            <w:vMerge w:val="continue"/>
            <w:vAlign w:val="center"/>
          </w:tcPr>
          <w:p w14:paraId="63D0C84F">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5BA1582A">
            <w:pPr>
              <w:spacing w:line="400" w:lineRule="exact"/>
              <w:jc w:val="center"/>
              <w:rPr>
                <w:rFonts w:ascii="黑体" w:eastAsia="黑体"/>
                <w:sz w:val="28"/>
                <w:szCs w:val="36"/>
              </w:rPr>
            </w:pPr>
            <w:r>
              <w:rPr>
                <w:rFonts w:hint="eastAsia" w:ascii="黑体" w:eastAsia="黑体"/>
                <w:sz w:val="28"/>
                <w:szCs w:val="36"/>
              </w:rPr>
              <w:t>版次</w:t>
            </w:r>
          </w:p>
        </w:tc>
        <w:tc>
          <w:tcPr>
            <w:tcW w:w="1994" w:type="dxa"/>
            <w:gridSpan w:val="3"/>
            <w:tcBorders>
              <w:top w:val="single" w:color="auto" w:sz="4" w:space="0"/>
              <w:right w:val="single" w:color="auto" w:sz="12" w:space="0"/>
            </w:tcBorders>
            <w:vAlign w:val="center"/>
          </w:tcPr>
          <w:p w14:paraId="57C01873">
            <w:pPr>
              <w:spacing w:line="400" w:lineRule="exact"/>
              <w:jc w:val="center"/>
              <w:rPr>
                <w:rFonts w:hint="eastAsia" w:ascii="黑体" w:eastAsia="黑体"/>
                <w:sz w:val="28"/>
                <w:szCs w:val="36"/>
                <w:lang w:eastAsia="zh-CN"/>
              </w:rPr>
            </w:pPr>
            <w:r>
              <w:rPr>
                <w:rFonts w:hint="eastAsia" w:ascii="黑体" w:eastAsia="黑体"/>
                <w:sz w:val="28"/>
                <w:szCs w:val="36"/>
                <w:lang w:val="en-US" w:eastAsia="zh-CN"/>
              </w:rPr>
              <w:t>B</w:t>
            </w:r>
          </w:p>
        </w:tc>
      </w:tr>
      <w:tr w14:paraId="1382B6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3"/>
            <w:vMerge w:val="continue"/>
            <w:tcBorders>
              <w:left w:val="single" w:color="auto" w:sz="12" w:space="0"/>
            </w:tcBorders>
            <w:vAlign w:val="center"/>
          </w:tcPr>
          <w:p w14:paraId="0EC03549">
            <w:pPr>
              <w:spacing w:line="400" w:lineRule="exact"/>
              <w:jc w:val="center"/>
              <w:rPr>
                <w:rFonts w:ascii="黑体" w:eastAsia="黑体"/>
                <w:sz w:val="28"/>
                <w:szCs w:val="36"/>
              </w:rPr>
            </w:pPr>
          </w:p>
        </w:tc>
        <w:tc>
          <w:tcPr>
            <w:tcW w:w="4310" w:type="dxa"/>
            <w:gridSpan w:val="8"/>
            <w:vMerge w:val="continue"/>
            <w:vAlign w:val="center"/>
          </w:tcPr>
          <w:p w14:paraId="7EC8E897">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7C8FD619">
            <w:pPr>
              <w:spacing w:line="400" w:lineRule="exact"/>
              <w:jc w:val="center"/>
              <w:rPr>
                <w:rFonts w:ascii="黑体" w:eastAsia="黑体"/>
                <w:sz w:val="28"/>
                <w:szCs w:val="36"/>
              </w:rPr>
            </w:pPr>
            <w:r>
              <w:rPr>
                <w:rFonts w:hint="eastAsia" w:ascii="黑体" w:hAnsi="宋体" w:eastAsia="黑体"/>
                <w:sz w:val="28"/>
                <w:szCs w:val="36"/>
              </w:rPr>
              <w:t>文件类别</w:t>
            </w:r>
          </w:p>
        </w:tc>
        <w:tc>
          <w:tcPr>
            <w:tcW w:w="1994" w:type="dxa"/>
            <w:gridSpan w:val="3"/>
            <w:tcBorders>
              <w:top w:val="single" w:color="auto" w:sz="4" w:space="0"/>
              <w:right w:val="single" w:color="auto" w:sz="12" w:space="0"/>
            </w:tcBorders>
            <w:vAlign w:val="center"/>
          </w:tcPr>
          <w:p w14:paraId="351576FE">
            <w:pPr>
              <w:spacing w:line="400" w:lineRule="exact"/>
              <w:jc w:val="center"/>
              <w:rPr>
                <w:rFonts w:ascii="黑体" w:eastAsia="黑体"/>
                <w:sz w:val="28"/>
                <w:szCs w:val="36"/>
              </w:rPr>
            </w:pPr>
            <w:r>
              <w:rPr>
                <w:rFonts w:hint="eastAsia" w:ascii="黑体" w:hAnsi="宋体" w:eastAsia="黑体"/>
                <w:sz w:val="28"/>
                <w:szCs w:val="36"/>
              </w:rPr>
              <w:t>管理规定</w:t>
            </w:r>
          </w:p>
        </w:tc>
      </w:tr>
      <w:tr w14:paraId="05CCFE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3"/>
            <w:tcBorders>
              <w:left w:val="single" w:color="auto" w:sz="12" w:space="0"/>
            </w:tcBorders>
            <w:vAlign w:val="center"/>
          </w:tcPr>
          <w:p w14:paraId="1891F13F">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31E0CEE3">
            <w:pPr>
              <w:spacing w:line="400" w:lineRule="exact"/>
              <w:jc w:val="center"/>
              <w:rPr>
                <w:rFonts w:ascii="黑体" w:eastAsia="黑体"/>
                <w:sz w:val="28"/>
                <w:szCs w:val="36"/>
              </w:rPr>
            </w:pPr>
            <w:r>
              <w:rPr>
                <w:rFonts w:hint="eastAsia" w:ascii="黑体" w:eastAsia="黑体"/>
                <w:sz w:val="28"/>
                <w:szCs w:val="36"/>
              </w:rPr>
              <w:t>经营发展部</w:t>
            </w:r>
          </w:p>
        </w:tc>
        <w:tc>
          <w:tcPr>
            <w:tcW w:w="1716" w:type="dxa"/>
            <w:gridSpan w:val="4"/>
            <w:vAlign w:val="center"/>
          </w:tcPr>
          <w:p w14:paraId="186D9B81">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6</w:t>
            </w:r>
            <w:r>
              <w:rPr>
                <w:rFonts w:hint="eastAsia" w:ascii="黑体" w:eastAsia="黑体"/>
                <w:sz w:val="28"/>
                <w:szCs w:val="36"/>
              </w:rPr>
              <w:t>页</w:t>
            </w:r>
          </w:p>
        </w:tc>
        <w:tc>
          <w:tcPr>
            <w:tcW w:w="1993" w:type="dxa"/>
            <w:gridSpan w:val="3"/>
            <w:vAlign w:val="center"/>
          </w:tcPr>
          <w:p w14:paraId="3FF370D1">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793BCA4E">
            <w:pPr>
              <w:spacing w:line="400" w:lineRule="exact"/>
              <w:jc w:val="center"/>
              <w:rPr>
                <w:rFonts w:hint="default" w:ascii="黑体" w:eastAsia="黑体"/>
                <w:sz w:val="28"/>
                <w:szCs w:val="36"/>
                <w:lang w:val="en-US" w:eastAsia="zh-CN"/>
              </w:rPr>
            </w:pPr>
            <w:r>
              <w:rPr>
                <w:rFonts w:hint="eastAsia" w:ascii="黑体" w:eastAsia="黑体"/>
                <w:sz w:val="28"/>
                <w:szCs w:val="36"/>
              </w:rPr>
              <w:t>202</w:t>
            </w:r>
            <w:r>
              <w:rPr>
                <w:rFonts w:hint="eastAsia" w:ascii="黑体" w:eastAsia="黑体"/>
                <w:sz w:val="28"/>
                <w:szCs w:val="36"/>
                <w:lang w:val="en-US" w:eastAsia="zh-CN"/>
              </w:rPr>
              <w:t>6</w:t>
            </w:r>
            <w:r>
              <w:rPr>
                <w:rFonts w:hint="eastAsia" w:ascii="黑体" w:eastAsia="黑体"/>
                <w:sz w:val="28"/>
                <w:szCs w:val="36"/>
              </w:rPr>
              <w:t>-0</w:t>
            </w:r>
            <w:r>
              <w:rPr>
                <w:rFonts w:hint="eastAsia" w:ascii="黑体" w:eastAsia="黑体"/>
                <w:sz w:val="28"/>
                <w:szCs w:val="36"/>
                <w:lang w:val="en-US" w:eastAsia="zh-CN"/>
              </w:rPr>
              <w:t>2</w:t>
            </w:r>
            <w:r>
              <w:rPr>
                <w:rFonts w:hint="eastAsia" w:ascii="黑体" w:eastAsia="黑体"/>
                <w:sz w:val="28"/>
                <w:szCs w:val="36"/>
              </w:rPr>
              <w:t>-</w:t>
            </w:r>
            <w:r>
              <w:rPr>
                <w:rFonts w:hint="eastAsia" w:ascii="黑体" w:eastAsia="黑体"/>
                <w:sz w:val="28"/>
                <w:szCs w:val="36"/>
                <w:lang w:val="en-US" w:eastAsia="zh-CN"/>
              </w:rPr>
              <w:t>11</w:t>
            </w:r>
          </w:p>
        </w:tc>
      </w:tr>
      <w:tr w14:paraId="4A2387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7"/>
            <w:tcBorders>
              <w:left w:val="single" w:color="auto" w:sz="12" w:space="0"/>
              <w:right w:val="single" w:color="auto" w:sz="12" w:space="0"/>
            </w:tcBorders>
            <w:vAlign w:val="center"/>
          </w:tcPr>
          <w:p w14:paraId="24396D51">
            <w:pPr>
              <w:jc w:val="center"/>
              <w:rPr>
                <w:rFonts w:ascii="宋体"/>
                <w:sz w:val="24"/>
              </w:rPr>
            </w:pPr>
            <w:r>
              <w:rPr>
                <w:rFonts w:hint="eastAsia" w:ascii="宋体" w:hAnsi="Times" w:eastAsia="宋体" w:cs="Times New Roman"/>
                <w:bCs/>
                <w:sz w:val="24"/>
                <w:szCs w:val="28"/>
              </w:rPr>
              <w:t>更    改    记    录</w:t>
            </w:r>
          </w:p>
        </w:tc>
      </w:tr>
      <w:tr w14:paraId="1FC8F3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5000FAA1">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509BC476">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02CCB1C5">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01CC9050">
            <w:pPr>
              <w:jc w:val="center"/>
              <w:rPr>
                <w:rFonts w:ascii="宋体"/>
                <w:kern w:val="0"/>
                <w:sz w:val="24"/>
              </w:rPr>
            </w:pPr>
            <w:r>
              <w:rPr>
                <w:rFonts w:hint="eastAsia" w:ascii="宋体" w:hAnsi="Times" w:eastAsia="宋体" w:cs="Times New Roman"/>
                <w:bCs/>
                <w:sz w:val="24"/>
                <w:szCs w:val="28"/>
              </w:rPr>
              <w:t>更改日期</w:t>
            </w:r>
          </w:p>
        </w:tc>
      </w:tr>
      <w:tr w14:paraId="31F081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7B43AC87">
            <w:pPr>
              <w:jc w:val="center"/>
              <w:rPr>
                <w:rFonts w:ascii="宋体"/>
              </w:rPr>
            </w:pPr>
          </w:p>
        </w:tc>
        <w:tc>
          <w:tcPr>
            <w:tcW w:w="2426" w:type="dxa"/>
            <w:gridSpan w:val="3"/>
            <w:tcBorders>
              <w:left w:val="single" w:color="auto" w:sz="6" w:space="0"/>
              <w:right w:val="single" w:color="auto" w:sz="6" w:space="0"/>
            </w:tcBorders>
            <w:vAlign w:val="center"/>
          </w:tcPr>
          <w:p w14:paraId="6E3EA7E2">
            <w:pPr>
              <w:jc w:val="center"/>
              <w:rPr>
                <w:rFonts w:ascii="宋体"/>
              </w:rPr>
            </w:pPr>
          </w:p>
        </w:tc>
        <w:tc>
          <w:tcPr>
            <w:tcW w:w="2427" w:type="dxa"/>
            <w:gridSpan w:val="5"/>
            <w:tcBorders>
              <w:left w:val="single" w:color="auto" w:sz="6" w:space="0"/>
              <w:right w:val="single" w:color="auto" w:sz="6" w:space="0"/>
            </w:tcBorders>
            <w:vAlign w:val="center"/>
          </w:tcPr>
          <w:p w14:paraId="74BB7838">
            <w:pPr>
              <w:jc w:val="center"/>
              <w:rPr>
                <w:rFonts w:ascii="宋体"/>
              </w:rPr>
            </w:pPr>
          </w:p>
        </w:tc>
        <w:tc>
          <w:tcPr>
            <w:tcW w:w="2451" w:type="dxa"/>
            <w:gridSpan w:val="4"/>
            <w:tcBorders>
              <w:left w:val="single" w:color="auto" w:sz="6" w:space="0"/>
              <w:right w:val="single" w:color="auto" w:sz="12" w:space="0"/>
            </w:tcBorders>
            <w:vAlign w:val="center"/>
          </w:tcPr>
          <w:p w14:paraId="56FFE491">
            <w:pPr>
              <w:jc w:val="center"/>
              <w:rPr>
                <w:rFonts w:ascii="宋体"/>
              </w:rPr>
            </w:pPr>
          </w:p>
        </w:tc>
      </w:tr>
      <w:tr w14:paraId="497CED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72B7B5A7">
            <w:pPr>
              <w:jc w:val="center"/>
              <w:rPr>
                <w:rFonts w:ascii="宋体"/>
              </w:rPr>
            </w:pPr>
          </w:p>
        </w:tc>
        <w:tc>
          <w:tcPr>
            <w:tcW w:w="2426" w:type="dxa"/>
            <w:gridSpan w:val="3"/>
            <w:tcBorders>
              <w:left w:val="single" w:color="auto" w:sz="6" w:space="0"/>
              <w:right w:val="single" w:color="auto" w:sz="6" w:space="0"/>
            </w:tcBorders>
            <w:vAlign w:val="center"/>
          </w:tcPr>
          <w:p w14:paraId="0CC0B358">
            <w:pPr>
              <w:jc w:val="center"/>
              <w:rPr>
                <w:rFonts w:ascii="宋体"/>
              </w:rPr>
            </w:pPr>
          </w:p>
        </w:tc>
        <w:tc>
          <w:tcPr>
            <w:tcW w:w="2427" w:type="dxa"/>
            <w:gridSpan w:val="5"/>
            <w:tcBorders>
              <w:left w:val="single" w:color="auto" w:sz="6" w:space="0"/>
              <w:right w:val="single" w:color="auto" w:sz="6" w:space="0"/>
            </w:tcBorders>
            <w:vAlign w:val="center"/>
          </w:tcPr>
          <w:p w14:paraId="57ACEB31">
            <w:pPr>
              <w:jc w:val="center"/>
              <w:rPr>
                <w:rFonts w:ascii="宋体"/>
              </w:rPr>
            </w:pPr>
          </w:p>
        </w:tc>
        <w:tc>
          <w:tcPr>
            <w:tcW w:w="2451" w:type="dxa"/>
            <w:gridSpan w:val="4"/>
            <w:tcBorders>
              <w:left w:val="single" w:color="auto" w:sz="6" w:space="0"/>
              <w:right w:val="single" w:color="auto" w:sz="12" w:space="0"/>
            </w:tcBorders>
            <w:vAlign w:val="center"/>
          </w:tcPr>
          <w:p w14:paraId="1FC7A7CC">
            <w:pPr>
              <w:jc w:val="center"/>
              <w:rPr>
                <w:rFonts w:ascii="宋体"/>
              </w:rPr>
            </w:pPr>
          </w:p>
        </w:tc>
      </w:tr>
      <w:tr w14:paraId="511557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58A801DA">
            <w:pPr>
              <w:jc w:val="center"/>
              <w:rPr>
                <w:rFonts w:ascii="宋体"/>
              </w:rPr>
            </w:pPr>
          </w:p>
        </w:tc>
        <w:tc>
          <w:tcPr>
            <w:tcW w:w="2426" w:type="dxa"/>
            <w:gridSpan w:val="3"/>
            <w:tcBorders>
              <w:left w:val="single" w:color="auto" w:sz="6" w:space="0"/>
              <w:right w:val="single" w:color="auto" w:sz="6" w:space="0"/>
            </w:tcBorders>
            <w:vAlign w:val="center"/>
          </w:tcPr>
          <w:p w14:paraId="405BFD75">
            <w:pPr>
              <w:jc w:val="center"/>
              <w:rPr>
                <w:rFonts w:ascii="宋体"/>
              </w:rPr>
            </w:pPr>
          </w:p>
        </w:tc>
        <w:tc>
          <w:tcPr>
            <w:tcW w:w="2427" w:type="dxa"/>
            <w:gridSpan w:val="5"/>
            <w:tcBorders>
              <w:left w:val="single" w:color="auto" w:sz="6" w:space="0"/>
              <w:right w:val="single" w:color="auto" w:sz="6" w:space="0"/>
            </w:tcBorders>
            <w:vAlign w:val="center"/>
          </w:tcPr>
          <w:p w14:paraId="2417559C">
            <w:pPr>
              <w:jc w:val="center"/>
              <w:rPr>
                <w:rFonts w:ascii="宋体"/>
              </w:rPr>
            </w:pPr>
          </w:p>
        </w:tc>
        <w:tc>
          <w:tcPr>
            <w:tcW w:w="2451" w:type="dxa"/>
            <w:gridSpan w:val="4"/>
            <w:tcBorders>
              <w:left w:val="single" w:color="auto" w:sz="6" w:space="0"/>
              <w:right w:val="single" w:color="auto" w:sz="12" w:space="0"/>
            </w:tcBorders>
            <w:vAlign w:val="center"/>
          </w:tcPr>
          <w:p w14:paraId="2E3C0EED">
            <w:pPr>
              <w:jc w:val="center"/>
              <w:rPr>
                <w:rFonts w:ascii="宋体"/>
              </w:rPr>
            </w:pPr>
          </w:p>
        </w:tc>
      </w:tr>
      <w:tr w14:paraId="6F7D0E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3ADD6019">
            <w:pPr>
              <w:jc w:val="center"/>
              <w:rPr>
                <w:rFonts w:ascii="宋体"/>
              </w:rPr>
            </w:pPr>
          </w:p>
        </w:tc>
        <w:tc>
          <w:tcPr>
            <w:tcW w:w="2426" w:type="dxa"/>
            <w:gridSpan w:val="3"/>
            <w:tcBorders>
              <w:left w:val="single" w:color="auto" w:sz="6" w:space="0"/>
              <w:right w:val="single" w:color="auto" w:sz="6" w:space="0"/>
            </w:tcBorders>
            <w:vAlign w:val="center"/>
          </w:tcPr>
          <w:p w14:paraId="59BC7B18">
            <w:pPr>
              <w:jc w:val="center"/>
              <w:rPr>
                <w:rFonts w:ascii="宋体"/>
              </w:rPr>
            </w:pPr>
          </w:p>
        </w:tc>
        <w:tc>
          <w:tcPr>
            <w:tcW w:w="2427" w:type="dxa"/>
            <w:gridSpan w:val="5"/>
            <w:tcBorders>
              <w:left w:val="single" w:color="auto" w:sz="6" w:space="0"/>
              <w:right w:val="single" w:color="auto" w:sz="6" w:space="0"/>
            </w:tcBorders>
            <w:vAlign w:val="center"/>
          </w:tcPr>
          <w:p w14:paraId="2ECB23A8">
            <w:pPr>
              <w:jc w:val="center"/>
              <w:rPr>
                <w:rFonts w:ascii="宋体"/>
              </w:rPr>
            </w:pPr>
          </w:p>
        </w:tc>
        <w:tc>
          <w:tcPr>
            <w:tcW w:w="2451" w:type="dxa"/>
            <w:gridSpan w:val="4"/>
            <w:tcBorders>
              <w:left w:val="single" w:color="auto" w:sz="6" w:space="0"/>
              <w:right w:val="single" w:color="auto" w:sz="12" w:space="0"/>
            </w:tcBorders>
            <w:vAlign w:val="center"/>
          </w:tcPr>
          <w:p w14:paraId="4223B900">
            <w:pPr>
              <w:jc w:val="center"/>
              <w:rPr>
                <w:rFonts w:ascii="宋体"/>
              </w:rPr>
            </w:pPr>
          </w:p>
        </w:tc>
      </w:tr>
      <w:tr w14:paraId="29A2CB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7"/>
            <w:tcBorders>
              <w:left w:val="single" w:color="auto" w:sz="12" w:space="0"/>
              <w:right w:val="single" w:color="auto" w:sz="12" w:space="0"/>
            </w:tcBorders>
            <w:vAlign w:val="center"/>
          </w:tcPr>
          <w:p w14:paraId="2B926112">
            <w:pPr>
              <w:jc w:val="center"/>
              <w:rPr>
                <w:rFonts w:ascii="宋体"/>
                <w:sz w:val="24"/>
              </w:rPr>
            </w:pPr>
            <w:r>
              <w:rPr>
                <w:rFonts w:hint="eastAsia" w:ascii="宋体"/>
                <w:sz w:val="24"/>
              </w:rPr>
              <w:t>分发路线</w:t>
            </w:r>
          </w:p>
        </w:tc>
      </w:tr>
      <w:tr w14:paraId="7D584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5" w:hRule="atLeast"/>
          <w:jc w:val="center"/>
        </w:trPr>
        <w:tc>
          <w:tcPr>
            <w:tcW w:w="787" w:type="dxa"/>
            <w:tcBorders>
              <w:left w:val="single" w:color="auto" w:sz="12" w:space="0"/>
            </w:tcBorders>
            <w:vAlign w:val="center"/>
          </w:tcPr>
          <w:p w14:paraId="65705BC5">
            <w:pPr>
              <w:jc w:val="center"/>
              <w:rPr>
                <w:rFonts w:ascii="宋体" w:eastAsia="宋体"/>
                <w:spacing w:val="50"/>
                <w:szCs w:val="21"/>
              </w:rPr>
            </w:pPr>
            <w:r>
              <w:rPr>
                <w:rFonts w:hint="eastAsia" w:ascii="宋体"/>
                <w:spacing w:val="50"/>
                <w:szCs w:val="21"/>
              </w:rPr>
              <w:t>部门</w:t>
            </w:r>
          </w:p>
        </w:tc>
        <w:tc>
          <w:tcPr>
            <w:tcW w:w="1100" w:type="dxa"/>
            <w:gridSpan w:val="3"/>
            <w:vAlign w:val="center"/>
          </w:tcPr>
          <w:p w14:paraId="227D838A">
            <w:pPr>
              <w:jc w:val="center"/>
              <w:rPr>
                <w:rFonts w:ascii="宋体"/>
                <w:spacing w:val="50"/>
                <w:szCs w:val="21"/>
              </w:rPr>
            </w:pPr>
            <w:r>
              <w:rPr>
                <w:rFonts w:hint="eastAsia" w:ascii="宋体"/>
                <w:spacing w:val="50"/>
                <w:szCs w:val="21"/>
              </w:rPr>
              <w:t>经营</w:t>
            </w:r>
          </w:p>
          <w:p w14:paraId="442BF8FC">
            <w:pPr>
              <w:jc w:val="center"/>
              <w:rPr>
                <w:rFonts w:ascii="宋体"/>
                <w:spacing w:val="50"/>
                <w:szCs w:val="21"/>
              </w:rPr>
            </w:pPr>
            <w:r>
              <w:rPr>
                <w:rFonts w:hint="eastAsia" w:ascii="宋体"/>
                <w:spacing w:val="50"/>
                <w:szCs w:val="21"/>
              </w:rPr>
              <w:t>发展部</w:t>
            </w:r>
          </w:p>
        </w:tc>
        <w:tc>
          <w:tcPr>
            <w:tcW w:w="1000" w:type="dxa"/>
            <w:gridSpan w:val="2"/>
            <w:vAlign w:val="center"/>
          </w:tcPr>
          <w:p w14:paraId="65FBA9B2">
            <w:pPr>
              <w:jc w:val="center"/>
              <w:rPr>
                <w:rFonts w:ascii="宋体"/>
                <w:spacing w:val="50"/>
                <w:szCs w:val="21"/>
              </w:rPr>
            </w:pPr>
            <w:r>
              <w:rPr>
                <w:rFonts w:hint="eastAsia" w:ascii="宋体"/>
                <w:spacing w:val="50"/>
                <w:szCs w:val="21"/>
              </w:rPr>
              <w:t>行政</w:t>
            </w:r>
          </w:p>
          <w:p w14:paraId="02A9FCD1">
            <w:pPr>
              <w:jc w:val="center"/>
              <w:rPr>
                <w:rFonts w:ascii="宋体"/>
                <w:spacing w:val="50"/>
                <w:szCs w:val="21"/>
              </w:rPr>
            </w:pPr>
            <w:r>
              <w:rPr>
                <w:rFonts w:hint="eastAsia" w:ascii="宋体"/>
                <w:spacing w:val="50"/>
                <w:szCs w:val="21"/>
              </w:rPr>
              <w:t>人事部</w:t>
            </w:r>
          </w:p>
        </w:tc>
        <w:tc>
          <w:tcPr>
            <w:tcW w:w="1130" w:type="dxa"/>
            <w:vAlign w:val="center"/>
          </w:tcPr>
          <w:p w14:paraId="4E5487A9">
            <w:pPr>
              <w:jc w:val="center"/>
              <w:rPr>
                <w:rFonts w:ascii="宋体"/>
                <w:spacing w:val="50"/>
                <w:szCs w:val="21"/>
              </w:rPr>
            </w:pPr>
            <w:r>
              <w:rPr>
                <w:rFonts w:hint="eastAsia" w:ascii="宋体"/>
                <w:spacing w:val="50"/>
                <w:szCs w:val="21"/>
              </w:rPr>
              <w:t>工程</w:t>
            </w:r>
          </w:p>
          <w:p w14:paraId="1BE53EE8">
            <w:pPr>
              <w:jc w:val="center"/>
              <w:rPr>
                <w:rFonts w:ascii="宋体"/>
                <w:spacing w:val="50"/>
                <w:szCs w:val="21"/>
              </w:rPr>
            </w:pPr>
            <w:r>
              <w:rPr>
                <w:rFonts w:hint="eastAsia" w:ascii="宋体"/>
                <w:spacing w:val="50"/>
                <w:szCs w:val="21"/>
              </w:rPr>
              <w:t>技术部</w:t>
            </w:r>
          </w:p>
        </w:tc>
        <w:tc>
          <w:tcPr>
            <w:tcW w:w="1104" w:type="dxa"/>
            <w:gridSpan w:val="3"/>
            <w:vAlign w:val="center"/>
          </w:tcPr>
          <w:p w14:paraId="44AB12F6">
            <w:pPr>
              <w:jc w:val="center"/>
              <w:rPr>
                <w:rFonts w:ascii="宋体"/>
                <w:spacing w:val="50"/>
                <w:szCs w:val="21"/>
              </w:rPr>
            </w:pPr>
            <w:r>
              <w:rPr>
                <w:rFonts w:hint="eastAsia" w:ascii="宋体"/>
                <w:spacing w:val="50"/>
                <w:szCs w:val="21"/>
              </w:rPr>
              <w:t>财务部</w:t>
            </w:r>
          </w:p>
        </w:tc>
        <w:tc>
          <w:tcPr>
            <w:tcW w:w="1033" w:type="dxa"/>
            <w:gridSpan w:val="2"/>
            <w:vAlign w:val="center"/>
          </w:tcPr>
          <w:p w14:paraId="7203488C">
            <w:pPr>
              <w:jc w:val="center"/>
              <w:rPr>
                <w:rFonts w:ascii="宋体"/>
                <w:spacing w:val="50"/>
                <w:szCs w:val="21"/>
              </w:rPr>
            </w:pPr>
            <w:r>
              <w:rPr>
                <w:rFonts w:hint="eastAsia" w:ascii="宋体"/>
                <w:spacing w:val="50"/>
                <w:szCs w:val="21"/>
              </w:rPr>
              <w:t>质量</w:t>
            </w:r>
          </w:p>
          <w:p w14:paraId="03031341">
            <w:pPr>
              <w:jc w:val="center"/>
              <w:rPr>
                <w:rFonts w:ascii="宋体"/>
                <w:spacing w:val="50"/>
                <w:szCs w:val="21"/>
              </w:rPr>
            </w:pPr>
            <w:r>
              <w:rPr>
                <w:rFonts w:hint="eastAsia" w:ascii="宋体"/>
                <w:spacing w:val="50"/>
                <w:szCs w:val="21"/>
                <w:lang w:val="en-US" w:eastAsia="zh-CN"/>
              </w:rPr>
              <w:t>管理</w:t>
            </w:r>
            <w:r>
              <w:rPr>
                <w:rFonts w:hint="eastAsia" w:ascii="宋体"/>
                <w:spacing w:val="50"/>
                <w:szCs w:val="21"/>
              </w:rPr>
              <w:t>部</w:t>
            </w:r>
          </w:p>
        </w:tc>
        <w:tc>
          <w:tcPr>
            <w:tcW w:w="1115" w:type="dxa"/>
            <w:vAlign w:val="center"/>
          </w:tcPr>
          <w:p w14:paraId="280669C6">
            <w:pPr>
              <w:jc w:val="center"/>
              <w:rPr>
                <w:rFonts w:ascii="宋体"/>
                <w:spacing w:val="50"/>
                <w:szCs w:val="21"/>
              </w:rPr>
            </w:pPr>
            <w:r>
              <w:rPr>
                <w:rFonts w:hint="eastAsia" w:ascii="宋体"/>
                <w:spacing w:val="50"/>
                <w:szCs w:val="21"/>
              </w:rPr>
              <w:t>项目</w:t>
            </w:r>
          </w:p>
          <w:p w14:paraId="19149D83">
            <w:pPr>
              <w:jc w:val="center"/>
              <w:rPr>
                <w:rFonts w:ascii="宋体"/>
                <w:spacing w:val="50"/>
                <w:szCs w:val="21"/>
              </w:rPr>
            </w:pPr>
            <w:r>
              <w:rPr>
                <w:rFonts w:hint="eastAsia" w:ascii="宋体"/>
                <w:spacing w:val="50"/>
                <w:szCs w:val="21"/>
              </w:rPr>
              <w:t>管理部</w:t>
            </w:r>
          </w:p>
        </w:tc>
        <w:tc>
          <w:tcPr>
            <w:tcW w:w="1085" w:type="dxa"/>
            <w:gridSpan w:val="3"/>
            <w:vAlign w:val="center"/>
          </w:tcPr>
          <w:p w14:paraId="46EB6722">
            <w:pPr>
              <w:jc w:val="center"/>
              <w:rPr>
                <w:rFonts w:ascii="宋体"/>
                <w:spacing w:val="50"/>
                <w:szCs w:val="21"/>
              </w:rPr>
            </w:pPr>
            <w:r>
              <w:rPr>
                <w:rFonts w:hint="eastAsia" w:ascii="宋体"/>
                <w:spacing w:val="50"/>
                <w:szCs w:val="21"/>
              </w:rPr>
              <w:t>物资</w:t>
            </w:r>
          </w:p>
          <w:p w14:paraId="4FE05433">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6C0B01FD">
            <w:pPr>
              <w:jc w:val="center"/>
              <w:rPr>
                <w:rFonts w:ascii="宋体"/>
                <w:spacing w:val="50"/>
                <w:szCs w:val="21"/>
              </w:rPr>
            </w:pPr>
            <w:r>
              <w:rPr>
                <w:rFonts w:hint="eastAsia" w:ascii="宋体"/>
                <w:spacing w:val="50"/>
                <w:szCs w:val="21"/>
              </w:rPr>
              <w:t>复材车间</w:t>
            </w:r>
          </w:p>
        </w:tc>
      </w:tr>
      <w:tr w14:paraId="53E81F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3DFABD4D">
            <w:pPr>
              <w:jc w:val="center"/>
              <w:rPr>
                <w:rFonts w:ascii="宋体"/>
                <w:spacing w:val="50"/>
                <w:szCs w:val="21"/>
              </w:rPr>
            </w:pPr>
            <w:r>
              <w:rPr>
                <w:rFonts w:hint="eastAsia" w:ascii="宋体"/>
                <w:spacing w:val="50"/>
                <w:szCs w:val="21"/>
              </w:rPr>
              <w:t>份数</w:t>
            </w:r>
          </w:p>
        </w:tc>
        <w:tc>
          <w:tcPr>
            <w:tcW w:w="1100" w:type="dxa"/>
            <w:gridSpan w:val="3"/>
            <w:vAlign w:val="center"/>
          </w:tcPr>
          <w:p w14:paraId="573D065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5B2A245B">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7AC19996">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702E0A39">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314B1AE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2954D76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36D96EED">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4E815D61">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3FD6B8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0B0FC28A">
            <w:pPr>
              <w:jc w:val="center"/>
              <w:rPr>
                <w:rFonts w:ascii="宋体" w:eastAsia="宋体"/>
                <w:spacing w:val="50"/>
                <w:szCs w:val="21"/>
              </w:rPr>
            </w:pPr>
            <w:r>
              <w:rPr>
                <w:rFonts w:hint="eastAsia" w:ascii="宋体"/>
                <w:spacing w:val="50"/>
                <w:szCs w:val="21"/>
              </w:rPr>
              <w:t>部门</w:t>
            </w:r>
          </w:p>
        </w:tc>
        <w:tc>
          <w:tcPr>
            <w:tcW w:w="1100" w:type="dxa"/>
            <w:gridSpan w:val="3"/>
            <w:vAlign w:val="center"/>
          </w:tcPr>
          <w:p w14:paraId="04E0A524">
            <w:pPr>
              <w:jc w:val="center"/>
              <w:rPr>
                <w:rFonts w:hint="eastAsia" w:ascii="宋体"/>
                <w:spacing w:val="50"/>
                <w:szCs w:val="21"/>
                <w:lang w:val="en-US" w:eastAsia="zh-CN"/>
              </w:rPr>
            </w:pPr>
            <w:r>
              <w:rPr>
                <w:rFonts w:hint="eastAsia" w:ascii="宋体"/>
                <w:spacing w:val="50"/>
                <w:szCs w:val="21"/>
                <w:lang w:val="en-US" w:eastAsia="zh-CN"/>
              </w:rPr>
              <w:t>运维</w:t>
            </w:r>
          </w:p>
          <w:p w14:paraId="76A6D8D5">
            <w:pPr>
              <w:jc w:val="center"/>
              <w:rPr>
                <w:rFonts w:hint="eastAsia" w:ascii="宋体" w:eastAsiaTheme="minorEastAsia"/>
                <w:w w:val="90"/>
                <w:szCs w:val="21"/>
                <w:lang w:val="en-US" w:eastAsia="zh-CN"/>
              </w:rPr>
            </w:pPr>
            <w:r>
              <w:rPr>
                <w:rFonts w:hint="eastAsia" w:ascii="宋体"/>
                <w:spacing w:val="50"/>
                <w:szCs w:val="21"/>
                <w:lang w:val="en-US" w:eastAsia="zh-CN"/>
              </w:rPr>
              <w:t>安环部</w:t>
            </w:r>
          </w:p>
        </w:tc>
        <w:tc>
          <w:tcPr>
            <w:tcW w:w="1000" w:type="dxa"/>
            <w:gridSpan w:val="2"/>
            <w:vAlign w:val="center"/>
          </w:tcPr>
          <w:p w14:paraId="79D96620">
            <w:pPr>
              <w:jc w:val="center"/>
              <w:rPr>
                <w:rFonts w:ascii="宋体"/>
                <w:w w:val="90"/>
                <w:szCs w:val="21"/>
              </w:rPr>
            </w:pPr>
          </w:p>
        </w:tc>
        <w:tc>
          <w:tcPr>
            <w:tcW w:w="1130" w:type="dxa"/>
            <w:vAlign w:val="center"/>
          </w:tcPr>
          <w:p w14:paraId="242FD87B">
            <w:pPr>
              <w:jc w:val="center"/>
              <w:rPr>
                <w:rFonts w:ascii="宋体"/>
                <w:w w:val="90"/>
                <w:szCs w:val="21"/>
              </w:rPr>
            </w:pPr>
          </w:p>
        </w:tc>
        <w:tc>
          <w:tcPr>
            <w:tcW w:w="1104" w:type="dxa"/>
            <w:gridSpan w:val="3"/>
            <w:vAlign w:val="center"/>
          </w:tcPr>
          <w:p w14:paraId="5A90AE17">
            <w:pPr>
              <w:jc w:val="center"/>
              <w:rPr>
                <w:rFonts w:ascii="宋体"/>
                <w:w w:val="90"/>
                <w:szCs w:val="21"/>
              </w:rPr>
            </w:pPr>
          </w:p>
        </w:tc>
        <w:tc>
          <w:tcPr>
            <w:tcW w:w="1033" w:type="dxa"/>
            <w:gridSpan w:val="2"/>
            <w:vAlign w:val="center"/>
          </w:tcPr>
          <w:p w14:paraId="7B73862A">
            <w:pPr>
              <w:jc w:val="center"/>
              <w:rPr>
                <w:rFonts w:ascii="宋体"/>
                <w:w w:val="90"/>
                <w:szCs w:val="21"/>
              </w:rPr>
            </w:pPr>
          </w:p>
        </w:tc>
        <w:tc>
          <w:tcPr>
            <w:tcW w:w="1115" w:type="dxa"/>
            <w:vAlign w:val="center"/>
          </w:tcPr>
          <w:p w14:paraId="19EEE2FC">
            <w:pPr>
              <w:jc w:val="center"/>
              <w:rPr>
                <w:rFonts w:ascii="宋体"/>
                <w:w w:val="90"/>
                <w:szCs w:val="21"/>
              </w:rPr>
            </w:pPr>
          </w:p>
        </w:tc>
        <w:tc>
          <w:tcPr>
            <w:tcW w:w="1085" w:type="dxa"/>
            <w:gridSpan w:val="3"/>
            <w:vAlign w:val="center"/>
          </w:tcPr>
          <w:p w14:paraId="7C869C69">
            <w:pPr>
              <w:spacing w:before="20"/>
              <w:jc w:val="center"/>
              <w:rPr>
                <w:rFonts w:ascii="宋体"/>
                <w:w w:val="90"/>
                <w:szCs w:val="21"/>
              </w:rPr>
            </w:pPr>
          </w:p>
        </w:tc>
        <w:tc>
          <w:tcPr>
            <w:tcW w:w="1366" w:type="dxa"/>
            <w:tcBorders>
              <w:right w:val="single" w:color="auto" w:sz="12" w:space="0"/>
            </w:tcBorders>
            <w:vAlign w:val="center"/>
          </w:tcPr>
          <w:p w14:paraId="532B5131">
            <w:pPr>
              <w:spacing w:before="20"/>
              <w:jc w:val="center"/>
              <w:rPr>
                <w:rFonts w:ascii="宋体"/>
                <w:w w:val="90"/>
                <w:szCs w:val="21"/>
              </w:rPr>
            </w:pPr>
          </w:p>
        </w:tc>
      </w:tr>
      <w:tr w14:paraId="4F13EC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2B621F48">
            <w:pPr>
              <w:jc w:val="center"/>
              <w:rPr>
                <w:rFonts w:ascii="宋体"/>
                <w:spacing w:val="50"/>
                <w:szCs w:val="21"/>
              </w:rPr>
            </w:pPr>
            <w:r>
              <w:rPr>
                <w:rFonts w:hint="eastAsia" w:ascii="宋体"/>
                <w:spacing w:val="50"/>
                <w:szCs w:val="21"/>
              </w:rPr>
              <w:t>份数</w:t>
            </w:r>
          </w:p>
        </w:tc>
        <w:tc>
          <w:tcPr>
            <w:tcW w:w="1100" w:type="dxa"/>
            <w:gridSpan w:val="3"/>
            <w:vAlign w:val="center"/>
          </w:tcPr>
          <w:p w14:paraId="6E56D276">
            <w:pPr>
              <w:spacing w:line="240" w:lineRule="exact"/>
              <w:jc w:val="center"/>
              <w:rPr>
                <w:rFonts w:hint="eastAsia" w:ascii="宋体" w:eastAsiaTheme="minorEastAsia"/>
                <w:w w:val="90"/>
                <w:szCs w:val="21"/>
                <w:lang w:val="en-US" w:eastAsia="zh-CN"/>
              </w:rPr>
            </w:pPr>
            <w:r>
              <w:rPr>
                <w:rFonts w:hint="eastAsia" w:ascii="宋体"/>
                <w:w w:val="90"/>
                <w:szCs w:val="21"/>
                <w:lang w:val="en-US" w:eastAsia="zh-CN"/>
              </w:rPr>
              <w:t>1</w:t>
            </w:r>
          </w:p>
        </w:tc>
        <w:tc>
          <w:tcPr>
            <w:tcW w:w="1000" w:type="dxa"/>
            <w:gridSpan w:val="2"/>
            <w:vAlign w:val="center"/>
          </w:tcPr>
          <w:p w14:paraId="13D4F9BF">
            <w:pPr>
              <w:spacing w:line="240" w:lineRule="exact"/>
              <w:jc w:val="center"/>
              <w:rPr>
                <w:rFonts w:ascii="宋体"/>
                <w:w w:val="90"/>
                <w:szCs w:val="21"/>
              </w:rPr>
            </w:pPr>
          </w:p>
        </w:tc>
        <w:tc>
          <w:tcPr>
            <w:tcW w:w="1130" w:type="dxa"/>
            <w:vAlign w:val="center"/>
          </w:tcPr>
          <w:p w14:paraId="6C7DD80B">
            <w:pPr>
              <w:spacing w:line="240" w:lineRule="exact"/>
              <w:jc w:val="center"/>
              <w:rPr>
                <w:rFonts w:ascii="宋体"/>
                <w:w w:val="90"/>
                <w:szCs w:val="21"/>
              </w:rPr>
            </w:pPr>
          </w:p>
        </w:tc>
        <w:tc>
          <w:tcPr>
            <w:tcW w:w="1104" w:type="dxa"/>
            <w:gridSpan w:val="3"/>
            <w:vAlign w:val="center"/>
          </w:tcPr>
          <w:p w14:paraId="32D61F06">
            <w:pPr>
              <w:spacing w:line="240" w:lineRule="exact"/>
              <w:jc w:val="center"/>
              <w:rPr>
                <w:rFonts w:ascii="宋体"/>
                <w:w w:val="90"/>
                <w:szCs w:val="21"/>
              </w:rPr>
            </w:pPr>
          </w:p>
        </w:tc>
        <w:tc>
          <w:tcPr>
            <w:tcW w:w="1033" w:type="dxa"/>
            <w:gridSpan w:val="2"/>
            <w:vAlign w:val="center"/>
          </w:tcPr>
          <w:p w14:paraId="5B70FAED">
            <w:pPr>
              <w:spacing w:line="240" w:lineRule="exact"/>
              <w:jc w:val="center"/>
              <w:rPr>
                <w:rFonts w:ascii="宋体"/>
                <w:w w:val="90"/>
                <w:szCs w:val="21"/>
              </w:rPr>
            </w:pPr>
          </w:p>
        </w:tc>
        <w:tc>
          <w:tcPr>
            <w:tcW w:w="1115" w:type="dxa"/>
            <w:vAlign w:val="center"/>
          </w:tcPr>
          <w:p w14:paraId="18573675">
            <w:pPr>
              <w:spacing w:line="240" w:lineRule="exact"/>
              <w:jc w:val="center"/>
              <w:rPr>
                <w:rFonts w:ascii="宋体"/>
                <w:w w:val="90"/>
                <w:szCs w:val="21"/>
              </w:rPr>
            </w:pPr>
          </w:p>
        </w:tc>
        <w:tc>
          <w:tcPr>
            <w:tcW w:w="1085" w:type="dxa"/>
            <w:gridSpan w:val="3"/>
            <w:vAlign w:val="center"/>
          </w:tcPr>
          <w:p w14:paraId="64D0F09B">
            <w:pPr>
              <w:spacing w:line="240" w:lineRule="exact"/>
              <w:jc w:val="center"/>
              <w:rPr>
                <w:rFonts w:ascii="宋体"/>
                <w:w w:val="90"/>
                <w:szCs w:val="21"/>
              </w:rPr>
            </w:pPr>
          </w:p>
        </w:tc>
        <w:tc>
          <w:tcPr>
            <w:tcW w:w="1366" w:type="dxa"/>
            <w:tcBorders>
              <w:right w:val="single" w:color="auto" w:sz="12" w:space="0"/>
            </w:tcBorders>
            <w:vAlign w:val="center"/>
          </w:tcPr>
          <w:p w14:paraId="3EAB5CCD">
            <w:pPr>
              <w:spacing w:line="240" w:lineRule="exact"/>
              <w:jc w:val="center"/>
              <w:rPr>
                <w:rFonts w:ascii="宋体"/>
                <w:w w:val="90"/>
                <w:szCs w:val="21"/>
              </w:rPr>
            </w:pPr>
          </w:p>
        </w:tc>
      </w:tr>
      <w:tr w14:paraId="73DA03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267" w:type="dxa"/>
            <w:gridSpan w:val="2"/>
            <w:tcBorders>
              <w:top w:val="single" w:color="auto" w:sz="6" w:space="0"/>
              <w:left w:val="single" w:color="auto" w:sz="12" w:space="0"/>
              <w:bottom w:val="single" w:color="auto" w:sz="6" w:space="0"/>
              <w:right w:val="single" w:color="auto" w:sz="6" w:space="0"/>
            </w:tcBorders>
            <w:vAlign w:val="center"/>
          </w:tcPr>
          <w:p w14:paraId="4A7532BD">
            <w:pPr>
              <w:jc w:val="center"/>
              <w:rPr>
                <w:rFonts w:ascii="宋体"/>
                <w:spacing w:val="100"/>
                <w:sz w:val="24"/>
              </w:rPr>
            </w:pPr>
            <w:r>
              <w:rPr>
                <w:rFonts w:hint="eastAsia" w:ascii="宋体"/>
                <w:spacing w:val="100"/>
                <w:sz w:val="24"/>
              </w:rPr>
              <w:t>编制</w:t>
            </w:r>
          </w:p>
        </w:tc>
        <w:tc>
          <w:tcPr>
            <w:tcW w:w="1620" w:type="dxa"/>
            <w:gridSpan w:val="4"/>
            <w:tcBorders>
              <w:top w:val="single" w:color="auto" w:sz="6" w:space="0"/>
              <w:left w:val="single" w:color="auto" w:sz="6" w:space="0"/>
              <w:bottom w:val="single" w:color="auto" w:sz="6" w:space="0"/>
              <w:right w:val="single" w:color="auto" w:sz="6" w:space="0"/>
            </w:tcBorders>
            <w:vAlign w:val="center"/>
          </w:tcPr>
          <w:p w14:paraId="0D28530E">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5F07041F">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2B35F068">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4F5482C6">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829BA39">
            <w:pPr>
              <w:jc w:val="center"/>
              <w:rPr>
                <w:rFonts w:ascii="宋体"/>
                <w:sz w:val="24"/>
              </w:rPr>
            </w:pPr>
          </w:p>
        </w:tc>
      </w:tr>
      <w:tr w14:paraId="6C69D7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267" w:type="dxa"/>
            <w:gridSpan w:val="2"/>
            <w:tcBorders>
              <w:top w:val="single" w:color="auto" w:sz="6" w:space="0"/>
              <w:left w:val="single" w:color="auto" w:sz="12" w:space="0"/>
              <w:bottom w:val="single" w:color="auto" w:sz="6" w:space="0"/>
              <w:right w:val="single" w:color="auto" w:sz="6" w:space="0"/>
            </w:tcBorders>
            <w:vAlign w:val="center"/>
          </w:tcPr>
          <w:p w14:paraId="0DD0F3A5">
            <w:pPr>
              <w:jc w:val="center"/>
              <w:rPr>
                <w:rFonts w:ascii="宋体"/>
                <w:spacing w:val="100"/>
                <w:sz w:val="24"/>
              </w:rPr>
            </w:pPr>
            <w:r>
              <w:rPr>
                <w:rFonts w:hint="eastAsia" w:ascii="宋体"/>
                <w:spacing w:val="100"/>
                <w:sz w:val="24"/>
              </w:rPr>
              <w:t>标准化</w:t>
            </w:r>
          </w:p>
        </w:tc>
        <w:tc>
          <w:tcPr>
            <w:tcW w:w="1620" w:type="dxa"/>
            <w:gridSpan w:val="4"/>
            <w:tcBorders>
              <w:top w:val="single" w:color="auto" w:sz="6" w:space="0"/>
              <w:left w:val="single" w:color="auto" w:sz="6" w:space="0"/>
              <w:bottom w:val="single" w:color="auto" w:sz="6" w:space="0"/>
              <w:right w:val="single" w:color="auto" w:sz="6" w:space="0"/>
            </w:tcBorders>
            <w:vAlign w:val="center"/>
          </w:tcPr>
          <w:p w14:paraId="241FB385">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6F36C018">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22743D33">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605C9754">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B266E7F">
            <w:pPr>
              <w:jc w:val="center"/>
              <w:rPr>
                <w:rFonts w:ascii="宋体"/>
                <w:sz w:val="24"/>
              </w:rPr>
            </w:pPr>
          </w:p>
        </w:tc>
      </w:tr>
      <w:tr w14:paraId="3879C0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115" w:hRule="atLeast"/>
          <w:jc w:val="center"/>
        </w:trPr>
        <w:tc>
          <w:tcPr>
            <w:tcW w:w="1267" w:type="dxa"/>
            <w:gridSpan w:val="2"/>
            <w:tcBorders>
              <w:top w:val="single" w:color="auto" w:sz="6" w:space="0"/>
              <w:left w:val="single" w:color="auto" w:sz="12" w:space="0"/>
              <w:bottom w:val="single" w:color="auto" w:sz="12" w:space="0"/>
              <w:right w:val="single" w:color="auto" w:sz="6" w:space="0"/>
            </w:tcBorders>
            <w:vAlign w:val="center"/>
          </w:tcPr>
          <w:p w14:paraId="336CE50C">
            <w:pPr>
              <w:jc w:val="center"/>
              <w:rPr>
                <w:rFonts w:ascii="宋体"/>
                <w:spacing w:val="100"/>
                <w:sz w:val="24"/>
              </w:rPr>
            </w:pPr>
            <w:r>
              <w:rPr>
                <w:rFonts w:hint="eastAsia" w:ascii="宋体"/>
                <w:spacing w:val="100"/>
                <w:sz w:val="24"/>
              </w:rPr>
              <w:t>会签</w:t>
            </w:r>
          </w:p>
        </w:tc>
        <w:tc>
          <w:tcPr>
            <w:tcW w:w="8453" w:type="dxa"/>
            <w:gridSpan w:val="15"/>
            <w:tcBorders>
              <w:top w:val="single" w:color="auto" w:sz="6" w:space="0"/>
              <w:left w:val="single" w:color="auto" w:sz="6" w:space="0"/>
              <w:bottom w:val="single" w:color="auto" w:sz="12" w:space="0"/>
              <w:right w:val="single" w:color="auto" w:sz="12" w:space="0"/>
            </w:tcBorders>
            <w:vAlign w:val="center"/>
          </w:tcPr>
          <w:p w14:paraId="739BBB9F">
            <w:pPr>
              <w:jc w:val="center"/>
              <w:rPr>
                <w:rFonts w:ascii="宋体"/>
                <w:sz w:val="24"/>
              </w:rPr>
            </w:pPr>
          </w:p>
        </w:tc>
      </w:tr>
    </w:tbl>
    <w:p w14:paraId="544BF2BE">
      <w:pPr>
        <w:spacing w:before="312" w:beforeLines="100" w:after="312" w:afterLines="100"/>
        <w:jc w:val="center"/>
        <w:rPr>
          <w:b/>
          <w:bCs/>
          <w:sz w:val="32"/>
          <w:szCs w:val="32"/>
        </w:rPr>
        <w:sectPr>
          <w:pgSz w:w="11906" w:h="16838"/>
          <w:pgMar w:top="1440" w:right="1800" w:bottom="1440" w:left="1800" w:header="851" w:footer="992" w:gutter="0"/>
          <w:pgNumType w:fmt="numberInDash"/>
          <w:cols w:space="425" w:num="1"/>
          <w:docGrid w:type="lines" w:linePitch="312" w:charSpace="0"/>
        </w:sectPr>
      </w:pPr>
    </w:p>
    <w:p w14:paraId="5DB3BCB8">
      <w:pPr>
        <w:spacing w:before="312" w:beforeLines="100" w:after="312" w:afterLines="100" w:line="440" w:lineRule="exact"/>
        <w:jc w:val="left"/>
        <w:rPr>
          <w:rFonts w:asciiTheme="majorEastAsia" w:hAnsiTheme="majorEastAsia" w:eastAsiaTheme="majorEastAsia" w:cstheme="majorEastAsia"/>
          <w:b/>
          <w:bCs/>
          <w:sz w:val="28"/>
        </w:rPr>
      </w:pPr>
      <w:r>
        <w:rPr>
          <w:rFonts w:hint="eastAsia" w:ascii="Times New Roman" w:hAnsi="Times New Roman" w:eastAsia="黑体" w:cs="黑体"/>
          <w:sz w:val="28"/>
        </w:rPr>
        <w:t>1 目的</w:t>
      </w:r>
    </w:p>
    <w:p w14:paraId="535BC053">
      <w:pPr>
        <w:spacing w:line="440" w:lineRule="exact"/>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为规范公司组织绩效管理行为，确保各职能部门围绕公司年度战略目标有效协同，科学制定、有效实施、客观考核组织绩效，推动公司整体经营目标的实现，特制定本程序。</w:t>
      </w:r>
    </w:p>
    <w:p w14:paraId="01EE160F">
      <w:pPr>
        <w:spacing w:before="312" w:beforeLines="100" w:after="312" w:afterLines="100" w:line="440" w:lineRule="exact"/>
        <w:jc w:val="left"/>
        <w:rPr>
          <w:rFonts w:ascii="Times New Roman" w:hAnsi="Times New Roman" w:eastAsia="黑体" w:cs="黑体"/>
          <w:sz w:val="28"/>
        </w:rPr>
      </w:pPr>
      <w:r>
        <w:rPr>
          <w:rFonts w:hint="eastAsia" w:ascii="Times New Roman" w:hAnsi="Times New Roman" w:eastAsia="黑体" w:cs="黑体"/>
          <w:sz w:val="28"/>
        </w:rPr>
        <w:t>2 适用范围</w:t>
      </w:r>
    </w:p>
    <w:p w14:paraId="25D0F220">
      <w:pPr>
        <w:spacing w:line="440" w:lineRule="exact"/>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本程序适用于公司各部门主管及以上人员的年度部门绩效的指标制定、组织实施和年度考核工作。</w:t>
      </w:r>
    </w:p>
    <w:p w14:paraId="5BE583B4">
      <w:pPr>
        <w:spacing w:before="312" w:beforeLines="100" w:after="312" w:afterLines="100" w:line="440" w:lineRule="exact"/>
        <w:jc w:val="left"/>
        <w:rPr>
          <w:rFonts w:ascii="Times New Roman" w:hAnsi="Times New Roman" w:eastAsia="黑体" w:cs="黑体"/>
          <w:sz w:val="28"/>
        </w:rPr>
      </w:pPr>
      <w:r>
        <w:rPr>
          <w:rFonts w:hint="eastAsia" w:ascii="Times New Roman" w:hAnsi="Times New Roman" w:eastAsia="黑体" w:cs="黑体"/>
          <w:sz w:val="28"/>
        </w:rPr>
        <w:t>3 术语和定义</w:t>
      </w:r>
    </w:p>
    <w:p w14:paraId="0EFA6536">
      <w:pPr>
        <w:spacing w:line="440" w:lineRule="exact"/>
        <w:ind w:firstLine="560" w:firstLineChars="200"/>
        <w:rPr>
          <w:rFonts w:asciiTheme="minorEastAsia" w:hAnsiTheme="minorEastAsia" w:cstheme="minorEastAsia"/>
          <w:sz w:val="28"/>
          <w:szCs w:val="28"/>
        </w:rPr>
      </w:pPr>
      <w:r>
        <w:rPr>
          <w:rFonts w:hint="eastAsia" w:asciiTheme="minorEastAsia" w:hAnsiTheme="minorEastAsia" w:cstheme="minorEastAsia"/>
          <w:sz w:val="28"/>
          <w:szCs w:val="28"/>
        </w:rPr>
        <w:t>无</w:t>
      </w:r>
    </w:p>
    <w:p w14:paraId="370993C5">
      <w:pPr>
        <w:spacing w:before="312" w:beforeLines="100" w:after="312" w:afterLines="100" w:line="440" w:lineRule="exact"/>
        <w:jc w:val="left"/>
        <w:rPr>
          <w:rFonts w:ascii="Times New Roman" w:hAnsi="Times New Roman" w:eastAsia="黑体" w:cs="黑体"/>
          <w:sz w:val="28"/>
        </w:rPr>
      </w:pPr>
      <w:r>
        <w:rPr>
          <w:rFonts w:hint="eastAsia" w:ascii="Times New Roman" w:hAnsi="Times New Roman" w:eastAsia="黑体" w:cs="黑体"/>
          <w:sz w:val="28"/>
        </w:rPr>
        <w:t>4 职责</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6873"/>
      </w:tblGrid>
      <w:tr w14:paraId="4C4A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vAlign w:val="center"/>
          </w:tcPr>
          <w:p w14:paraId="0576CD87">
            <w:pPr>
              <w:spacing w:before="312" w:beforeLines="100" w:after="312" w:afterLines="100"/>
              <w:jc w:val="center"/>
              <w:rPr>
                <w:rFonts w:asciiTheme="minorEastAsia" w:hAnsiTheme="minorEastAsia" w:cstheme="minorEastAsia"/>
                <w:sz w:val="24"/>
              </w:rPr>
            </w:pPr>
            <w:r>
              <w:rPr>
                <w:rFonts w:hint="eastAsia" w:asciiTheme="minorEastAsia" w:hAnsiTheme="minorEastAsia" w:cstheme="minorEastAsia"/>
                <w:sz w:val="24"/>
              </w:rPr>
              <w:t>部门</w:t>
            </w:r>
          </w:p>
        </w:tc>
        <w:tc>
          <w:tcPr>
            <w:tcW w:w="6873" w:type="dxa"/>
            <w:vAlign w:val="center"/>
          </w:tcPr>
          <w:p w14:paraId="39B7692B">
            <w:pPr>
              <w:spacing w:before="312" w:beforeLines="100" w:after="312" w:afterLines="100"/>
              <w:jc w:val="center"/>
              <w:rPr>
                <w:rFonts w:asciiTheme="minorEastAsia" w:hAnsiTheme="minorEastAsia" w:cstheme="minorEastAsia"/>
                <w:sz w:val="24"/>
              </w:rPr>
            </w:pPr>
            <w:r>
              <w:rPr>
                <w:rFonts w:hint="eastAsia" w:asciiTheme="minorEastAsia" w:hAnsiTheme="minorEastAsia" w:cstheme="minorEastAsia"/>
                <w:sz w:val="24"/>
              </w:rPr>
              <w:t>主要职责描述</w:t>
            </w:r>
          </w:p>
        </w:tc>
      </w:tr>
      <w:tr w14:paraId="46A8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vAlign w:val="center"/>
          </w:tcPr>
          <w:p w14:paraId="5D8A1EE5">
            <w:pPr>
              <w:jc w:val="center"/>
              <w:rPr>
                <w:rFonts w:asciiTheme="minorEastAsia" w:hAnsiTheme="minorEastAsia" w:cstheme="minorEastAsia"/>
                <w:sz w:val="24"/>
              </w:rPr>
            </w:pPr>
            <w:r>
              <w:rPr>
                <w:rFonts w:hint="eastAsia" w:asciiTheme="minorEastAsia" w:hAnsiTheme="minorEastAsia" w:cstheme="minorEastAsia"/>
                <w:sz w:val="24"/>
              </w:rPr>
              <w:t>经营发展部</w:t>
            </w:r>
          </w:p>
        </w:tc>
        <w:tc>
          <w:tcPr>
            <w:tcW w:w="6873" w:type="dxa"/>
            <w:vAlign w:val="center"/>
          </w:tcPr>
          <w:p w14:paraId="16D00DA9">
            <w:pPr>
              <w:jc w:val="center"/>
              <w:rPr>
                <w:rFonts w:asciiTheme="minorEastAsia" w:hAnsiTheme="minorEastAsia" w:cstheme="minorEastAsia"/>
                <w:sz w:val="24"/>
              </w:rPr>
            </w:pPr>
            <w:r>
              <w:rPr>
                <w:rFonts w:hint="eastAsia" w:asciiTheme="minorEastAsia" w:hAnsiTheme="minorEastAsia" w:cstheme="minorEastAsia"/>
                <w:sz w:val="24"/>
              </w:rPr>
              <w:t>制定并下发《年度组织绩效考核方案》，明确考核周期、指标内容、权重分配、评分方法等；年底组织各部门进行交叉打分。</w:t>
            </w:r>
          </w:p>
        </w:tc>
      </w:tr>
      <w:tr w14:paraId="31C6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vAlign w:val="center"/>
          </w:tcPr>
          <w:p w14:paraId="565C3713">
            <w:pPr>
              <w:jc w:val="center"/>
              <w:rPr>
                <w:rFonts w:asciiTheme="minorEastAsia" w:hAnsiTheme="minorEastAsia" w:cstheme="minorEastAsia"/>
                <w:sz w:val="24"/>
              </w:rPr>
            </w:pPr>
            <w:r>
              <w:rPr>
                <w:rFonts w:hint="eastAsia" w:asciiTheme="minorEastAsia" w:hAnsiTheme="minorEastAsia" w:cstheme="minorEastAsia"/>
                <w:sz w:val="24"/>
              </w:rPr>
              <w:t>各相关部门</w:t>
            </w:r>
          </w:p>
        </w:tc>
        <w:tc>
          <w:tcPr>
            <w:tcW w:w="6873" w:type="dxa"/>
            <w:vAlign w:val="center"/>
          </w:tcPr>
          <w:p w14:paraId="2AB9B7A2">
            <w:pPr>
              <w:jc w:val="center"/>
              <w:rPr>
                <w:rFonts w:asciiTheme="minorEastAsia" w:hAnsiTheme="minorEastAsia" w:cstheme="minorEastAsia"/>
                <w:sz w:val="24"/>
              </w:rPr>
            </w:pPr>
            <w:r>
              <w:rPr>
                <w:rFonts w:hint="eastAsia" w:asciiTheme="minorEastAsia" w:hAnsiTheme="minorEastAsia" w:cstheme="minorEastAsia"/>
                <w:sz w:val="24"/>
              </w:rPr>
              <w:t>对《年度组织绩效考核方案》中的指标进行核对确认；年底按要求参与横向交叉评分，做到客观、公正、基于事实；</w:t>
            </w:r>
          </w:p>
        </w:tc>
      </w:tr>
      <w:tr w14:paraId="0881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vAlign w:val="center"/>
          </w:tcPr>
          <w:p w14:paraId="29F3D69F">
            <w:pPr>
              <w:jc w:val="center"/>
              <w:rPr>
                <w:rFonts w:asciiTheme="minorEastAsia" w:hAnsiTheme="minorEastAsia" w:cstheme="minorEastAsia"/>
                <w:sz w:val="24"/>
              </w:rPr>
            </w:pPr>
            <w:r>
              <w:rPr>
                <w:rFonts w:hint="eastAsia" w:asciiTheme="minorEastAsia" w:hAnsiTheme="minorEastAsia" w:cstheme="minorEastAsia"/>
                <w:sz w:val="24"/>
              </w:rPr>
              <w:t>分管副总经理和总经理</w:t>
            </w:r>
          </w:p>
        </w:tc>
        <w:tc>
          <w:tcPr>
            <w:tcW w:w="6873" w:type="dxa"/>
            <w:vAlign w:val="center"/>
          </w:tcPr>
          <w:p w14:paraId="0A7D6B14">
            <w:pPr>
              <w:jc w:val="center"/>
              <w:rPr>
                <w:rFonts w:asciiTheme="minorEastAsia" w:hAnsiTheme="minorEastAsia" w:cstheme="minorEastAsia"/>
                <w:sz w:val="24"/>
              </w:rPr>
            </w:pPr>
            <w:r>
              <w:rPr>
                <w:rFonts w:hint="eastAsia" w:asciiTheme="minorEastAsia" w:hAnsiTheme="minorEastAsia" w:cstheme="minorEastAsia"/>
                <w:sz w:val="24"/>
              </w:rPr>
              <w:t>审定年度组织绩效考核方案与最终考核结果；批准绩效考核通报和奖惩建议，推动绩效文化落地；指导组织绩效管理制度的持续优化和升级。</w:t>
            </w:r>
          </w:p>
        </w:tc>
      </w:tr>
    </w:tbl>
    <w:p w14:paraId="70B7D58D">
      <w:pPr>
        <w:spacing w:before="312" w:beforeLines="100" w:after="312" w:afterLines="100" w:line="440" w:lineRule="exact"/>
        <w:jc w:val="left"/>
        <w:rPr>
          <w:rFonts w:ascii="Times New Roman" w:hAnsi="Times New Roman" w:eastAsia="黑体" w:cs="黑体"/>
          <w:sz w:val="28"/>
        </w:rPr>
      </w:pPr>
      <w:r>
        <w:rPr>
          <w:rFonts w:hint="eastAsia" w:ascii="Times New Roman" w:hAnsi="Times New Roman" w:eastAsia="黑体" w:cs="黑体"/>
          <w:sz w:val="28"/>
        </w:rPr>
        <w:t>5 工作程序</w:t>
      </w:r>
    </w:p>
    <w:p w14:paraId="57887430">
      <w:pPr>
        <w:spacing w:before="156" w:beforeLines="50" w:after="156" w:afterLines="50" w:line="440" w:lineRule="exact"/>
        <w:jc w:val="left"/>
        <w:rPr>
          <w:rFonts w:ascii="Times New Roman" w:hAnsi="Times New Roman" w:eastAsia="黑体" w:cs="Times New Roman"/>
          <w:iCs/>
          <w:sz w:val="28"/>
          <w:szCs w:val="28"/>
        </w:rPr>
      </w:pPr>
      <w:r>
        <w:rPr>
          <w:rFonts w:hint="eastAsia" w:ascii="Times New Roman" w:hAnsi="Times New Roman" w:eastAsia="黑体" w:cs="Times New Roman"/>
          <w:iCs/>
          <w:sz w:val="28"/>
          <w:szCs w:val="28"/>
        </w:rPr>
        <w:t>5.1组织绩效指标制定流程</w:t>
      </w:r>
    </w:p>
    <w:p w14:paraId="28DE39EB">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5.1.1考核指标初版制定：</w:t>
      </w:r>
    </w:p>
    <w:p w14:paraId="7060B619">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经营发展部根据公司年度经营指标，起草组织绩效考核指标初版。</w:t>
      </w:r>
    </w:p>
    <w:p w14:paraId="4936D318">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5.1.3考核指标批准下发：</w:t>
      </w:r>
    </w:p>
    <w:p w14:paraId="574D1CDB">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经营发展部将修订后的组织绩效考核方案提交分管副总经理审批，最终由总经理上报至总部，总部批准后形成正式文件。</w:t>
      </w:r>
    </w:p>
    <w:p w14:paraId="4458CEEE">
      <w:pPr>
        <w:spacing w:before="156" w:beforeLines="50" w:after="156" w:afterLines="50" w:line="440" w:lineRule="exact"/>
        <w:jc w:val="left"/>
        <w:rPr>
          <w:rFonts w:ascii="Times New Roman" w:hAnsi="Times New Roman" w:eastAsia="黑体" w:cs="Times New Roman"/>
          <w:iCs/>
          <w:sz w:val="28"/>
          <w:szCs w:val="28"/>
        </w:rPr>
      </w:pPr>
      <w:r>
        <w:rPr>
          <w:rFonts w:hint="eastAsia" w:ascii="Times New Roman" w:hAnsi="Times New Roman" w:eastAsia="黑体" w:cs="Times New Roman"/>
          <w:iCs/>
          <w:sz w:val="28"/>
          <w:szCs w:val="28"/>
        </w:rPr>
        <w:t>5.2组织绩效实施流程</w:t>
      </w:r>
    </w:p>
    <w:p w14:paraId="1E076458">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5.2.1组织绩效</w:t>
      </w:r>
      <w:r>
        <w:rPr>
          <w:rFonts w:hint="eastAsia" w:ascii="Times New Roman" w:hAnsi="Times New Roman" w:cstheme="minorEastAsia"/>
          <w:sz w:val="28"/>
          <w:szCs w:val="28"/>
          <w:lang w:val="en-US" w:eastAsia="zh-CN"/>
        </w:rPr>
        <w:t>考核得分</w:t>
      </w:r>
      <w:r>
        <w:rPr>
          <w:rFonts w:hint="eastAsia" w:ascii="Times New Roman" w:hAnsi="Times New Roman" w:cstheme="minorEastAsia"/>
          <w:sz w:val="28"/>
          <w:szCs w:val="28"/>
        </w:rPr>
        <w:t>：</w:t>
      </w:r>
    </w:p>
    <w:p w14:paraId="1CA13C51">
      <w:pPr>
        <w:spacing w:line="440" w:lineRule="exact"/>
        <w:ind w:firstLine="560" w:firstLineChars="200"/>
        <w:rPr>
          <w:rFonts w:hint="default" w:ascii="Times New Roman" w:hAnsi="Times New Roman" w:eastAsiaTheme="minorEastAsia" w:cstheme="minorEastAsia"/>
          <w:sz w:val="28"/>
          <w:szCs w:val="28"/>
          <w:lang w:val="en-US" w:eastAsia="zh-CN"/>
        </w:rPr>
      </w:pPr>
      <w:r>
        <w:rPr>
          <w:rFonts w:hint="eastAsia" w:ascii="Times New Roman" w:hAnsi="Times New Roman" w:cstheme="minorEastAsia"/>
          <w:sz w:val="28"/>
          <w:szCs w:val="28"/>
        </w:rPr>
        <w:t>各责任部门根据考核指标和实施计划，组织推动各项工作任务的开展</w:t>
      </w:r>
      <w:r>
        <w:rPr>
          <w:rFonts w:hint="eastAsia" w:ascii="Times New Roman" w:hAnsi="Times New Roman" w:cstheme="minorEastAsia"/>
          <w:sz w:val="28"/>
          <w:szCs w:val="28"/>
          <w:lang w:eastAsia="zh-CN"/>
        </w:rPr>
        <w:t>，</w:t>
      </w:r>
      <w:r>
        <w:rPr>
          <w:rFonts w:hint="eastAsia" w:ascii="Times New Roman" w:hAnsi="Times New Roman" w:cstheme="minorEastAsia"/>
          <w:sz w:val="28"/>
          <w:szCs w:val="28"/>
          <w:lang w:val="en-US" w:eastAsia="zh-CN"/>
        </w:rPr>
        <w:t>其中各部门组织绩效指标考核得分权重为60%。</w:t>
      </w:r>
    </w:p>
    <w:p w14:paraId="7093B9AD">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5.2.2组织横向交叉评分：</w:t>
      </w:r>
    </w:p>
    <w:p w14:paraId="6E472246">
      <w:pPr>
        <w:spacing w:line="440" w:lineRule="exact"/>
        <w:ind w:firstLine="560" w:firstLineChars="200"/>
        <w:rPr>
          <w:rFonts w:hint="default" w:ascii="Times New Roman" w:hAnsi="Times New Roman" w:eastAsiaTheme="minorEastAsia" w:cstheme="minorEastAsia"/>
          <w:sz w:val="28"/>
          <w:szCs w:val="28"/>
          <w:lang w:val="en-US" w:eastAsia="zh-CN"/>
        </w:rPr>
      </w:pPr>
      <w:r>
        <w:rPr>
          <w:rFonts w:hint="eastAsia" w:ascii="Times New Roman" w:hAnsi="Times New Roman" w:cstheme="minorEastAsia"/>
          <w:sz w:val="28"/>
          <w:szCs w:val="28"/>
        </w:rPr>
        <w:t>各部门</w:t>
      </w:r>
      <w:r>
        <w:rPr>
          <w:rFonts w:hint="eastAsia" w:ascii="Times New Roman" w:hAnsi="Times New Roman" w:cstheme="minorEastAsia"/>
          <w:sz w:val="28"/>
          <w:szCs w:val="28"/>
          <w:lang w:val="en-US" w:eastAsia="zh-CN"/>
        </w:rPr>
        <w:t>每季度</w:t>
      </w:r>
      <w:r>
        <w:rPr>
          <w:rFonts w:hint="eastAsia" w:ascii="Times New Roman" w:hAnsi="Times New Roman" w:cstheme="minorEastAsia"/>
          <w:sz w:val="28"/>
          <w:szCs w:val="28"/>
        </w:rPr>
        <w:t>需参考年度绩效考核方案填写《部门交叉打分表》，确保评分客观、公正，该项得分权重为</w:t>
      </w:r>
      <w:r>
        <w:rPr>
          <w:rFonts w:hint="eastAsia" w:ascii="Times New Roman" w:hAnsi="Times New Roman" w:cstheme="minorEastAsia"/>
          <w:sz w:val="28"/>
          <w:szCs w:val="28"/>
          <w:lang w:val="en-US" w:eastAsia="zh-CN"/>
        </w:rPr>
        <w:t>3</w:t>
      </w:r>
      <w:r>
        <w:rPr>
          <w:rFonts w:hint="eastAsia" w:ascii="Times New Roman" w:hAnsi="Times New Roman" w:cstheme="minorEastAsia"/>
          <w:sz w:val="28"/>
          <w:szCs w:val="28"/>
        </w:rPr>
        <w:t>0%。</w:t>
      </w:r>
      <w:r>
        <w:rPr>
          <w:rFonts w:hint="eastAsia" w:ascii="Times New Roman" w:hAnsi="Times New Roman" w:cstheme="minorEastAsia"/>
          <w:sz w:val="28"/>
          <w:szCs w:val="28"/>
          <w:lang w:val="en-US" w:eastAsia="zh-CN"/>
        </w:rPr>
        <w:t>总经理给各部门进行评分，权重占该项得分的30%，各部门交叉打分占该项得分的70%，年底统一核算。</w:t>
      </w:r>
    </w:p>
    <w:p w14:paraId="39FABE28">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5.2.3</w:t>
      </w:r>
      <w:r>
        <w:rPr>
          <w:rFonts w:hint="eastAsia" w:ascii="Times New Roman" w:hAnsi="Times New Roman" w:cstheme="minorEastAsia"/>
          <w:sz w:val="28"/>
          <w:szCs w:val="28"/>
          <w:lang w:val="en-US" w:eastAsia="zh-CN"/>
        </w:rPr>
        <w:t>重点任务及行动项考核得分</w:t>
      </w:r>
      <w:r>
        <w:rPr>
          <w:rFonts w:hint="eastAsia" w:ascii="Times New Roman" w:hAnsi="Times New Roman" w:cstheme="minorEastAsia"/>
          <w:sz w:val="28"/>
          <w:szCs w:val="28"/>
        </w:rPr>
        <w:t>：</w:t>
      </w:r>
    </w:p>
    <w:p w14:paraId="635DDF91">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lang w:val="en-US" w:eastAsia="zh-CN"/>
        </w:rPr>
        <w:t>经营发展部根据各部门年度重点任务及行动项的完成情况进行</w:t>
      </w:r>
      <w:r>
        <w:rPr>
          <w:rFonts w:hint="eastAsia" w:ascii="Times New Roman" w:hAnsi="Times New Roman" w:cstheme="minorEastAsia"/>
          <w:sz w:val="28"/>
          <w:szCs w:val="28"/>
        </w:rPr>
        <w:t>评分，该项得分权重为</w:t>
      </w:r>
      <w:r>
        <w:rPr>
          <w:rFonts w:hint="eastAsia" w:ascii="Times New Roman" w:hAnsi="Times New Roman" w:cstheme="minorEastAsia"/>
          <w:sz w:val="28"/>
          <w:szCs w:val="28"/>
          <w:lang w:val="en-US" w:eastAsia="zh-CN"/>
        </w:rPr>
        <w:t>1</w:t>
      </w:r>
      <w:r>
        <w:rPr>
          <w:rFonts w:hint="eastAsia" w:ascii="Times New Roman" w:hAnsi="Times New Roman" w:cstheme="minorEastAsia"/>
          <w:sz w:val="28"/>
          <w:szCs w:val="28"/>
        </w:rPr>
        <w:t>0%。</w:t>
      </w:r>
    </w:p>
    <w:p w14:paraId="2356B21E">
      <w:pPr>
        <w:spacing w:before="156" w:beforeLines="50" w:after="156" w:afterLines="50" w:line="440" w:lineRule="exact"/>
        <w:jc w:val="left"/>
        <w:rPr>
          <w:rFonts w:ascii="Times New Roman" w:hAnsi="Times New Roman" w:eastAsia="黑体" w:cs="Times New Roman"/>
          <w:iCs/>
          <w:sz w:val="28"/>
          <w:szCs w:val="28"/>
        </w:rPr>
      </w:pPr>
      <w:r>
        <w:rPr>
          <w:rFonts w:hint="eastAsia" w:ascii="Times New Roman" w:hAnsi="Times New Roman" w:eastAsia="黑体" w:cs="Times New Roman"/>
          <w:iCs/>
          <w:sz w:val="28"/>
          <w:szCs w:val="28"/>
        </w:rPr>
        <w:t>5.3组织绩效考核流程</w:t>
      </w:r>
    </w:p>
    <w:p w14:paraId="4FFBE6B7">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5.3.1绩效结果核算：</w:t>
      </w:r>
    </w:p>
    <w:p w14:paraId="0DCECEB4">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经营发展部根据</w:t>
      </w:r>
      <w:r>
        <w:rPr>
          <w:rFonts w:hint="eastAsia" w:ascii="Times New Roman" w:hAnsi="Times New Roman" w:cstheme="minorEastAsia"/>
          <w:sz w:val="28"/>
          <w:szCs w:val="28"/>
          <w:lang w:val="en-US" w:eastAsia="zh-CN"/>
        </w:rPr>
        <w:t>组织绩效指标考核得分、</w:t>
      </w:r>
      <w:r>
        <w:rPr>
          <w:rFonts w:hint="eastAsia" w:ascii="Times New Roman" w:hAnsi="Times New Roman" w:cstheme="minorEastAsia"/>
          <w:sz w:val="28"/>
          <w:szCs w:val="28"/>
        </w:rPr>
        <w:t>《部门交叉打分表》及</w:t>
      </w:r>
      <w:r>
        <w:rPr>
          <w:rFonts w:hint="eastAsia" w:ascii="Times New Roman" w:hAnsi="Times New Roman" w:cstheme="minorEastAsia"/>
          <w:sz w:val="28"/>
          <w:szCs w:val="28"/>
          <w:lang w:val="en-US" w:eastAsia="zh-CN"/>
        </w:rPr>
        <w:t>重点任务及行动项考核得分</w:t>
      </w:r>
      <w:r>
        <w:rPr>
          <w:rFonts w:hint="eastAsia" w:ascii="Times New Roman" w:hAnsi="Times New Roman" w:cstheme="minorEastAsia"/>
          <w:sz w:val="28"/>
          <w:szCs w:val="28"/>
        </w:rPr>
        <w:t>，按既定权重与评分标准，对各部门进行得分汇总，形成绩效得分。</w:t>
      </w:r>
    </w:p>
    <w:p w14:paraId="51DC8929">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5.3.2绩效结果审定：</w:t>
      </w:r>
    </w:p>
    <w:p w14:paraId="1486C576">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初步考核结果经经营发展部部长审核后，报分管副总经理审阅，最后提交总经理审批，作为最终绩效评分结果。</w:t>
      </w:r>
    </w:p>
    <w:p w14:paraId="1151F1FF">
      <w:pPr>
        <w:spacing w:line="440" w:lineRule="exact"/>
        <w:rPr>
          <w:rFonts w:ascii="Times New Roman" w:hAnsi="Times New Roman" w:cstheme="minorEastAsia"/>
          <w:sz w:val="28"/>
          <w:szCs w:val="28"/>
        </w:rPr>
      </w:pPr>
      <w:r>
        <w:rPr>
          <w:rFonts w:hint="eastAsia" w:ascii="Times New Roman" w:hAnsi="Times New Roman" w:cstheme="minorEastAsia"/>
          <w:sz w:val="28"/>
          <w:szCs w:val="28"/>
        </w:rPr>
        <w:t>5.3.3绩效结果通报与应用：</w:t>
      </w:r>
    </w:p>
    <w:p w14:paraId="0FBD8AF9">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审批通过后，经营发展部形成《各部门得分表》，向公司内部发布，绩效得分将作为评优评先、绩效奖惩、资源分配等的重要依据。</w:t>
      </w:r>
    </w:p>
    <w:p w14:paraId="188DA833">
      <w:pPr>
        <w:spacing w:before="312" w:beforeLines="100" w:after="312" w:afterLines="100" w:line="440" w:lineRule="exact"/>
        <w:jc w:val="left"/>
        <w:rPr>
          <w:rFonts w:hint="eastAsia" w:ascii="Times New Roman" w:hAnsi="Times New Roman" w:eastAsia="黑体" w:cs="黑体"/>
          <w:sz w:val="28"/>
        </w:rPr>
      </w:pPr>
    </w:p>
    <w:p w14:paraId="2F874F42">
      <w:pPr>
        <w:spacing w:before="312" w:beforeLines="100" w:after="312" w:afterLines="100" w:line="440" w:lineRule="exact"/>
        <w:jc w:val="left"/>
        <w:rPr>
          <w:rFonts w:hint="eastAsia" w:ascii="Times New Roman" w:hAnsi="Times New Roman" w:eastAsia="黑体" w:cs="黑体"/>
          <w:sz w:val="28"/>
        </w:rPr>
      </w:pPr>
    </w:p>
    <w:p w14:paraId="2D5F81F1">
      <w:pPr>
        <w:spacing w:before="312" w:beforeLines="100" w:after="312" w:afterLines="100" w:line="440" w:lineRule="exact"/>
        <w:jc w:val="left"/>
        <w:rPr>
          <w:rFonts w:hint="eastAsia" w:ascii="Times New Roman" w:hAnsi="Times New Roman" w:eastAsia="黑体" w:cs="黑体"/>
          <w:sz w:val="28"/>
        </w:rPr>
      </w:pPr>
    </w:p>
    <w:p w14:paraId="36929BA8">
      <w:pPr>
        <w:spacing w:before="312" w:beforeLines="100" w:after="312" w:afterLines="100" w:line="440" w:lineRule="exact"/>
        <w:jc w:val="left"/>
        <w:rPr>
          <w:rFonts w:hint="eastAsia" w:ascii="Times New Roman" w:hAnsi="Times New Roman" w:eastAsia="黑体" w:cs="黑体"/>
          <w:sz w:val="28"/>
        </w:rPr>
      </w:pPr>
    </w:p>
    <w:p w14:paraId="758922EF">
      <w:pPr>
        <w:spacing w:before="312" w:beforeLines="100" w:after="312" w:afterLines="100" w:line="440" w:lineRule="exact"/>
        <w:jc w:val="left"/>
        <w:rPr>
          <w:sz w:val="28"/>
        </w:rPr>
      </w:pPr>
      <w:r>
        <w:rPr>
          <w:rFonts w:hint="eastAsia" w:ascii="Times New Roman" w:hAnsi="Times New Roman" w:eastAsia="黑体" w:cs="黑体"/>
          <w:sz w:val="28"/>
        </w:rPr>
        <w:t>6 流程</w:t>
      </w:r>
    </w:p>
    <w:p w14:paraId="290E18AC">
      <w:pPr>
        <w:pStyle w:val="6"/>
        <w:widowControl/>
        <w:jc w:val="center"/>
      </w:pPr>
      <w:r>
        <w:object>
          <v:shape id="_x0000_i1025" o:spt="75" type="#_x0000_t75" style="height:145.1pt;width:415.1pt;" o:ole="t" filled="f" o:preferrelative="t" stroked="f" coordsize="21600,21600">
            <v:path/>
            <v:fill on="f" focussize="0,0"/>
            <v:stroke on="f" joinstyle="miter"/>
            <v:imagedata r:id="rId6" o:title=""/>
            <o:lock v:ext="edit" aspectratio="f"/>
            <w10:wrap type="none"/>
            <w10:anchorlock/>
          </v:shape>
          <o:OLEObject Type="Embed" ProgID="Visio.Drawing.15" ShapeID="_x0000_i1025" DrawAspect="Content" ObjectID="_1468075725" r:id="rId5">
            <o:LockedField>false</o:LockedField>
          </o:OLEObject>
        </w:object>
      </w:r>
    </w:p>
    <w:p w14:paraId="1CD53D0D">
      <w:pPr>
        <w:spacing w:before="312" w:beforeLines="100" w:after="312" w:afterLines="100" w:line="440" w:lineRule="exact"/>
        <w:jc w:val="left"/>
        <w:rPr>
          <w:rFonts w:asciiTheme="majorEastAsia" w:hAnsiTheme="majorEastAsia" w:eastAsiaTheme="majorEastAsia" w:cstheme="majorEastAsia"/>
          <w:b/>
          <w:bCs/>
          <w:sz w:val="28"/>
        </w:rPr>
      </w:pPr>
      <w:r>
        <w:rPr>
          <w:rFonts w:hint="eastAsia" w:ascii="Times New Roman" w:hAnsi="Times New Roman" w:eastAsia="黑体" w:cs="黑体"/>
          <w:sz w:val="28"/>
        </w:rPr>
        <w:t>7 记录表格</w:t>
      </w:r>
    </w:p>
    <w:p w14:paraId="3B93E8E6">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GLTX-JY-06-01-A部门交叉打分表</w:t>
      </w:r>
    </w:p>
    <w:p w14:paraId="345A9CD7">
      <w:pPr>
        <w:spacing w:line="440" w:lineRule="exact"/>
        <w:ind w:firstLine="560" w:firstLineChars="200"/>
        <w:rPr>
          <w:rFonts w:ascii="Times New Roman" w:hAnsi="Times New Roman" w:cstheme="minorEastAsia"/>
          <w:sz w:val="28"/>
          <w:szCs w:val="28"/>
        </w:rPr>
      </w:pPr>
      <w:r>
        <w:rPr>
          <w:rFonts w:hint="eastAsia" w:ascii="Times New Roman" w:hAnsi="Times New Roman" w:cstheme="minorEastAsia"/>
          <w:sz w:val="28"/>
          <w:szCs w:val="28"/>
        </w:rPr>
        <w:t>GLTX-JY-06-02-A各部门得分表</w:t>
      </w:r>
    </w:p>
    <w:p w14:paraId="133FC36B">
      <w:pPr>
        <w:spacing w:before="312" w:beforeLines="100" w:after="312" w:afterLines="100" w:line="440" w:lineRule="exact"/>
        <w:jc w:val="left"/>
        <w:rPr>
          <w:sz w:val="28"/>
        </w:rPr>
      </w:pPr>
      <w:r>
        <w:rPr>
          <w:rFonts w:hint="eastAsia" w:ascii="Times New Roman" w:hAnsi="Times New Roman" w:eastAsia="黑体" w:cs="黑体"/>
          <w:sz w:val="28"/>
        </w:rPr>
        <w:t>8 记录控制</w:t>
      </w:r>
    </w:p>
    <w:p w14:paraId="25EE4DF7">
      <w:pPr>
        <w:spacing w:line="440" w:lineRule="exact"/>
        <w:ind w:firstLine="560" w:firstLineChars="200"/>
        <w:rPr>
          <w:rFonts w:ascii="Times New Roman" w:hAnsi="Times New Roman" w:cstheme="minorEastAsia"/>
          <w:sz w:val="28"/>
          <w:szCs w:val="28"/>
        </w:rPr>
        <w:sectPr>
          <w:footerReference r:id="rId3" w:type="default"/>
          <w:pgSz w:w="11906" w:h="16838"/>
          <w:pgMar w:top="1440" w:right="1800" w:bottom="1440" w:left="1800" w:header="851" w:footer="992" w:gutter="0"/>
          <w:pgNumType w:fmt="numberInDash" w:start="1"/>
          <w:cols w:space="425" w:num="1"/>
          <w:docGrid w:type="lines" w:linePitch="312" w:charSpace="0"/>
        </w:sectPr>
      </w:pPr>
      <w:r>
        <w:rPr>
          <w:rFonts w:hint="eastAsia" w:ascii="Times New Roman" w:hAnsi="Times New Roman" w:cstheme="minorEastAsia"/>
          <w:sz w:val="28"/>
          <w:szCs w:val="28"/>
        </w:rPr>
        <w:t>本制度所涉及表单由程序文件相关部门和经营发展部各保存一份，保存期限为长期。</w:t>
      </w:r>
    </w:p>
    <w:p w14:paraId="65BE8BE6">
      <w:pPr>
        <w:spacing w:after="156" w:afterLines="50"/>
        <w:ind w:firstLine="560" w:firstLineChars="200"/>
        <w:jc w:val="left"/>
        <w:rPr>
          <w:rFonts w:ascii="黑体" w:hAnsi="黑体" w:eastAsia="黑体" w:cs="黑体"/>
          <w:b/>
          <w:bCs/>
          <w:sz w:val="28"/>
          <w:szCs w:val="28"/>
        </w:rPr>
      </w:pPr>
      <w:r>
        <w:rPr>
          <w:rFonts w:hint="eastAsia" w:ascii="黑体" w:hAnsi="黑体" w:eastAsia="黑体" w:cs="黑体"/>
          <w:sz w:val="28"/>
          <w:szCs w:val="28"/>
        </w:rPr>
        <w:t>附表1 GLTX-JY-06-01-A部门交叉打分表</w:t>
      </w:r>
    </w:p>
    <w:tbl>
      <w:tblPr>
        <w:tblStyle w:val="7"/>
        <w:tblW w:w="4891" w:type="pct"/>
        <w:tblInd w:w="0" w:type="dxa"/>
        <w:tblLayout w:type="fixed"/>
        <w:tblCellMar>
          <w:top w:w="0" w:type="dxa"/>
          <w:left w:w="108" w:type="dxa"/>
          <w:bottom w:w="0" w:type="dxa"/>
          <w:right w:w="108" w:type="dxa"/>
        </w:tblCellMar>
      </w:tblPr>
      <w:tblGrid>
        <w:gridCol w:w="2902"/>
        <w:gridCol w:w="2368"/>
        <w:gridCol w:w="1431"/>
        <w:gridCol w:w="2711"/>
        <w:gridCol w:w="1004"/>
        <w:gridCol w:w="2319"/>
        <w:gridCol w:w="1131"/>
      </w:tblGrid>
      <w:tr w14:paraId="26AAA133">
        <w:tblPrEx>
          <w:tblCellMar>
            <w:top w:w="0" w:type="dxa"/>
            <w:left w:w="108" w:type="dxa"/>
            <w:bottom w:w="0" w:type="dxa"/>
            <w:right w:w="108" w:type="dxa"/>
          </w:tblCellMar>
        </w:tblPrEx>
        <w:trPr>
          <w:trHeight w:val="285" w:hRule="atLeast"/>
        </w:trPr>
        <w:tc>
          <w:tcPr>
            <w:tcW w:w="1046" w:type="pct"/>
            <w:tcBorders>
              <w:top w:val="nil"/>
              <w:left w:val="nil"/>
              <w:bottom w:val="nil"/>
              <w:right w:val="nil"/>
            </w:tcBorders>
            <w:shd w:val="clear" w:color="auto" w:fill="auto"/>
            <w:noWrap/>
            <w:vAlign w:val="center"/>
          </w:tcPr>
          <w:p w14:paraId="5A09E021">
            <w:pPr>
              <w:widowControl/>
              <w:jc w:val="left"/>
              <w:textAlignment w:val="center"/>
              <w:rPr>
                <w:rFonts w:ascii="宋体" w:hAnsi="宋体" w:eastAsia="宋体" w:cs="宋体"/>
                <w:color w:val="000000"/>
                <w:sz w:val="24"/>
              </w:rPr>
            </w:pPr>
            <w:r>
              <w:rPr>
                <w:rFonts w:hint="eastAsia" w:ascii="宋体" w:hAnsi="宋体" w:eastAsia="宋体" w:cs="宋体"/>
                <w:color w:val="000000"/>
                <w:kern w:val="0"/>
                <w:sz w:val="24"/>
                <w:lang w:bidi="ar"/>
              </w:rPr>
              <w:t>填表人：</w:t>
            </w:r>
          </w:p>
        </w:tc>
        <w:tc>
          <w:tcPr>
            <w:tcW w:w="853" w:type="pct"/>
            <w:tcBorders>
              <w:top w:val="nil"/>
              <w:left w:val="nil"/>
              <w:bottom w:val="nil"/>
              <w:right w:val="nil"/>
            </w:tcBorders>
            <w:shd w:val="clear" w:color="auto" w:fill="auto"/>
            <w:noWrap/>
            <w:vAlign w:val="center"/>
          </w:tcPr>
          <w:p w14:paraId="77060027">
            <w:pP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填表日期：</w:t>
            </w:r>
            <w:bookmarkStart w:id="0" w:name="_GoBack"/>
            <w:bookmarkEnd w:id="0"/>
          </w:p>
        </w:tc>
        <w:tc>
          <w:tcPr>
            <w:tcW w:w="516" w:type="pct"/>
            <w:tcBorders>
              <w:top w:val="nil"/>
              <w:left w:val="nil"/>
              <w:bottom w:val="nil"/>
              <w:right w:val="nil"/>
            </w:tcBorders>
            <w:shd w:val="clear" w:color="auto" w:fill="auto"/>
            <w:noWrap/>
            <w:vAlign w:val="center"/>
          </w:tcPr>
          <w:p w14:paraId="3C40BFA5">
            <w:pPr>
              <w:rPr>
                <w:rFonts w:ascii="宋体" w:hAnsi="宋体" w:eastAsia="宋体" w:cs="宋体"/>
                <w:color w:val="000000"/>
                <w:sz w:val="24"/>
              </w:rPr>
            </w:pPr>
          </w:p>
        </w:tc>
        <w:tc>
          <w:tcPr>
            <w:tcW w:w="977" w:type="pct"/>
            <w:tcBorders>
              <w:top w:val="nil"/>
              <w:left w:val="nil"/>
              <w:bottom w:val="nil"/>
              <w:right w:val="nil"/>
            </w:tcBorders>
            <w:shd w:val="clear" w:color="auto" w:fill="auto"/>
            <w:noWrap/>
            <w:vAlign w:val="center"/>
          </w:tcPr>
          <w:p w14:paraId="1B04F0F0">
            <w:pPr>
              <w:rPr>
                <w:rFonts w:ascii="宋体" w:hAnsi="宋体" w:eastAsia="宋体" w:cs="宋体"/>
                <w:color w:val="000000"/>
                <w:sz w:val="24"/>
              </w:rPr>
            </w:pPr>
          </w:p>
        </w:tc>
        <w:tc>
          <w:tcPr>
            <w:tcW w:w="362" w:type="pct"/>
            <w:tcBorders>
              <w:top w:val="nil"/>
              <w:left w:val="nil"/>
              <w:bottom w:val="nil"/>
              <w:right w:val="nil"/>
            </w:tcBorders>
            <w:shd w:val="clear" w:color="auto" w:fill="auto"/>
            <w:noWrap/>
            <w:vAlign w:val="center"/>
          </w:tcPr>
          <w:p w14:paraId="279BF26B">
            <w:pPr>
              <w:rPr>
                <w:rFonts w:ascii="宋体" w:hAnsi="宋体" w:eastAsia="宋体" w:cs="宋体"/>
                <w:color w:val="000000"/>
                <w:sz w:val="24"/>
              </w:rPr>
            </w:pPr>
          </w:p>
        </w:tc>
        <w:tc>
          <w:tcPr>
            <w:tcW w:w="836" w:type="pct"/>
            <w:tcBorders>
              <w:top w:val="nil"/>
              <w:left w:val="nil"/>
              <w:bottom w:val="nil"/>
              <w:right w:val="nil"/>
            </w:tcBorders>
            <w:shd w:val="clear" w:color="auto" w:fill="auto"/>
            <w:noWrap/>
            <w:vAlign w:val="center"/>
          </w:tcPr>
          <w:p w14:paraId="44F6247E">
            <w:pP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第___季度</w:t>
            </w:r>
          </w:p>
        </w:tc>
        <w:tc>
          <w:tcPr>
            <w:tcW w:w="407" w:type="pct"/>
            <w:tcBorders>
              <w:top w:val="nil"/>
              <w:left w:val="nil"/>
              <w:bottom w:val="nil"/>
              <w:right w:val="nil"/>
            </w:tcBorders>
            <w:shd w:val="clear" w:color="auto" w:fill="auto"/>
            <w:noWrap/>
            <w:vAlign w:val="center"/>
          </w:tcPr>
          <w:p w14:paraId="03A9DDB2">
            <w:pPr>
              <w:rPr>
                <w:rFonts w:ascii="宋体" w:hAnsi="宋体" w:eastAsia="宋体" w:cs="宋体"/>
                <w:color w:val="000000"/>
                <w:sz w:val="24"/>
              </w:rPr>
            </w:pPr>
          </w:p>
        </w:tc>
      </w:tr>
      <w:tr w14:paraId="6B7448E6">
        <w:tblPrEx>
          <w:tblCellMar>
            <w:top w:w="0" w:type="dxa"/>
            <w:left w:w="108" w:type="dxa"/>
            <w:bottom w:w="0" w:type="dxa"/>
            <w:right w:w="108" w:type="dxa"/>
          </w:tblCellMar>
        </w:tblPrEx>
        <w:trPr>
          <w:trHeight w:val="348"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6E975">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部门</w:t>
            </w:r>
          </w:p>
        </w:tc>
        <w:tc>
          <w:tcPr>
            <w:tcW w:w="8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F93E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工作作风</w:t>
            </w: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A910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打分</w:t>
            </w:r>
          </w:p>
        </w:tc>
        <w:tc>
          <w:tcPr>
            <w:tcW w:w="9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9F67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业务能力</w:t>
            </w: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1B71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打分</w:t>
            </w:r>
          </w:p>
        </w:tc>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977C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团队协作</w:t>
            </w: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4A3F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打分</w:t>
            </w:r>
          </w:p>
        </w:tc>
      </w:tr>
      <w:tr w14:paraId="34AB040D">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1D82A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副总经理（经营）</w:t>
            </w:r>
          </w:p>
        </w:tc>
        <w:tc>
          <w:tcPr>
            <w:tcW w:w="853" w:type="pct"/>
            <w:vMerge w:val="restart"/>
            <w:tcBorders>
              <w:top w:val="single" w:color="000000" w:sz="4" w:space="0"/>
              <w:left w:val="single" w:color="000000" w:sz="4" w:space="0"/>
              <w:right w:val="single" w:color="000000" w:sz="4" w:space="0"/>
            </w:tcBorders>
            <w:shd w:val="clear" w:color="auto" w:fill="auto"/>
            <w:vAlign w:val="center"/>
          </w:tcPr>
          <w:p w14:paraId="3213C5C2">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主要从责任意识、执行力度、工作态度和主动性等方面进行考核，重点评价被考核人是否具备良好的职业操守，能否主动承担职责、按制度要求推进工作，面对问题是否积极负责、敢于担当，执行过程是否严谨高效，同时保持积极稳定的职业态度和良好的工作氛围。</w:t>
            </w: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66EDB">
            <w:pPr>
              <w:jc w:val="center"/>
              <w:rPr>
                <w:rFonts w:ascii="宋体" w:hAnsi="宋体" w:eastAsia="宋体" w:cs="宋体"/>
                <w:color w:val="000000"/>
                <w:sz w:val="24"/>
              </w:rPr>
            </w:pPr>
          </w:p>
        </w:tc>
        <w:tc>
          <w:tcPr>
            <w:tcW w:w="977" w:type="pct"/>
            <w:vMerge w:val="restart"/>
            <w:tcBorders>
              <w:top w:val="single" w:color="000000" w:sz="4" w:space="0"/>
              <w:left w:val="single" w:color="000000" w:sz="4" w:space="0"/>
              <w:right w:val="single" w:color="000000" w:sz="4" w:space="0"/>
            </w:tcBorders>
            <w:shd w:val="clear" w:color="auto" w:fill="auto"/>
            <w:vAlign w:val="center"/>
          </w:tcPr>
          <w:p w14:paraId="1527970F">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重点考察被考核人的专业知识掌握情况、业务技能应用水平、问题分析与解决能力、创新意识以及工作成果质量。考核内容包括能否熟练运用专业知识开展工作，面对业务难题是否具有有效分析和解决能力，是否在工作中体现改进与创新意识，以及最终成果在准确性、质量稳定性和完成度方面是否能够达到岗位要求。</w:t>
            </w: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AE993">
            <w:pPr>
              <w:jc w:val="center"/>
              <w:rPr>
                <w:rFonts w:ascii="宋体" w:hAnsi="宋体" w:eastAsia="宋体" w:cs="宋体"/>
                <w:color w:val="000000"/>
                <w:sz w:val="24"/>
              </w:rPr>
            </w:pPr>
          </w:p>
        </w:tc>
        <w:tc>
          <w:tcPr>
            <w:tcW w:w="836" w:type="pct"/>
            <w:vMerge w:val="restart"/>
            <w:tcBorders>
              <w:top w:val="single" w:color="000000" w:sz="4" w:space="0"/>
              <w:left w:val="single" w:color="000000" w:sz="4" w:space="0"/>
              <w:right w:val="single" w:color="000000" w:sz="4" w:space="0"/>
            </w:tcBorders>
            <w:shd w:val="clear" w:color="auto" w:fill="auto"/>
            <w:vAlign w:val="center"/>
          </w:tcPr>
          <w:p w14:paraId="2B3F7F0D">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主要围绕协作态度、沟通能力、跨部门协调以及对团队整体工作的支持贡献进行综合判断。重点评价被考核人是否能积极配合同事开展工作，沟通顺畅、态度友好，能有效促进信息共享与工作衔接，特别是在跨部门任务中能够主动对接、推动协同，为团队整体目标的达成作出积极贡献。</w:t>
            </w: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9D69C">
            <w:pPr>
              <w:jc w:val="center"/>
              <w:rPr>
                <w:rFonts w:ascii="宋体" w:hAnsi="宋体" w:eastAsia="宋体" w:cs="宋体"/>
                <w:color w:val="000000"/>
                <w:sz w:val="24"/>
              </w:rPr>
            </w:pPr>
          </w:p>
        </w:tc>
      </w:tr>
      <w:tr w14:paraId="00EF0B8A">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73759">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副总经理（生产）</w:t>
            </w:r>
          </w:p>
        </w:tc>
        <w:tc>
          <w:tcPr>
            <w:tcW w:w="853" w:type="pct"/>
            <w:vMerge w:val="continue"/>
            <w:tcBorders>
              <w:left w:val="single" w:color="000000" w:sz="4" w:space="0"/>
              <w:right w:val="single" w:color="000000" w:sz="4" w:space="0"/>
            </w:tcBorders>
            <w:shd w:val="clear" w:color="auto" w:fill="auto"/>
            <w:vAlign w:val="center"/>
          </w:tcPr>
          <w:p w14:paraId="0087757A">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279DF">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44FA54D3">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50EC6">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3B649FE4">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6BF21">
            <w:pPr>
              <w:jc w:val="center"/>
              <w:rPr>
                <w:rFonts w:ascii="宋体" w:hAnsi="宋体" w:eastAsia="宋体" w:cs="宋体"/>
                <w:color w:val="000000"/>
                <w:sz w:val="24"/>
              </w:rPr>
            </w:pPr>
          </w:p>
        </w:tc>
      </w:tr>
      <w:tr w14:paraId="2A0BBFCD">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A6999">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行政人事部</w:t>
            </w:r>
          </w:p>
        </w:tc>
        <w:tc>
          <w:tcPr>
            <w:tcW w:w="853" w:type="pct"/>
            <w:vMerge w:val="continue"/>
            <w:tcBorders>
              <w:left w:val="single" w:color="000000" w:sz="4" w:space="0"/>
              <w:right w:val="single" w:color="000000" w:sz="4" w:space="0"/>
            </w:tcBorders>
            <w:shd w:val="clear" w:color="auto" w:fill="auto"/>
            <w:vAlign w:val="center"/>
          </w:tcPr>
          <w:p w14:paraId="13BF4311">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C9980">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6619916C">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CD8D6">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02478C92">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87636">
            <w:pPr>
              <w:jc w:val="center"/>
              <w:rPr>
                <w:rFonts w:ascii="宋体" w:hAnsi="宋体" w:eastAsia="宋体" w:cs="宋体"/>
                <w:color w:val="000000"/>
                <w:sz w:val="24"/>
              </w:rPr>
            </w:pPr>
          </w:p>
        </w:tc>
      </w:tr>
      <w:tr w14:paraId="2189FC7F">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9DF3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经营发展部</w:t>
            </w:r>
          </w:p>
        </w:tc>
        <w:tc>
          <w:tcPr>
            <w:tcW w:w="853" w:type="pct"/>
            <w:vMerge w:val="continue"/>
            <w:tcBorders>
              <w:left w:val="single" w:color="000000" w:sz="4" w:space="0"/>
              <w:right w:val="single" w:color="000000" w:sz="4" w:space="0"/>
            </w:tcBorders>
            <w:shd w:val="clear" w:color="auto" w:fill="auto"/>
            <w:vAlign w:val="center"/>
          </w:tcPr>
          <w:p w14:paraId="60C51A58">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09729">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3A03B6AB">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38F7E">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4124B8A7">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CBD61">
            <w:pPr>
              <w:jc w:val="center"/>
              <w:rPr>
                <w:rFonts w:ascii="宋体" w:hAnsi="宋体" w:eastAsia="宋体" w:cs="宋体"/>
                <w:color w:val="000000"/>
                <w:sz w:val="24"/>
              </w:rPr>
            </w:pPr>
          </w:p>
        </w:tc>
      </w:tr>
      <w:tr w14:paraId="45E3C9A2">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847D6">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项目管理部</w:t>
            </w:r>
          </w:p>
        </w:tc>
        <w:tc>
          <w:tcPr>
            <w:tcW w:w="853" w:type="pct"/>
            <w:vMerge w:val="continue"/>
            <w:tcBorders>
              <w:left w:val="single" w:color="000000" w:sz="4" w:space="0"/>
              <w:right w:val="single" w:color="000000" w:sz="4" w:space="0"/>
            </w:tcBorders>
            <w:shd w:val="clear" w:color="auto" w:fill="auto"/>
            <w:vAlign w:val="center"/>
          </w:tcPr>
          <w:p w14:paraId="16B53A47">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976FB">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51A65612">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0D70A">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5386870E">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7F7A1">
            <w:pPr>
              <w:jc w:val="center"/>
              <w:rPr>
                <w:rFonts w:ascii="宋体" w:hAnsi="宋体" w:eastAsia="宋体" w:cs="宋体"/>
                <w:color w:val="000000"/>
                <w:sz w:val="24"/>
              </w:rPr>
            </w:pPr>
          </w:p>
        </w:tc>
      </w:tr>
      <w:tr w14:paraId="00BBCBD8">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B264A">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工程技术部</w:t>
            </w:r>
          </w:p>
        </w:tc>
        <w:tc>
          <w:tcPr>
            <w:tcW w:w="853" w:type="pct"/>
            <w:vMerge w:val="continue"/>
            <w:tcBorders>
              <w:left w:val="single" w:color="000000" w:sz="4" w:space="0"/>
              <w:right w:val="single" w:color="000000" w:sz="4" w:space="0"/>
            </w:tcBorders>
            <w:shd w:val="clear" w:color="auto" w:fill="auto"/>
            <w:vAlign w:val="center"/>
          </w:tcPr>
          <w:p w14:paraId="0C8CC1C2">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1E607">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71125702">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0D7F8">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208A22D5">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701C5">
            <w:pPr>
              <w:jc w:val="center"/>
              <w:rPr>
                <w:rFonts w:ascii="宋体" w:hAnsi="宋体" w:eastAsia="宋体" w:cs="宋体"/>
                <w:color w:val="000000"/>
                <w:sz w:val="24"/>
              </w:rPr>
            </w:pPr>
          </w:p>
        </w:tc>
      </w:tr>
      <w:tr w14:paraId="1EC60E78">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7D8E3">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质量</w:t>
            </w:r>
            <w:r>
              <w:rPr>
                <w:rFonts w:hint="eastAsia" w:ascii="宋体" w:hAnsi="宋体" w:eastAsia="宋体" w:cs="宋体"/>
                <w:color w:val="000000"/>
                <w:kern w:val="0"/>
                <w:sz w:val="24"/>
                <w:lang w:val="en-US" w:eastAsia="zh-CN" w:bidi="ar"/>
              </w:rPr>
              <w:t>管理</w:t>
            </w:r>
            <w:r>
              <w:rPr>
                <w:rFonts w:hint="eastAsia" w:ascii="宋体" w:hAnsi="宋体" w:eastAsia="宋体" w:cs="宋体"/>
                <w:color w:val="000000"/>
                <w:kern w:val="0"/>
                <w:sz w:val="24"/>
                <w:lang w:bidi="ar"/>
              </w:rPr>
              <w:t>部</w:t>
            </w:r>
          </w:p>
        </w:tc>
        <w:tc>
          <w:tcPr>
            <w:tcW w:w="853" w:type="pct"/>
            <w:vMerge w:val="continue"/>
            <w:tcBorders>
              <w:left w:val="single" w:color="000000" w:sz="4" w:space="0"/>
              <w:right w:val="single" w:color="000000" w:sz="4" w:space="0"/>
            </w:tcBorders>
            <w:shd w:val="clear" w:color="auto" w:fill="auto"/>
            <w:vAlign w:val="center"/>
          </w:tcPr>
          <w:p w14:paraId="1DD86209">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5B8A8">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54F9C026">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57B6">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0E2A95CC">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15AD3">
            <w:pPr>
              <w:jc w:val="center"/>
              <w:rPr>
                <w:rFonts w:ascii="宋体" w:hAnsi="宋体" w:eastAsia="宋体" w:cs="宋体"/>
                <w:color w:val="000000"/>
                <w:sz w:val="24"/>
              </w:rPr>
            </w:pPr>
          </w:p>
        </w:tc>
      </w:tr>
      <w:tr w14:paraId="21589A80">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5E5D1">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财务部</w:t>
            </w:r>
          </w:p>
        </w:tc>
        <w:tc>
          <w:tcPr>
            <w:tcW w:w="853" w:type="pct"/>
            <w:vMerge w:val="continue"/>
            <w:tcBorders>
              <w:left w:val="single" w:color="000000" w:sz="4" w:space="0"/>
              <w:right w:val="single" w:color="000000" w:sz="4" w:space="0"/>
            </w:tcBorders>
            <w:shd w:val="clear" w:color="auto" w:fill="auto"/>
            <w:vAlign w:val="center"/>
          </w:tcPr>
          <w:p w14:paraId="2AFB0D90">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414A4">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5AD8D4C8">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7EA93">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6C9EF526">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F944A">
            <w:pPr>
              <w:jc w:val="center"/>
              <w:rPr>
                <w:rFonts w:ascii="宋体" w:hAnsi="宋体" w:eastAsia="宋体" w:cs="宋体"/>
                <w:color w:val="000000"/>
                <w:sz w:val="24"/>
              </w:rPr>
            </w:pPr>
          </w:p>
        </w:tc>
      </w:tr>
      <w:tr w14:paraId="32355591">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BDC24">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物资保障部</w:t>
            </w:r>
          </w:p>
        </w:tc>
        <w:tc>
          <w:tcPr>
            <w:tcW w:w="853" w:type="pct"/>
            <w:vMerge w:val="continue"/>
            <w:tcBorders>
              <w:left w:val="single" w:color="000000" w:sz="4" w:space="0"/>
              <w:right w:val="single" w:color="000000" w:sz="4" w:space="0"/>
            </w:tcBorders>
            <w:shd w:val="clear" w:color="auto" w:fill="auto"/>
            <w:vAlign w:val="center"/>
          </w:tcPr>
          <w:p w14:paraId="462FD596">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1A705">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0A114841">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AC7F">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2B9F5789">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DDC9E">
            <w:pPr>
              <w:jc w:val="center"/>
              <w:rPr>
                <w:rFonts w:ascii="宋体" w:hAnsi="宋体" w:eastAsia="宋体" w:cs="宋体"/>
                <w:color w:val="000000"/>
                <w:sz w:val="24"/>
              </w:rPr>
            </w:pPr>
          </w:p>
        </w:tc>
      </w:tr>
      <w:tr w14:paraId="180917A1">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0700C">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复材车间</w:t>
            </w:r>
          </w:p>
        </w:tc>
        <w:tc>
          <w:tcPr>
            <w:tcW w:w="853" w:type="pct"/>
            <w:vMerge w:val="continue"/>
            <w:tcBorders>
              <w:left w:val="single" w:color="000000" w:sz="4" w:space="0"/>
              <w:right w:val="single" w:color="000000" w:sz="4" w:space="0"/>
            </w:tcBorders>
            <w:shd w:val="clear" w:color="auto" w:fill="auto"/>
            <w:vAlign w:val="center"/>
          </w:tcPr>
          <w:p w14:paraId="1CA7C861">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EF186">
            <w:pPr>
              <w:jc w:val="center"/>
              <w:rPr>
                <w:rFonts w:ascii="宋体" w:hAnsi="宋体" w:eastAsia="宋体" w:cs="宋体"/>
                <w:color w:val="000000"/>
                <w:sz w:val="24"/>
              </w:rPr>
            </w:pPr>
          </w:p>
        </w:tc>
        <w:tc>
          <w:tcPr>
            <w:tcW w:w="977" w:type="pct"/>
            <w:vMerge w:val="continue"/>
            <w:tcBorders>
              <w:left w:val="single" w:color="000000" w:sz="4" w:space="0"/>
              <w:right w:val="single" w:color="000000" w:sz="4" w:space="0"/>
            </w:tcBorders>
            <w:shd w:val="clear" w:color="auto" w:fill="auto"/>
            <w:vAlign w:val="center"/>
          </w:tcPr>
          <w:p w14:paraId="17449C0A">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2F6F0">
            <w:pPr>
              <w:jc w:val="center"/>
              <w:rPr>
                <w:rFonts w:ascii="宋体" w:hAnsi="宋体" w:eastAsia="宋体" w:cs="宋体"/>
                <w:color w:val="000000"/>
                <w:sz w:val="24"/>
              </w:rPr>
            </w:pPr>
          </w:p>
        </w:tc>
        <w:tc>
          <w:tcPr>
            <w:tcW w:w="836" w:type="pct"/>
            <w:vMerge w:val="continue"/>
            <w:tcBorders>
              <w:left w:val="single" w:color="000000" w:sz="4" w:space="0"/>
              <w:right w:val="single" w:color="000000" w:sz="4" w:space="0"/>
            </w:tcBorders>
            <w:shd w:val="clear" w:color="auto" w:fill="auto"/>
            <w:vAlign w:val="center"/>
          </w:tcPr>
          <w:p w14:paraId="5E681DB7">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8EF16">
            <w:pPr>
              <w:jc w:val="center"/>
              <w:rPr>
                <w:rFonts w:ascii="宋体" w:hAnsi="宋体" w:eastAsia="宋体" w:cs="宋体"/>
                <w:color w:val="000000"/>
                <w:sz w:val="24"/>
              </w:rPr>
            </w:pPr>
          </w:p>
        </w:tc>
      </w:tr>
      <w:tr w14:paraId="232CBB78">
        <w:tblPrEx>
          <w:tblCellMar>
            <w:top w:w="0" w:type="dxa"/>
            <w:left w:w="108" w:type="dxa"/>
            <w:bottom w:w="0" w:type="dxa"/>
            <w:right w:w="108" w:type="dxa"/>
          </w:tblCellMar>
        </w:tblPrEx>
        <w:trPr>
          <w:trHeight w:val="567" w:hRule="atLeast"/>
        </w:trPr>
        <w:tc>
          <w:tcPr>
            <w:tcW w:w="10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BFDFA">
            <w:pPr>
              <w:widowControl/>
              <w:jc w:val="center"/>
              <w:textAlignment w:val="center"/>
              <w:rPr>
                <w:rFonts w:hint="eastAsia" w:ascii="宋体" w:hAnsi="宋体" w:eastAsia="宋体" w:cs="宋体"/>
                <w:color w:val="000000"/>
                <w:kern w:val="0"/>
                <w:sz w:val="24"/>
                <w:lang w:val="en-US" w:eastAsia="zh-CN" w:bidi="ar"/>
              </w:rPr>
            </w:pPr>
            <w:r>
              <w:rPr>
                <w:rFonts w:hint="eastAsia" w:ascii="宋体" w:hAnsi="宋体" w:eastAsia="宋体" w:cs="宋体"/>
                <w:color w:val="000000"/>
                <w:kern w:val="0"/>
                <w:sz w:val="24"/>
                <w:lang w:val="en-US" w:eastAsia="zh-CN" w:bidi="ar"/>
              </w:rPr>
              <w:t>运维安环部</w:t>
            </w:r>
          </w:p>
        </w:tc>
        <w:tc>
          <w:tcPr>
            <w:tcW w:w="853" w:type="pct"/>
            <w:vMerge w:val="continue"/>
            <w:tcBorders>
              <w:left w:val="single" w:color="000000" w:sz="4" w:space="0"/>
              <w:bottom w:val="single" w:color="000000" w:sz="4" w:space="0"/>
              <w:right w:val="single" w:color="000000" w:sz="4" w:space="0"/>
            </w:tcBorders>
            <w:shd w:val="clear" w:color="auto" w:fill="auto"/>
            <w:vAlign w:val="center"/>
          </w:tcPr>
          <w:p w14:paraId="06A51B56">
            <w:pPr>
              <w:jc w:val="center"/>
              <w:rPr>
                <w:rFonts w:ascii="宋体" w:hAnsi="宋体" w:eastAsia="宋体" w:cs="宋体"/>
                <w:color w:val="000000"/>
                <w:sz w:val="24"/>
              </w:rPr>
            </w:pPr>
          </w:p>
        </w:tc>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3D955">
            <w:pPr>
              <w:jc w:val="center"/>
              <w:rPr>
                <w:rFonts w:ascii="宋体" w:hAnsi="宋体" w:eastAsia="宋体" w:cs="宋体"/>
                <w:color w:val="000000"/>
                <w:sz w:val="24"/>
              </w:rPr>
            </w:pPr>
          </w:p>
        </w:tc>
        <w:tc>
          <w:tcPr>
            <w:tcW w:w="977" w:type="pct"/>
            <w:vMerge w:val="continue"/>
            <w:tcBorders>
              <w:left w:val="single" w:color="000000" w:sz="4" w:space="0"/>
              <w:bottom w:val="single" w:color="000000" w:sz="4" w:space="0"/>
              <w:right w:val="single" w:color="000000" w:sz="4" w:space="0"/>
            </w:tcBorders>
            <w:shd w:val="clear" w:color="auto" w:fill="auto"/>
            <w:vAlign w:val="center"/>
          </w:tcPr>
          <w:p w14:paraId="6893FD14">
            <w:pPr>
              <w:jc w:val="center"/>
              <w:rPr>
                <w:rFonts w:ascii="宋体" w:hAnsi="宋体" w:eastAsia="宋体" w:cs="宋体"/>
                <w:color w:val="000000"/>
                <w:sz w:val="24"/>
              </w:rPr>
            </w:pPr>
          </w:p>
        </w:tc>
        <w:tc>
          <w:tcPr>
            <w:tcW w:w="3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03DA5">
            <w:pPr>
              <w:jc w:val="center"/>
              <w:rPr>
                <w:rFonts w:ascii="宋体" w:hAnsi="宋体" w:eastAsia="宋体" w:cs="宋体"/>
                <w:color w:val="000000"/>
                <w:sz w:val="24"/>
              </w:rPr>
            </w:pPr>
          </w:p>
        </w:tc>
        <w:tc>
          <w:tcPr>
            <w:tcW w:w="836" w:type="pct"/>
            <w:vMerge w:val="continue"/>
            <w:tcBorders>
              <w:left w:val="single" w:color="000000" w:sz="4" w:space="0"/>
              <w:bottom w:val="single" w:color="000000" w:sz="4" w:space="0"/>
              <w:right w:val="single" w:color="000000" w:sz="4" w:space="0"/>
            </w:tcBorders>
            <w:shd w:val="clear" w:color="auto" w:fill="auto"/>
            <w:vAlign w:val="center"/>
          </w:tcPr>
          <w:p w14:paraId="223777EB">
            <w:pPr>
              <w:jc w:val="center"/>
              <w:rPr>
                <w:rFonts w:ascii="宋体" w:hAnsi="宋体" w:eastAsia="宋体" w:cs="宋体"/>
                <w:color w:val="000000"/>
                <w:sz w:val="24"/>
              </w:rPr>
            </w:pPr>
          </w:p>
        </w:tc>
        <w:tc>
          <w:tcPr>
            <w:tcW w:w="4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E583B">
            <w:pPr>
              <w:jc w:val="center"/>
              <w:rPr>
                <w:rFonts w:ascii="宋体" w:hAnsi="宋体" w:eastAsia="宋体" w:cs="宋体"/>
                <w:color w:val="000000"/>
                <w:sz w:val="24"/>
              </w:rPr>
            </w:pPr>
          </w:p>
        </w:tc>
      </w:tr>
    </w:tbl>
    <w:p w14:paraId="6A8DBFAD">
      <w:pPr>
        <w:spacing w:line="440" w:lineRule="exact"/>
        <w:jc w:val="left"/>
        <w:rPr>
          <w:rFonts w:ascii="宋体" w:hAnsi="宋体" w:eastAsia="宋体" w:cs="宋体"/>
          <w:sz w:val="28"/>
          <w:szCs w:val="28"/>
        </w:rPr>
        <w:sectPr>
          <w:pgSz w:w="16838" w:h="11906" w:orient="landscape"/>
          <w:pgMar w:top="1800" w:right="1440" w:bottom="1800" w:left="1440" w:header="851" w:footer="992" w:gutter="0"/>
          <w:pgNumType w:fmt="numberInDash"/>
          <w:cols w:space="425" w:num="1"/>
          <w:docGrid w:type="lines" w:linePitch="312" w:charSpace="0"/>
        </w:sectPr>
      </w:pPr>
    </w:p>
    <w:p w14:paraId="2F8C2E2D">
      <w:pPr>
        <w:spacing w:line="440" w:lineRule="exact"/>
        <w:jc w:val="left"/>
        <w:rPr>
          <w:rFonts w:ascii="宋体" w:hAnsi="宋体" w:eastAsia="宋体" w:cs="宋体"/>
          <w:sz w:val="28"/>
          <w:szCs w:val="28"/>
        </w:rPr>
      </w:pPr>
      <w:r>
        <w:rPr>
          <w:rFonts w:hint="eastAsia" w:ascii="宋体" w:hAnsi="宋体" w:eastAsia="宋体" w:cs="宋体"/>
          <w:sz w:val="28"/>
          <w:szCs w:val="28"/>
        </w:rPr>
        <w:t>填表说明：</w:t>
      </w:r>
    </w:p>
    <w:p w14:paraId="2FD44319">
      <w:pPr>
        <w:spacing w:line="440" w:lineRule="exact"/>
        <w:jc w:val="left"/>
        <w:rPr>
          <w:rFonts w:ascii="宋体" w:hAnsi="宋体" w:eastAsia="宋体" w:cs="宋体"/>
          <w:sz w:val="28"/>
          <w:szCs w:val="28"/>
        </w:rPr>
      </w:pPr>
      <w:r>
        <w:rPr>
          <w:rFonts w:hint="eastAsia" w:ascii="宋体" w:hAnsi="宋体" w:eastAsia="宋体" w:cs="宋体"/>
          <w:sz w:val="28"/>
          <w:szCs w:val="28"/>
        </w:rPr>
        <w:t>1.被考核人/部门无需对自身</w:t>
      </w:r>
      <w:r>
        <w:rPr>
          <w:rFonts w:hint="eastAsia" w:ascii="宋体" w:hAnsi="宋体" w:eastAsia="宋体" w:cs="宋体"/>
          <w:sz w:val="28"/>
          <w:szCs w:val="28"/>
          <w:lang w:val="en-US" w:eastAsia="zh-CN"/>
        </w:rPr>
        <w:t>所在部门</w:t>
      </w:r>
      <w:r>
        <w:rPr>
          <w:rFonts w:hint="eastAsia" w:ascii="宋体" w:hAnsi="宋体" w:eastAsia="宋体" w:cs="宋体"/>
          <w:sz w:val="28"/>
          <w:szCs w:val="28"/>
        </w:rPr>
        <w:t>进行评分；各考核项评分标准为：</w:t>
      </w:r>
    </w:p>
    <w:p w14:paraId="1152E448">
      <w:pPr>
        <w:spacing w:line="440" w:lineRule="exact"/>
        <w:jc w:val="left"/>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lang w:val="en-US" w:eastAsia="zh-CN"/>
        </w:rPr>
        <w:t>1</w:t>
      </w:r>
      <w:r>
        <w:rPr>
          <w:rFonts w:hint="eastAsia" w:ascii="宋体" w:hAnsi="宋体" w:eastAsia="宋体" w:cs="宋体"/>
          <w:sz w:val="28"/>
          <w:szCs w:val="28"/>
        </w:rPr>
        <w:t>）工作作风（</w:t>
      </w:r>
      <w:r>
        <w:rPr>
          <w:rFonts w:hint="eastAsia" w:ascii="宋体" w:hAnsi="宋体" w:eastAsia="宋体" w:cs="宋体"/>
          <w:sz w:val="28"/>
          <w:szCs w:val="28"/>
          <w:lang w:val="en-US" w:eastAsia="zh-CN"/>
        </w:rPr>
        <w:t>1</w:t>
      </w:r>
      <w:r>
        <w:rPr>
          <w:rFonts w:hint="eastAsia" w:ascii="宋体" w:hAnsi="宋体" w:eastAsia="宋体" w:cs="宋体"/>
          <w:sz w:val="28"/>
          <w:szCs w:val="28"/>
        </w:rPr>
        <w:t>0%）</w:t>
      </w:r>
    </w:p>
    <w:p w14:paraId="340C463E">
      <w:pPr>
        <w:spacing w:line="440" w:lineRule="exact"/>
        <w:jc w:val="left"/>
        <w:rPr>
          <w:rFonts w:ascii="宋体" w:hAnsi="宋体" w:eastAsia="宋体" w:cs="宋体"/>
          <w:sz w:val="28"/>
          <w:szCs w:val="28"/>
        </w:rPr>
      </w:pPr>
      <w:r>
        <w:rPr>
          <w:rFonts w:hint="eastAsia" w:ascii="宋体" w:hAnsi="宋体" w:eastAsia="宋体" w:cs="宋体"/>
          <w:sz w:val="28"/>
          <w:szCs w:val="28"/>
        </w:rPr>
        <w:t>95–100分：责任意识强、执行力突出，工作落实到位、作风严谨；</w:t>
      </w:r>
    </w:p>
    <w:p w14:paraId="55EF992E">
      <w:pPr>
        <w:spacing w:line="440" w:lineRule="exact"/>
        <w:jc w:val="left"/>
        <w:rPr>
          <w:rFonts w:ascii="宋体" w:hAnsi="宋体" w:eastAsia="宋体" w:cs="宋体"/>
          <w:sz w:val="28"/>
          <w:szCs w:val="28"/>
        </w:rPr>
      </w:pPr>
      <w:r>
        <w:rPr>
          <w:rFonts w:hint="eastAsia" w:ascii="宋体" w:hAnsi="宋体" w:eastAsia="宋体" w:cs="宋体"/>
          <w:sz w:val="28"/>
          <w:szCs w:val="28"/>
        </w:rPr>
        <w:t>90–94分：工作态度较好，执行规范，能够按要求完成工作；</w:t>
      </w:r>
    </w:p>
    <w:p w14:paraId="63D45FB0">
      <w:pPr>
        <w:spacing w:line="440" w:lineRule="exact"/>
        <w:jc w:val="left"/>
        <w:rPr>
          <w:rFonts w:ascii="宋体" w:hAnsi="宋体" w:eastAsia="宋体" w:cs="宋体"/>
          <w:sz w:val="28"/>
          <w:szCs w:val="28"/>
        </w:rPr>
      </w:pPr>
      <w:r>
        <w:rPr>
          <w:rFonts w:hint="eastAsia" w:ascii="宋体" w:hAnsi="宋体" w:eastAsia="宋体" w:cs="宋体"/>
          <w:sz w:val="28"/>
          <w:szCs w:val="28"/>
        </w:rPr>
        <w:t>85–89分：执行力一般，工作推进不够主动；</w:t>
      </w:r>
    </w:p>
    <w:p w14:paraId="6567C4F1">
      <w:pPr>
        <w:spacing w:line="440" w:lineRule="exact"/>
        <w:jc w:val="left"/>
        <w:rPr>
          <w:rFonts w:ascii="宋体" w:hAnsi="宋体" w:eastAsia="宋体" w:cs="宋体"/>
          <w:sz w:val="28"/>
          <w:szCs w:val="28"/>
        </w:rPr>
      </w:pPr>
      <w:r>
        <w:rPr>
          <w:rFonts w:hint="eastAsia" w:ascii="宋体" w:hAnsi="宋体" w:eastAsia="宋体" w:cs="宋体"/>
          <w:sz w:val="28"/>
          <w:szCs w:val="28"/>
        </w:rPr>
        <w:t>80–84分：执行不到位，存在拖延或落实不足情况。</w:t>
      </w:r>
    </w:p>
    <w:p w14:paraId="58FB41DE">
      <w:pPr>
        <w:spacing w:line="440" w:lineRule="exact"/>
        <w:jc w:val="left"/>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lang w:val="en-US" w:eastAsia="zh-CN"/>
        </w:rPr>
        <w:t>2</w:t>
      </w:r>
      <w:r>
        <w:rPr>
          <w:rFonts w:hint="eastAsia" w:ascii="宋体" w:hAnsi="宋体" w:eastAsia="宋体" w:cs="宋体"/>
          <w:sz w:val="28"/>
          <w:szCs w:val="28"/>
        </w:rPr>
        <w:t>）业务能力（1</w:t>
      </w:r>
      <w:r>
        <w:rPr>
          <w:rFonts w:hint="eastAsia" w:ascii="宋体" w:hAnsi="宋体" w:eastAsia="宋体" w:cs="宋体"/>
          <w:sz w:val="28"/>
          <w:szCs w:val="28"/>
          <w:lang w:val="en-US" w:eastAsia="zh-CN"/>
        </w:rPr>
        <w:t>0</w:t>
      </w:r>
      <w:r>
        <w:rPr>
          <w:rFonts w:hint="eastAsia" w:ascii="宋体" w:hAnsi="宋体" w:eastAsia="宋体" w:cs="宋体"/>
          <w:sz w:val="28"/>
          <w:szCs w:val="28"/>
        </w:rPr>
        <w:t>%）</w:t>
      </w:r>
    </w:p>
    <w:p w14:paraId="3A1AC634">
      <w:pPr>
        <w:spacing w:line="440" w:lineRule="exact"/>
        <w:jc w:val="left"/>
        <w:rPr>
          <w:rFonts w:ascii="宋体" w:hAnsi="宋体" w:eastAsia="宋体" w:cs="宋体"/>
          <w:sz w:val="28"/>
          <w:szCs w:val="28"/>
        </w:rPr>
      </w:pPr>
      <w:r>
        <w:rPr>
          <w:rFonts w:hint="eastAsia" w:ascii="宋体" w:hAnsi="宋体" w:eastAsia="宋体" w:cs="宋体"/>
          <w:sz w:val="28"/>
          <w:szCs w:val="28"/>
        </w:rPr>
        <w:t>95–100分：业务能力突出，专业水平高，能高质量完成本职工作；</w:t>
      </w:r>
    </w:p>
    <w:p w14:paraId="30328997">
      <w:pPr>
        <w:spacing w:line="440" w:lineRule="exact"/>
        <w:jc w:val="left"/>
        <w:rPr>
          <w:rFonts w:ascii="宋体" w:hAnsi="宋体" w:eastAsia="宋体" w:cs="宋体"/>
          <w:sz w:val="28"/>
          <w:szCs w:val="28"/>
        </w:rPr>
      </w:pPr>
      <w:r>
        <w:rPr>
          <w:rFonts w:hint="eastAsia" w:ascii="宋体" w:hAnsi="宋体" w:eastAsia="宋体" w:cs="宋体"/>
          <w:sz w:val="28"/>
          <w:szCs w:val="28"/>
        </w:rPr>
        <w:t>90–94分：业务能力较强，能够胜任岗位要求；</w:t>
      </w:r>
    </w:p>
    <w:p w14:paraId="1DD53163">
      <w:pPr>
        <w:spacing w:line="440" w:lineRule="exact"/>
        <w:jc w:val="left"/>
        <w:rPr>
          <w:rFonts w:ascii="宋体" w:hAnsi="宋体" w:eastAsia="宋体" w:cs="宋体"/>
          <w:sz w:val="28"/>
          <w:szCs w:val="28"/>
        </w:rPr>
      </w:pPr>
      <w:r>
        <w:rPr>
          <w:rFonts w:hint="eastAsia" w:ascii="宋体" w:hAnsi="宋体" w:eastAsia="宋体" w:cs="宋体"/>
          <w:sz w:val="28"/>
          <w:szCs w:val="28"/>
        </w:rPr>
        <w:t>85–89分：业务能力基本满足岗位需要，质量和效率有待提升；</w:t>
      </w:r>
    </w:p>
    <w:p w14:paraId="16D45A0A">
      <w:pPr>
        <w:spacing w:line="440" w:lineRule="exact"/>
        <w:jc w:val="left"/>
        <w:rPr>
          <w:rFonts w:ascii="宋体" w:hAnsi="宋体" w:eastAsia="宋体" w:cs="宋体"/>
          <w:sz w:val="28"/>
          <w:szCs w:val="28"/>
        </w:rPr>
      </w:pPr>
      <w:r>
        <w:rPr>
          <w:rFonts w:hint="eastAsia" w:ascii="宋体" w:hAnsi="宋体" w:eastAsia="宋体" w:cs="宋体"/>
          <w:sz w:val="28"/>
          <w:szCs w:val="28"/>
        </w:rPr>
        <w:t>80–84分：业务能力偏弱，影响工作质量或效率。</w:t>
      </w:r>
    </w:p>
    <w:p w14:paraId="6B8EF883">
      <w:pPr>
        <w:spacing w:line="440" w:lineRule="exact"/>
        <w:jc w:val="left"/>
        <w:rPr>
          <w:rFonts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）团队协作（1</w:t>
      </w:r>
      <w:r>
        <w:rPr>
          <w:rFonts w:hint="eastAsia" w:ascii="宋体" w:hAnsi="宋体" w:eastAsia="宋体" w:cs="宋体"/>
          <w:sz w:val="28"/>
          <w:szCs w:val="28"/>
          <w:lang w:val="en-US" w:eastAsia="zh-CN"/>
        </w:rPr>
        <w:t>0</w:t>
      </w:r>
      <w:r>
        <w:rPr>
          <w:rFonts w:hint="eastAsia" w:ascii="宋体" w:hAnsi="宋体" w:eastAsia="宋体" w:cs="宋体"/>
          <w:sz w:val="28"/>
          <w:szCs w:val="28"/>
        </w:rPr>
        <w:t>%）</w:t>
      </w:r>
    </w:p>
    <w:p w14:paraId="66E0B359">
      <w:pPr>
        <w:spacing w:line="440" w:lineRule="exact"/>
        <w:jc w:val="left"/>
        <w:rPr>
          <w:rFonts w:ascii="宋体" w:hAnsi="宋体" w:eastAsia="宋体" w:cs="宋体"/>
          <w:sz w:val="28"/>
          <w:szCs w:val="28"/>
        </w:rPr>
      </w:pPr>
      <w:r>
        <w:rPr>
          <w:rFonts w:hint="eastAsia" w:ascii="宋体" w:hAnsi="宋体" w:eastAsia="宋体" w:cs="宋体"/>
          <w:sz w:val="28"/>
          <w:szCs w:val="28"/>
        </w:rPr>
        <w:t>95–100分：协作意识强，沟通顺畅，积极支持团队和跨部门工作；</w:t>
      </w:r>
    </w:p>
    <w:p w14:paraId="554D3D9D">
      <w:pPr>
        <w:spacing w:line="440" w:lineRule="exact"/>
        <w:jc w:val="left"/>
        <w:rPr>
          <w:rFonts w:ascii="宋体" w:hAnsi="宋体" w:eastAsia="宋体" w:cs="宋体"/>
          <w:sz w:val="28"/>
          <w:szCs w:val="28"/>
        </w:rPr>
      </w:pPr>
      <w:r>
        <w:rPr>
          <w:rFonts w:hint="eastAsia" w:ascii="宋体" w:hAnsi="宋体" w:eastAsia="宋体" w:cs="宋体"/>
          <w:sz w:val="28"/>
          <w:szCs w:val="28"/>
        </w:rPr>
        <w:t>90–94分：具备良好协作意识，能够配合团队完成工作；</w:t>
      </w:r>
    </w:p>
    <w:p w14:paraId="0F41998A">
      <w:pPr>
        <w:spacing w:line="440" w:lineRule="exact"/>
        <w:jc w:val="left"/>
        <w:rPr>
          <w:rFonts w:ascii="宋体" w:hAnsi="宋体" w:eastAsia="宋体" w:cs="宋体"/>
          <w:sz w:val="28"/>
          <w:szCs w:val="28"/>
        </w:rPr>
      </w:pPr>
      <w:r>
        <w:rPr>
          <w:rFonts w:hint="eastAsia" w:ascii="宋体" w:hAnsi="宋体" w:eastAsia="宋体" w:cs="宋体"/>
          <w:sz w:val="28"/>
          <w:szCs w:val="28"/>
        </w:rPr>
        <w:t>85–89分：协作较为被动，对团队支撑作用有限；</w:t>
      </w:r>
    </w:p>
    <w:p w14:paraId="62ABED04">
      <w:pPr>
        <w:spacing w:line="440" w:lineRule="exact"/>
        <w:jc w:val="left"/>
        <w:rPr>
          <w:rFonts w:ascii="宋体" w:hAnsi="宋体" w:eastAsia="宋体" w:cs="宋体"/>
          <w:sz w:val="28"/>
          <w:szCs w:val="28"/>
        </w:rPr>
      </w:pPr>
      <w:r>
        <w:rPr>
          <w:rFonts w:hint="eastAsia" w:ascii="宋体" w:hAnsi="宋体" w:eastAsia="宋体" w:cs="宋体"/>
          <w:sz w:val="28"/>
          <w:szCs w:val="28"/>
        </w:rPr>
        <w:t>80–84分：协作不足，沟通或配合不到位。</w:t>
      </w:r>
    </w:p>
    <w:p w14:paraId="486D825D">
      <w:pPr>
        <w:spacing w:line="440" w:lineRule="exact"/>
        <w:jc w:val="left"/>
        <w:rPr>
          <w:rFonts w:ascii="宋体" w:hAnsi="宋体" w:eastAsia="宋体" w:cs="宋体"/>
          <w:sz w:val="28"/>
          <w:szCs w:val="28"/>
        </w:rPr>
        <w:sectPr>
          <w:pgSz w:w="11906" w:h="16838"/>
          <w:pgMar w:top="1440" w:right="1800" w:bottom="1440" w:left="1800" w:header="851" w:footer="992" w:gutter="0"/>
          <w:pgNumType w:fmt="numberInDash"/>
          <w:cols w:space="425" w:num="1"/>
          <w:docGrid w:type="lines" w:linePitch="312" w:charSpace="0"/>
        </w:sectPr>
      </w:pPr>
    </w:p>
    <w:p w14:paraId="0A6AE915">
      <w:pPr>
        <w:spacing w:after="156" w:afterLines="50"/>
        <w:ind w:firstLine="560" w:firstLineChars="200"/>
        <w:jc w:val="left"/>
        <w:rPr>
          <w:rFonts w:ascii="黑体" w:hAnsi="黑体" w:eastAsia="黑体" w:cs="黑体"/>
          <w:sz w:val="28"/>
          <w:szCs w:val="28"/>
        </w:rPr>
      </w:pPr>
      <w:r>
        <w:rPr>
          <w:rFonts w:hint="eastAsia" w:ascii="黑体" w:hAnsi="黑体" w:eastAsia="黑体" w:cs="黑体"/>
          <w:sz w:val="28"/>
          <w:szCs w:val="28"/>
        </w:rPr>
        <w:t>GLTX-JY-06-02-A各部门得分表</w:t>
      </w:r>
    </w:p>
    <w:tbl>
      <w:tblPr>
        <w:tblStyle w:val="7"/>
        <w:tblW w:w="829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34"/>
        <w:gridCol w:w="1390"/>
        <w:gridCol w:w="1364"/>
        <w:gridCol w:w="1227"/>
        <w:gridCol w:w="1323"/>
        <w:gridCol w:w="955"/>
      </w:tblGrid>
      <w:tr w14:paraId="6DF2A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0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485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部门</w:t>
            </w:r>
          </w:p>
        </w:tc>
        <w:tc>
          <w:tcPr>
            <w:tcW w:w="139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FED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组织绩效得分</w:t>
            </w:r>
          </w:p>
        </w:tc>
        <w:tc>
          <w:tcPr>
            <w:tcW w:w="259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883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交叉打分分数</w:t>
            </w:r>
          </w:p>
        </w:tc>
        <w:tc>
          <w:tcPr>
            <w:tcW w:w="132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765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重点任务行动项得分</w:t>
            </w:r>
          </w:p>
        </w:tc>
        <w:tc>
          <w:tcPr>
            <w:tcW w:w="95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180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总分</w:t>
            </w:r>
          </w:p>
        </w:tc>
      </w:tr>
      <w:tr w14:paraId="78B15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A7426">
            <w:pPr>
              <w:jc w:val="center"/>
              <w:rPr>
                <w:rFonts w:hint="eastAsia" w:ascii="宋体" w:hAnsi="宋体" w:eastAsia="宋体" w:cs="宋体"/>
                <w:i w:val="0"/>
                <w:iCs w:val="0"/>
                <w:color w:val="000000"/>
                <w:sz w:val="24"/>
                <w:szCs w:val="24"/>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EEEFA">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82F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各部门交叉得分</w:t>
            </w: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864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总经理评分</w:t>
            </w:r>
          </w:p>
        </w:tc>
        <w:tc>
          <w:tcPr>
            <w:tcW w:w="13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5C32B">
            <w:pPr>
              <w:jc w:val="center"/>
              <w:rPr>
                <w:rFonts w:hint="eastAsia" w:ascii="宋体" w:hAnsi="宋体" w:eastAsia="宋体" w:cs="宋体"/>
                <w:i w:val="0"/>
                <w:iCs w:val="0"/>
                <w:color w:val="000000"/>
                <w:sz w:val="22"/>
                <w:szCs w:val="22"/>
                <w:u w:val="none"/>
              </w:rPr>
            </w:pPr>
          </w:p>
        </w:tc>
        <w:tc>
          <w:tcPr>
            <w:tcW w:w="95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4D837">
            <w:pPr>
              <w:jc w:val="center"/>
              <w:rPr>
                <w:rFonts w:hint="eastAsia" w:ascii="宋体" w:hAnsi="宋体" w:eastAsia="宋体" w:cs="宋体"/>
                <w:i w:val="0"/>
                <w:iCs w:val="0"/>
                <w:color w:val="000000"/>
                <w:sz w:val="24"/>
                <w:szCs w:val="24"/>
                <w:u w:val="none"/>
              </w:rPr>
            </w:pPr>
          </w:p>
        </w:tc>
      </w:tr>
      <w:tr w14:paraId="17C1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C53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副总经理（经营）</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1E9F2">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30C04">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442D6">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9D723">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9165A">
            <w:pPr>
              <w:jc w:val="center"/>
              <w:rPr>
                <w:rFonts w:hint="eastAsia" w:ascii="宋体" w:hAnsi="宋体" w:eastAsia="宋体" w:cs="宋体"/>
                <w:i w:val="0"/>
                <w:iCs w:val="0"/>
                <w:color w:val="000000"/>
                <w:sz w:val="24"/>
                <w:szCs w:val="24"/>
                <w:u w:val="none"/>
              </w:rPr>
            </w:pPr>
          </w:p>
        </w:tc>
      </w:tr>
      <w:tr w14:paraId="2452E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458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副总经理（生产）</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39215">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66DF7">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9B6F7">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E4848">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F7AD4">
            <w:pPr>
              <w:jc w:val="center"/>
              <w:rPr>
                <w:rFonts w:hint="eastAsia" w:ascii="宋体" w:hAnsi="宋体" w:eastAsia="宋体" w:cs="宋体"/>
                <w:i w:val="0"/>
                <w:iCs w:val="0"/>
                <w:color w:val="000000"/>
                <w:sz w:val="24"/>
                <w:szCs w:val="24"/>
                <w:u w:val="none"/>
              </w:rPr>
            </w:pPr>
          </w:p>
        </w:tc>
      </w:tr>
      <w:tr w14:paraId="015F2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400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行政人事部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7F1B8">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FAEA4">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46CED">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8C6">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6EB11">
            <w:pPr>
              <w:jc w:val="center"/>
              <w:rPr>
                <w:rFonts w:hint="eastAsia" w:ascii="宋体" w:hAnsi="宋体" w:eastAsia="宋体" w:cs="宋体"/>
                <w:i w:val="0"/>
                <w:iCs w:val="0"/>
                <w:color w:val="000000"/>
                <w:sz w:val="24"/>
                <w:szCs w:val="24"/>
                <w:u w:val="none"/>
              </w:rPr>
            </w:pPr>
          </w:p>
        </w:tc>
      </w:tr>
      <w:tr w14:paraId="49075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303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经营发展部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4AF79">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1BF6D">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62051">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F58A1">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27672">
            <w:pPr>
              <w:jc w:val="center"/>
              <w:rPr>
                <w:rFonts w:hint="eastAsia" w:ascii="宋体" w:hAnsi="宋体" w:eastAsia="宋体" w:cs="宋体"/>
                <w:i w:val="0"/>
                <w:iCs w:val="0"/>
                <w:color w:val="000000"/>
                <w:sz w:val="24"/>
                <w:szCs w:val="24"/>
                <w:u w:val="none"/>
              </w:rPr>
            </w:pPr>
          </w:p>
        </w:tc>
      </w:tr>
      <w:tr w14:paraId="1D119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175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项目管理部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6C9D0">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E8CAF">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38932">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8AC76">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6D331">
            <w:pPr>
              <w:jc w:val="center"/>
              <w:rPr>
                <w:rFonts w:hint="eastAsia" w:ascii="宋体" w:hAnsi="宋体" w:eastAsia="宋体" w:cs="宋体"/>
                <w:i w:val="0"/>
                <w:iCs w:val="0"/>
                <w:color w:val="000000"/>
                <w:sz w:val="24"/>
                <w:szCs w:val="24"/>
                <w:u w:val="none"/>
              </w:rPr>
            </w:pPr>
          </w:p>
        </w:tc>
      </w:tr>
      <w:tr w14:paraId="282EF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919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工程技术部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D836F">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C3315">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FC533">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4EA65">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FADAE">
            <w:pPr>
              <w:jc w:val="center"/>
              <w:rPr>
                <w:rFonts w:hint="eastAsia" w:ascii="宋体" w:hAnsi="宋体" w:eastAsia="宋体" w:cs="宋体"/>
                <w:i w:val="0"/>
                <w:iCs w:val="0"/>
                <w:color w:val="000000"/>
                <w:sz w:val="24"/>
                <w:szCs w:val="24"/>
                <w:u w:val="none"/>
              </w:rPr>
            </w:pPr>
          </w:p>
        </w:tc>
      </w:tr>
      <w:tr w14:paraId="7E7C4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EF3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质量管理部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997F7">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4643C">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F58C4">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4C099">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DA975">
            <w:pPr>
              <w:jc w:val="center"/>
              <w:rPr>
                <w:rFonts w:hint="eastAsia" w:ascii="宋体" w:hAnsi="宋体" w:eastAsia="宋体" w:cs="宋体"/>
                <w:i w:val="0"/>
                <w:iCs w:val="0"/>
                <w:color w:val="000000"/>
                <w:sz w:val="24"/>
                <w:szCs w:val="24"/>
                <w:u w:val="none"/>
              </w:rPr>
            </w:pPr>
          </w:p>
        </w:tc>
      </w:tr>
      <w:tr w14:paraId="62DEC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D1F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财务部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586AF">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66586">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0A40F">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5349F">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27E27">
            <w:pPr>
              <w:jc w:val="center"/>
              <w:rPr>
                <w:rFonts w:hint="eastAsia" w:ascii="宋体" w:hAnsi="宋体" w:eastAsia="宋体" w:cs="宋体"/>
                <w:i w:val="0"/>
                <w:iCs w:val="0"/>
                <w:color w:val="000000"/>
                <w:sz w:val="24"/>
                <w:szCs w:val="24"/>
                <w:u w:val="none"/>
              </w:rPr>
            </w:pPr>
          </w:p>
        </w:tc>
      </w:tr>
      <w:tr w14:paraId="773BD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0D9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物资保障部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BABFF">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F7399">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7D0EB">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52188">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BC28A">
            <w:pPr>
              <w:jc w:val="center"/>
              <w:rPr>
                <w:rFonts w:hint="eastAsia" w:ascii="宋体" w:hAnsi="宋体" w:eastAsia="宋体" w:cs="宋体"/>
                <w:i w:val="0"/>
                <w:iCs w:val="0"/>
                <w:color w:val="000000"/>
                <w:sz w:val="24"/>
                <w:szCs w:val="24"/>
                <w:u w:val="none"/>
              </w:rPr>
            </w:pPr>
          </w:p>
        </w:tc>
      </w:tr>
      <w:tr w14:paraId="58C18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C5D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复材车间</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0D3E1">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36D5A">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DDB4E">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708B9">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EDD22">
            <w:pPr>
              <w:jc w:val="center"/>
              <w:rPr>
                <w:rFonts w:hint="eastAsia" w:ascii="宋体" w:hAnsi="宋体" w:eastAsia="宋体" w:cs="宋体"/>
                <w:i w:val="0"/>
                <w:iCs w:val="0"/>
                <w:color w:val="000000"/>
                <w:sz w:val="24"/>
                <w:szCs w:val="24"/>
                <w:u w:val="none"/>
              </w:rPr>
            </w:pPr>
          </w:p>
        </w:tc>
      </w:tr>
      <w:tr w14:paraId="2EC7E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20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ADB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运维安环部</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A897A">
            <w:pPr>
              <w:jc w:val="center"/>
              <w:rPr>
                <w:rFonts w:hint="eastAsia" w:ascii="宋体" w:hAnsi="宋体" w:eastAsia="宋体" w:cs="宋体"/>
                <w:i w:val="0"/>
                <w:iCs w:val="0"/>
                <w:color w:val="000000"/>
                <w:sz w:val="24"/>
                <w:szCs w:val="24"/>
                <w:u w:val="none"/>
              </w:rPr>
            </w:pPr>
          </w:p>
        </w:tc>
        <w:tc>
          <w:tcPr>
            <w:tcW w:w="13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93D64">
            <w:pPr>
              <w:jc w:val="center"/>
              <w:rPr>
                <w:rFonts w:hint="eastAsia" w:ascii="宋体" w:hAnsi="宋体" w:eastAsia="宋体" w:cs="宋体"/>
                <w:i w:val="0"/>
                <w:iCs w:val="0"/>
                <w:color w:val="000000"/>
                <w:sz w:val="24"/>
                <w:szCs w:val="24"/>
                <w:u w:val="none"/>
              </w:rPr>
            </w:pPr>
          </w:p>
        </w:tc>
        <w:tc>
          <w:tcPr>
            <w:tcW w:w="12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CDF36">
            <w:pPr>
              <w:jc w:val="center"/>
              <w:rPr>
                <w:rFonts w:hint="eastAsia" w:ascii="宋体" w:hAnsi="宋体" w:eastAsia="宋体" w:cs="宋体"/>
                <w:i w:val="0"/>
                <w:iCs w:val="0"/>
                <w:color w:val="000000"/>
                <w:sz w:val="24"/>
                <w:szCs w:val="24"/>
                <w:u w:val="none"/>
              </w:rPr>
            </w:pPr>
          </w:p>
        </w:tc>
        <w:tc>
          <w:tcPr>
            <w:tcW w:w="1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CB28A">
            <w:pPr>
              <w:jc w:val="center"/>
              <w:rPr>
                <w:rFonts w:hint="eastAsia" w:ascii="宋体" w:hAnsi="宋体" w:eastAsia="宋体" w:cs="宋体"/>
                <w:i w:val="0"/>
                <w:iCs w:val="0"/>
                <w:color w:val="000000"/>
                <w:sz w:val="24"/>
                <w:szCs w:val="24"/>
                <w:u w:val="none"/>
              </w:rPr>
            </w:pPr>
          </w:p>
        </w:tc>
        <w:tc>
          <w:tcPr>
            <w:tcW w:w="9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5B588">
            <w:pPr>
              <w:jc w:val="center"/>
              <w:rPr>
                <w:rFonts w:hint="eastAsia" w:ascii="宋体" w:hAnsi="宋体" w:eastAsia="宋体" w:cs="宋体"/>
                <w:i w:val="0"/>
                <w:iCs w:val="0"/>
                <w:color w:val="000000"/>
                <w:sz w:val="24"/>
                <w:szCs w:val="24"/>
                <w:u w:val="none"/>
              </w:rPr>
            </w:pPr>
          </w:p>
        </w:tc>
      </w:tr>
    </w:tbl>
    <w:p w14:paraId="21EAE874">
      <w:pPr>
        <w:spacing w:after="156" w:afterLines="50"/>
        <w:jc w:val="left"/>
        <w:rPr>
          <w:rFonts w:ascii="黑体" w:hAnsi="黑体" w:eastAsia="黑体" w:cs="黑体"/>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296A6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vAlign w:val="center"/>
          </w:tcPr>
          <w:p w14:paraId="4B353297">
            <w:pPr>
              <w:spacing w:after="156" w:afterLines="50"/>
              <w:jc w:val="left"/>
              <w:rPr>
                <w:rFonts w:ascii="宋体" w:hAnsi="宋体" w:eastAsia="宋体" w:cs="宋体"/>
                <w:sz w:val="28"/>
                <w:szCs w:val="28"/>
              </w:rPr>
            </w:pPr>
            <w:r>
              <w:rPr>
                <w:rFonts w:hint="eastAsia" w:ascii="宋体" w:hAnsi="宋体" w:eastAsia="宋体" w:cs="宋体"/>
                <w:sz w:val="28"/>
                <w:szCs w:val="28"/>
              </w:rPr>
              <w:t>编制：</w:t>
            </w:r>
          </w:p>
        </w:tc>
        <w:tc>
          <w:tcPr>
            <w:tcW w:w="2841" w:type="dxa"/>
            <w:vAlign w:val="center"/>
          </w:tcPr>
          <w:p w14:paraId="52E2B81A">
            <w:pPr>
              <w:spacing w:after="156" w:afterLines="50"/>
              <w:jc w:val="left"/>
              <w:rPr>
                <w:rFonts w:ascii="宋体" w:hAnsi="宋体" w:eastAsia="宋体" w:cs="宋体"/>
                <w:sz w:val="28"/>
                <w:szCs w:val="28"/>
              </w:rPr>
            </w:pPr>
            <w:r>
              <w:rPr>
                <w:rFonts w:hint="eastAsia" w:ascii="宋体" w:hAnsi="宋体" w:eastAsia="宋体" w:cs="宋体"/>
                <w:sz w:val="28"/>
                <w:szCs w:val="28"/>
              </w:rPr>
              <w:t>审核：</w:t>
            </w:r>
          </w:p>
        </w:tc>
        <w:tc>
          <w:tcPr>
            <w:tcW w:w="2841" w:type="dxa"/>
            <w:vAlign w:val="center"/>
          </w:tcPr>
          <w:p w14:paraId="5EBD90D7">
            <w:pPr>
              <w:spacing w:after="156" w:afterLines="50"/>
              <w:jc w:val="left"/>
              <w:rPr>
                <w:rFonts w:ascii="宋体" w:hAnsi="宋体" w:eastAsia="宋体" w:cs="宋体"/>
                <w:sz w:val="28"/>
                <w:szCs w:val="28"/>
              </w:rPr>
            </w:pPr>
            <w:r>
              <w:rPr>
                <w:rFonts w:hint="eastAsia" w:ascii="宋体" w:hAnsi="宋体" w:eastAsia="宋体" w:cs="宋体"/>
                <w:sz w:val="28"/>
                <w:szCs w:val="28"/>
              </w:rPr>
              <w:t>批准：</w:t>
            </w:r>
          </w:p>
        </w:tc>
      </w:tr>
    </w:tbl>
    <w:p w14:paraId="7230A797">
      <w:pPr>
        <w:spacing w:after="156" w:afterLines="50"/>
        <w:jc w:val="left"/>
        <w:rPr>
          <w:rFonts w:ascii="黑体" w:hAnsi="黑体" w:eastAsia="黑体" w:cs="黑体"/>
          <w:sz w:val="28"/>
          <w:szCs w:val="28"/>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95D33">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DAFB00">
                          <w:pPr>
                            <w:pStyle w:val="4"/>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  \* MERGEFORMAT </w:instrText>
                          </w:r>
                          <w:r>
                            <w:rPr>
                              <w:rFonts w:hint="default" w:ascii="Times New Roman" w:hAnsi="Times New Roman" w:cs="Times New Roman"/>
                              <w:sz w:val="24"/>
                            </w:rPr>
                            <w:fldChar w:fldCharType="separate"/>
                          </w:r>
                          <w:r>
                            <w:rPr>
                              <w:rFonts w:hint="default" w:ascii="Times New Roman" w:hAnsi="Times New Roman" w:cs="Times New Roman"/>
                              <w:sz w:val="24"/>
                            </w:rPr>
                            <w:t>- 1 -</w:t>
                          </w:r>
                          <w:r>
                            <w:rPr>
                              <w:rFonts w:hint="default" w:ascii="Times New Roman" w:hAnsi="Times New Roman" w:cs="Times New Roman"/>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DAFB00">
                    <w:pPr>
                      <w:pStyle w:val="4"/>
                      <w:rPr>
                        <w:rFonts w:hint="default" w:ascii="Times New Roman" w:hAnsi="Times New Roman" w:cs="Times New Roman"/>
                        <w:sz w:val="24"/>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PAGE  \* MERGEFORMAT </w:instrText>
                    </w:r>
                    <w:r>
                      <w:rPr>
                        <w:rFonts w:hint="default" w:ascii="Times New Roman" w:hAnsi="Times New Roman" w:cs="Times New Roman"/>
                        <w:sz w:val="24"/>
                      </w:rPr>
                      <w:fldChar w:fldCharType="separate"/>
                    </w:r>
                    <w:r>
                      <w:rPr>
                        <w:rFonts w:hint="default" w:ascii="Times New Roman" w:hAnsi="Times New Roman" w:cs="Times New Roman"/>
                        <w:sz w:val="24"/>
                      </w:rPr>
                      <w:t>- 1 -</w:t>
                    </w:r>
                    <w:r>
                      <w:rPr>
                        <w:rFonts w:hint="default" w:ascii="Times New Roman" w:hAnsi="Times New Roman" w:cs="Times New Roman"/>
                        <w:sz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87B39A"/>
    <w:multiLevelType w:val="singleLevel"/>
    <w:tmpl w:val="ED87B39A"/>
    <w:lvl w:ilvl="0" w:tentative="0">
      <w:start w:val="1"/>
      <w:numFmt w:val="decimal"/>
      <w:pStyle w:val="3"/>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17DAE"/>
    <w:rsid w:val="00030DB6"/>
    <w:rsid w:val="00107CAE"/>
    <w:rsid w:val="001B30DC"/>
    <w:rsid w:val="001C45F1"/>
    <w:rsid w:val="00232E1F"/>
    <w:rsid w:val="00295C01"/>
    <w:rsid w:val="006554C2"/>
    <w:rsid w:val="008015E7"/>
    <w:rsid w:val="00864BDF"/>
    <w:rsid w:val="0088519A"/>
    <w:rsid w:val="00921614"/>
    <w:rsid w:val="00A81C31"/>
    <w:rsid w:val="00C10A85"/>
    <w:rsid w:val="00C564A4"/>
    <w:rsid w:val="00C63087"/>
    <w:rsid w:val="00F03A6C"/>
    <w:rsid w:val="00FD74B4"/>
    <w:rsid w:val="0A291EE4"/>
    <w:rsid w:val="0B63493C"/>
    <w:rsid w:val="0BDE5DFF"/>
    <w:rsid w:val="0F770285"/>
    <w:rsid w:val="108F6A5A"/>
    <w:rsid w:val="10B97047"/>
    <w:rsid w:val="11160954"/>
    <w:rsid w:val="13565FDA"/>
    <w:rsid w:val="15725E9A"/>
    <w:rsid w:val="199436F6"/>
    <w:rsid w:val="19DF368B"/>
    <w:rsid w:val="1F7F413E"/>
    <w:rsid w:val="20140173"/>
    <w:rsid w:val="24D9609E"/>
    <w:rsid w:val="27E47234"/>
    <w:rsid w:val="29E277A3"/>
    <w:rsid w:val="2D800FB1"/>
    <w:rsid w:val="2E775838"/>
    <w:rsid w:val="2E98245B"/>
    <w:rsid w:val="2EDF64BF"/>
    <w:rsid w:val="30600597"/>
    <w:rsid w:val="33B331DE"/>
    <w:rsid w:val="37DD123F"/>
    <w:rsid w:val="40A37D87"/>
    <w:rsid w:val="418B6C6D"/>
    <w:rsid w:val="42CD4C79"/>
    <w:rsid w:val="431642A4"/>
    <w:rsid w:val="43803AB9"/>
    <w:rsid w:val="453B557B"/>
    <w:rsid w:val="46E9180A"/>
    <w:rsid w:val="49367CC8"/>
    <w:rsid w:val="49D01B09"/>
    <w:rsid w:val="4A7A6D38"/>
    <w:rsid w:val="4B7C6914"/>
    <w:rsid w:val="4C8E32E4"/>
    <w:rsid w:val="4D5257D6"/>
    <w:rsid w:val="4FE753A9"/>
    <w:rsid w:val="5003709F"/>
    <w:rsid w:val="5484335E"/>
    <w:rsid w:val="56CF0F2B"/>
    <w:rsid w:val="5AE72E18"/>
    <w:rsid w:val="5D3E6CEF"/>
    <w:rsid w:val="5E3901D9"/>
    <w:rsid w:val="62640562"/>
    <w:rsid w:val="64D6157E"/>
    <w:rsid w:val="66FA2046"/>
    <w:rsid w:val="689C700A"/>
    <w:rsid w:val="6BD76E4B"/>
    <w:rsid w:val="6CC70402"/>
    <w:rsid w:val="6D7D3CD3"/>
    <w:rsid w:val="6FAE2645"/>
    <w:rsid w:val="701B790D"/>
    <w:rsid w:val="708571A2"/>
    <w:rsid w:val="77DE5818"/>
    <w:rsid w:val="782402A4"/>
    <w:rsid w:val="7A301431"/>
    <w:rsid w:val="7A7942D7"/>
    <w:rsid w:val="7C395ADE"/>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54A1" w:themeColor="accent1" w:themeShade="BF"/>
      <w:sz w:val="28"/>
      <w:szCs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List Number"/>
    <w:basedOn w:val="1"/>
    <w:qFormat/>
    <w:uiPriority w:val="0"/>
    <w:pPr>
      <w:numPr>
        <w:ilvl w:val="0"/>
        <w:numId w:val="1"/>
      </w:numPr>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11"/>
    <w:basedOn w:val="9"/>
    <w:qFormat/>
    <w:uiPriority w:val="0"/>
    <w:rPr>
      <w:rFonts w:hint="eastAsia" w:ascii="宋体" w:hAnsi="宋体" w:eastAsia="宋体" w:cs="宋体"/>
      <w:b/>
      <w:bCs/>
      <w:color w:val="000000"/>
      <w:sz w:val="32"/>
      <w:szCs w:val="32"/>
      <w:u w:val="none"/>
      <w:vertAlign w:val="subscript"/>
    </w:rPr>
  </w:style>
  <w:style w:type="character" w:customStyle="1" w:styleId="11">
    <w:name w:val="font31"/>
    <w:basedOn w:val="9"/>
    <w:qFormat/>
    <w:uiPriority w:val="0"/>
    <w:rPr>
      <w:rFonts w:hint="eastAsia" w:ascii="宋体" w:hAnsi="宋体" w:eastAsia="宋体" w:cs="宋体"/>
      <w:b/>
      <w:bCs/>
      <w:color w:val="000000"/>
      <w:sz w:val="32"/>
      <w:szCs w:val="32"/>
      <w:u w:val="none"/>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2058</Words>
  <Characters>2214</Characters>
  <Lines>28</Lines>
  <Paragraphs>8</Paragraphs>
  <TotalTime>2</TotalTime>
  <ScaleCrop>false</ScaleCrop>
  <LinksUpToDate>false</LinksUpToDate>
  <CharactersWithSpaces>2235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2025-09-03T11:23:00Z</dcterms:created>
  <dc:creator>G</dc:creator>
  <cp:lastModifiedBy>WPS_1605999949</cp:lastModifiedBy>
  <cp:lastPrinted>2025-12-16T08:56:00Z</cp:lastPrinted>
  <dcterms:modified xsi:type="dcterms:W3CDTF">2026-02-11T03:42:41Z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012C98682A0244E0ADEDF9611C40249A_13</vt:lpwstr>
  </property>
  <property fmtid="{D5CDD505-2E9C-101B-9397-08002B2CF9AE}" pid="4" name="KSOTemplateDocerSaveRecord">
    <vt:lpwstr>eyJoZGlkIjoiYjNmMzNmNzE3MDlmMDUyNGVkMzAxYzhkNDcwZDE1NzIiLCJ1c2VySWQiOiIxNjA1OTk5OTQ5In0=</vt:lpwstr>
  </property>
</Properties>
</file>