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14:paraId="53E54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55" w:hRule="atLeast"/>
          <w:jc w:val="center"/>
        </w:trPr>
        <w:tc>
          <w:tcPr>
            <w:tcW w:w="9720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83FAA8B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5D7E5DE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272F3A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1D8A7D4C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64F58B66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海关业务申报管理程序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3AF1AA23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418D1A3">
            <w:pPr>
              <w:spacing w:line="400" w:lineRule="exact"/>
              <w:jc w:val="center"/>
              <w:rPr>
                <w:rFonts w:hint="eastAsia" w:ascii="Times New Roman" w:hAnsi="Times New Roman" w:eastAsia="黑体"/>
                <w:lang w:val="en-US" w:eastAsia="zh-CN"/>
              </w:rPr>
            </w:pPr>
            <w:bookmarkStart w:id="0" w:name="_Hlk208561088"/>
            <w:r>
              <w:rPr>
                <w:rFonts w:ascii="黑体" w:hAnsi="宋体" w:eastAsia="黑体"/>
                <w:sz w:val="28"/>
                <w:szCs w:val="36"/>
              </w:rPr>
              <w:t>GLTX-</w:t>
            </w: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JY</w:t>
            </w:r>
            <w:r>
              <w:rPr>
                <w:rFonts w:ascii="黑体" w:hAnsi="宋体" w:eastAsia="黑体"/>
                <w:sz w:val="28"/>
                <w:szCs w:val="36"/>
              </w:rPr>
              <w:t>-2</w:t>
            </w:r>
            <w:bookmarkEnd w:id="0"/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5</w:t>
            </w:r>
          </w:p>
        </w:tc>
      </w:tr>
      <w:tr w14:paraId="20F46D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9E9C360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77F9283E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2C89C1B8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BD9789A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A</w:t>
            </w:r>
          </w:p>
        </w:tc>
      </w:tr>
      <w:tr w14:paraId="215F87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C228B34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344335CA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11734F71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FBB595A">
            <w:pPr>
              <w:spacing w:line="400" w:lineRule="exact"/>
              <w:jc w:val="center"/>
              <w:rPr>
                <w:rFonts w:hint="eastAsia" w:ascii="黑体" w:hAnsi="宋体" w:eastAsia="黑体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26DF21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68CF774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7A205993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46195AB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共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55BA9B5D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72E71A0C">
            <w:pPr>
              <w:ind w:left="-1" w:leftChars="-51" w:hanging="106" w:hangingChars="38"/>
              <w:jc w:val="center"/>
              <w:rPr>
                <w:rFonts w:hint="default" w:ascii="Times New Roman" w:hAnsi="Times New Roman" w:eastAsia="黑体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202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6</w:t>
            </w:r>
            <w:r>
              <w:rPr>
                <w:rFonts w:hint="eastAsia" w:ascii="黑体" w:eastAsia="黑体"/>
                <w:sz w:val="28"/>
                <w:szCs w:val="36"/>
              </w:rPr>
              <w:t>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13</w:t>
            </w:r>
          </w:p>
        </w:tc>
      </w:tr>
      <w:tr w14:paraId="2A7A8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90EDE7F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更改记录</w:t>
            </w:r>
          </w:p>
        </w:tc>
      </w:tr>
      <w:tr w14:paraId="67C20F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3A1E2F3A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3306888E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1CB18A2D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20EAAF9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1805D7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AD434C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F8C560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7B8D7F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942856F">
            <w:pPr>
              <w:jc w:val="center"/>
              <w:rPr>
                <w:rFonts w:ascii="宋体"/>
              </w:rPr>
            </w:pPr>
          </w:p>
        </w:tc>
      </w:tr>
      <w:tr w14:paraId="49781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32C23F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F6C23A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A0999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631A447">
            <w:pPr>
              <w:jc w:val="center"/>
              <w:rPr>
                <w:rFonts w:ascii="宋体"/>
              </w:rPr>
            </w:pPr>
          </w:p>
        </w:tc>
      </w:tr>
      <w:tr w14:paraId="5894A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E2C86D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3CDC2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D701BD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D6A7844">
            <w:pPr>
              <w:jc w:val="center"/>
              <w:rPr>
                <w:rFonts w:ascii="宋体"/>
              </w:rPr>
            </w:pPr>
          </w:p>
        </w:tc>
      </w:tr>
      <w:tr w14:paraId="35CDD2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93ADF85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29DDC7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D1F91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F172405">
            <w:pPr>
              <w:jc w:val="center"/>
              <w:rPr>
                <w:rFonts w:ascii="宋体"/>
              </w:rPr>
            </w:pPr>
          </w:p>
        </w:tc>
      </w:tr>
      <w:tr w14:paraId="0CA8F7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34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88475D2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1D108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91C2CA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14:paraId="58EA1A2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27FAEE7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09B14F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387FF10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F4E038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0EE9A95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3512F00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2904DC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6504E5C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14:paraId="07F08B6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项目</w:t>
            </w:r>
          </w:p>
          <w:p w14:paraId="3221463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418F644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3505D4E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5BCE9470">
            <w:pPr>
              <w:jc w:val="center"/>
              <w:rPr>
                <w:rFonts w:hint="eastAsia"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</w:t>
            </w:r>
          </w:p>
          <w:p w14:paraId="3BC559B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车间</w:t>
            </w:r>
          </w:p>
        </w:tc>
      </w:tr>
      <w:tr w14:paraId="1B6D46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F1F27D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947FA5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95B748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3493581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13A6F81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787873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755BC13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5C10529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793C5A9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1</w:t>
            </w:r>
          </w:p>
        </w:tc>
      </w:tr>
      <w:tr w14:paraId="69552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A30B45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D4E15A3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运维</w:t>
            </w:r>
          </w:p>
          <w:p w14:paraId="4983A960">
            <w:pPr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14:paraId="5B05A90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336E7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72229D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AC100D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77F07F4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04F248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573A0EC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28D549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035F88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312C61B">
            <w:pPr>
              <w:spacing w:line="240" w:lineRule="exact"/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246AD4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729B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3B897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8CF07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8F1F1E0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4D906C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14E4CE9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EA3E3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41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7ED40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984A3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62D7C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FC939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B68E0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6726BF1">
            <w:pPr>
              <w:jc w:val="center"/>
              <w:rPr>
                <w:rFonts w:ascii="宋体"/>
                <w:sz w:val="24"/>
              </w:rPr>
            </w:pPr>
          </w:p>
        </w:tc>
      </w:tr>
      <w:tr w14:paraId="7CBF4C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5BA0E9">
            <w:pPr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38C45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1123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4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1C2B0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AABD2B6">
            <w:pPr>
              <w:jc w:val="center"/>
              <w:rPr>
                <w:rFonts w:ascii="宋体"/>
                <w:sz w:val="24"/>
              </w:rPr>
            </w:pPr>
          </w:p>
        </w:tc>
      </w:tr>
      <w:tr w14:paraId="1EADB6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1F27FF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F24B7D8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53360D67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51068320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sz w:val="30"/>
          <w:szCs w:val="30"/>
        </w:rPr>
        <w:t>目的</w:t>
      </w:r>
    </w:p>
    <w:p w14:paraId="19A0883C">
      <w:pPr>
        <w:spacing w:line="440" w:lineRule="exact"/>
        <w:ind w:firstLine="560" w:firstLineChars="200"/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为规范公司在综合保税区内的海关业务管理，明确海关业务钉钉线上申报及审批流程，确保所有进出区货品海关申报工作的合规性、及时性和准确性，特制定本程序。</w:t>
      </w:r>
    </w:p>
    <w:p w14:paraId="28FD4C75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适用范围</w:t>
      </w:r>
    </w:p>
    <w:p w14:paraId="1F76CB54">
      <w:pPr>
        <w:spacing w:line="440" w:lineRule="exact"/>
        <w:ind w:firstLine="560" w:firstLineChars="200"/>
        <w:jc w:val="left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本程序适用于公司所有部门因公司自有业务需要，申请货物、车辆或人员进出综合保税区，需通过钉钉流程提交申请，并经审批后由经营发展部统一向报关行发起海关申报的情形。沈飞民机相关业务不适用本程序</w:t>
      </w:r>
    </w:p>
    <w:p w14:paraId="573039C6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术语和定义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6890"/>
      </w:tblGrid>
      <w:tr w14:paraId="6B2C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406" w:type="dxa"/>
            <w:vAlign w:val="center"/>
          </w:tcPr>
          <w:p w14:paraId="15E055F6">
            <w:pPr>
              <w:pStyle w:val="3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contextualSpacing w:val="0"/>
              <w:jc w:val="center"/>
              <w:textAlignment w:val="auto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术语</w:t>
            </w:r>
          </w:p>
        </w:tc>
        <w:tc>
          <w:tcPr>
            <w:tcW w:w="6890" w:type="dxa"/>
            <w:vAlign w:val="center"/>
          </w:tcPr>
          <w:p w14:paraId="76DD60D1">
            <w:pPr>
              <w:pStyle w:val="3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contextualSpacing w:val="0"/>
              <w:jc w:val="center"/>
              <w:textAlignment w:val="auto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1BCF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406" w:type="dxa"/>
            <w:vAlign w:val="center"/>
          </w:tcPr>
          <w:p w14:paraId="7038A441">
            <w:pPr>
              <w:pStyle w:val="3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contextualSpacing w:val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报关行</w:t>
            </w:r>
          </w:p>
        </w:tc>
        <w:tc>
          <w:tcPr>
            <w:tcW w:w="6890" w:type="dxa"/>
            <w:vAlign w:val="center"/>
          </w:tcPr>
          <w:p w14:paraId="1C43AA27">
            <w:pPr>
              <w:pStyle w:val="3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contextualSpacing w:val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公司与海关之间委托办理报关、报检等业务的第三方服务机构。</w:t>
            </w:r>
          </w:p>
        </w:tc>
      </w:tr>
    </w:tbl>
    <w:p w14:paraId="631CFD67">
      <w:pPr>
        <w:spacing w:before="312" w:beforeLines="100" w:after="312" w:afterLines="100" w:line="44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职责分工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447"/>
      </w:tblGrid>
      <w:tr w14:paraId="1D53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849" w:type="dxa"/>
            <w:vAlign w:val="center"/>
          </w:tcPr>
          <w:p w14:paraId="4DC325E0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447" w:type="dxa"/>
            <w:vAlign w:val="center"/>
          </w:tcPr>
          <w:p w14:paraId="5290EFFF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主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要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责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描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述</w:t>
            </w:r>
          </w:p>
        </w:tc>
      </w:tr>
      <w:tr w14:paraId="7170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49" w:type="dxa"/>
            <w:vAlign w:val="center"/>
          </w:tcPr>
          <w:p w14:paraId="34CC4232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经营发展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</w:t>
            </w:r>
          </w:p>
        </w:tc>
        <w:tc>
          <w:tcPr>
            <w:tcW w:w="6447" w:type="dxa"/>
            <w:vAlign w:val="center"/>
          </w:tcPr>
          <w:p w14:paraId="1B143635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接收钉钉审批通过的申请，依据表单信息及附件内容，统一联系报关行进行海关申报，并留存记录。</w:t>
            </w:r>
          </w:p>
        </w:tc>
      </w:tr>
      <w:tr w14:paraId="2677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shd w:val="clear" w:color="auto" w:fill="auto"/>
            <w:vAlign w:val="center"/>
          </w:tcPr>
          <w:p w14:paraId="7D073738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各业务部门</w:t>
            </w:r>
          </w:p>
        </w:tc>
        <w:tc>
          <w:tcPr>
            <w:tcW w:w="6447" w:type="dxa"/>
            <w:shd w:val="clear" w:color="auto" w:fill="auto"/>
            <w:vAlign w:val="center"/>
          </w:tcPr>
          <w:p w14:paraId="0B2A0CDF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负责本部门海关业务需求的发起，按要求在钉钉平台完整填写申报信息，准确上传《海关业务申请表》及相关佐证资料。</w:t>
            </w:r>
          </w:p>
          <w:p w14:paraId="18DE628C">
            <w:pPr>
              <w:pStyle w:val="33"/>
              <w:numPr>
                <w:ilvl w:val="1"/>
                <w:numId w:val="0"/>
              </w:numPr>
              <w:contextualSpacing w:val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确保申报信息、附件资料的真实性、完整性和准确性，对本部门申请内容承担首要责任。配合钉钉审批流程中各级审批环节的审核要求，及时补充、修正资料。</w:t>
            </w:r>
          </w:p>
        </w:tc>
      </w:tr>
      <w:tr w14:paraId="1814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49" w:type="dxa"/>
            <w:shd w:val="clear" w:color="auto" w:fill="auto"/>
            <w:vAlign w:val="center"/>
          </w:tcPr>
          <w:p w14:paraId="7B265D7E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分管领导</w:t>
            </w:r>
          </w:p>
        </w:tc>
        <w:tc>
          <w:tcPr>
            <w:tcW w:w="6447" w:type="dxa"/>
            <w:shd w:val="clear" w:color="auto" w:fill="auto"/>
            <w:vAlign w:val="center"/>
          </w:tcPr>
          <w:p w14:paraId="09DDABCE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最终批准或驳回申请，重点关注合规性、危险品管理等重大事项。</w:t>
            </w:r>
          </w:p>
        </w:tc>
      </w:tr>
    </w:tbl>
    <w:p w14:paraId="47EA9A0B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规定</w:t>
      </w:r>
    </w:p>
    <w:p w14:paraId="2C6DC64A">
      <w:pPr>
        <w:spacing w:before="156" w:beforeLines="50" w:after="156" w:afterLines="50" w:line="44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5.1钉钉申报规范</w:t>
      </w:r>
    </w:p>
    <w:p w14:paraId="7168C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各部门发起海关业务申请时，必须通过钉钉“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沈阳模块—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海关业务申报”审批模块提交，严禁线下跳过钉钉流程直接申报。</w:t>
      </w:r>
    </w:p>
    <w:p w14:paraId="34C0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钉钉申报时需完整填写基础信息（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具体内容详见《钉钉海关卡口登记表》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，包括车牌号、进出区日期、司机姓名电话、申请人姓名电话、事由、项目、入区/出区相关信息（供应商/接收公司名称、货名件数单位、总毛重KG）等，信息填写需准确无误，不得遗漏。</w:t>
      </w:r>
    </w:p>
    <w:p w14:paraId="2B175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需将《卡口登记入区申报信息表》作为核心附件上传，同时根据业务需求上传货物清单、资质证明、运输凭证等相关佐证材料。</w:t>
      </w:r>
    </w:p>
    <w:p w14:paraId="70E24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钉钉申报时间需结合实际业务需求提前规划，确保预留充足的审批及海关申报时间。</w:t>
      </w:r>
    </w:p>
    <w:p w14:paraId="39D81540">
      <w:pPr>
        <w:spacing w:before="156" w:beforeLines="50" w:after="156" w:afterLines="50" w:line="44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</w:rPr>
        <w:t>钉钉审批规范</w:t>
      </w:r>
    </w:p>
    <w:p w14:paraId="06AE5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钉钉审批流程严格遵循“申请人发起→部门负责人审批→分管副总经理审批”的顺序，不得越级审批、省略审批环节。</w:t>
      </w:r>
    </w:p>
    <w:p w14:paraId="555F3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部门负责人需在收到钉钉申请后1个工作日内完成审批，分管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领导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需在收到申请后1个工作日内完成最终审批，特殊情况需延期的，需在钉钉系统中备注原因并及时告知申请部门。</w:t>
      </w:r>
    </w:p>
    <w:p w14:paraId="2298E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审批人发现申请信息错误、附件缺失的，需在钉钉审批中明确标注问题，退回申请人修改，修改后重新发起审批流程。</w:t>
      </w:r>
    </w:p>
    <w:p w14:paraId="32AAEB33">
      <w:pPr>
        <w:spacing w:before="156" w:beforeLines="50" w:after="156" w:afterLines="50" w:line="44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</w:rPr>
        <w:t>海关申报规范</w:t>
      </w:r>
    </w:p>
    <w:p w14:paraId="1B6CF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经营发展部需在钉钉审批流程全部通过后1个工作日内，整理审批资料及附件，与报关行对接提交申报需求。</w:t>
      </w:r>
    </w:p>
    <w:p w14:paraId="78D26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跟进报关行申报进度，及时处理海关审核、查验过程中出现的问题，协调相关部门配合查验工作。</w:t>
      </w:r>
    </w:p>
    <w:p w14:paraId="7DD17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海关申报完成后，及时获取报关结果及卡口通行许可，反馈至申请部门。</w:t>
      </w:r>
    </w:p>
    <w:p w14:paraId="49CF790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流程</w:t>
      </w:r>
    </w:p>
    <w:p w14:paraId="455F9D60">
      <w:pPr>
        <w:spacing w:before="312" w:beforeLines="100" w:after="312" w:afterLines="100" w:line="440" w:lineRule="exact"/>
        <w:ind w:firstLine="560" w:firstLineChars="200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无</w:t>
      </w:r>
    </w:p>
    <w:p w14:paraId="1B5A0CE2">
      <w:pPr>
        <w:bidi w:val="0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7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规定表格</w:t>
      </w:r>
    </w:p>
    <w:p w14:paraId="5F888A3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</w:rPr>
        <w:t>-01-A《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钉钉海关卡口登记表</w:t>
      </w:r>
      <w:r>
        <w:rPr>
          <w:rFonts w:hint="eastAsia" w:ascii="Times New Roman" w:hAnsi="Times New Roman" w:eastAsia="宋体" w:cs="Times New Roman"/>
          <w:sz w:val="28"/>
          <w:szCs w:val="28"/>
        </w:rPr>
        <w:t>》</w:t>
      </w:r>
    </w:p>
    <w:p w14:paraId="506078F1">
      <w:pPr>
        <w:spacing w:line="440" w:lineRule="exact"/>
        <w:ind w:firstLine="560" w:firstLineChars="200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</w:rPr>
        <w:t>-02-A《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卡口登记入区申报信息表</w:t>
      </w:r>
      <w:r>
        <w:rPr>
          <w:rFonts w:hint="eastAsia" w:ascii="Times New Roman" w:hAnsi="Times New Roman" w:eastAsia="宋体" w:cs="Times New Roman"/>
          <w:sz w:val="28"/>
          <w:szCs w:val="28"/>
        </w:rPr>
        <w:t>》</w:t>
      </w:r>
    </w:p>
    <w:p w14:paraId="58E9976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8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记录控制</w:t>
      </w:r>
    </w:p>
    <w:p w14:paraId="63FF982A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本程序由经营发展部负责解释与修订。</w:t>
      </w:r>
    </w:p>
    <w:p w14:paraId="4BAF3BBE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本程序自发布之日起执行，钉钉审批流程同步上线，原纸质或邮件申请方式停止使用。</w:t>
      </w:r>
    </w:p>
    <w:p w14:paraId="282526BD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8"/>
          <w:szCs w:val="28"/>
        </w:rPr>
        <w:t>违反本程序的部门或个人，将视情节轻重按公司相关管理制度处理。</w:t>
      </w:r>
    </w:p>
    <w:p w14:paraId="00A10FE0">
      <w:pPr>
        <w:spacing w:line="440" w:lineRule="exact"/>
        <w:jc w:val="left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4"/>
        </w:rPr>
        <w:t>附件：</w:t>
      </w: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</w:rPr>
        <w:t>-01-A《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钉钉海关卡口登记表</w:t>
      </w:r>
      <w:r>
        <w:rPr>
          <w:rFonts w:hint="eastAsia" w:ascii="Times New Roman" w:hAnsi="Times New Roman" w:eastAsia="宋体" w:cs="Times New Roman"/>
          <w:sz w:val="28"/>
          <w:szCs w:val="28"/>
        </w:rPr>
        <w:t>》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手机流程仅供参考</w:t>
      </w:r>
      <w:bookmarkStart w:id="1" w:name="_GoBack"/>
      <w:bookmarkEnd w:id="1"/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6417"/>
      </w:tblGrid>
      <w:tr w14:paraId="6DA0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0A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非报关货物卡口登记申请单</w:t>
            </w:r>
          </w:p>
        </w:tc>
      </w:tr>
      <w:tr w14:paraId="50314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72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E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详情</w:t>
            </w:r>
          </w:p>
        </w:tc>
      </w:tr>
      <w:tr w14:paraId="533AE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2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登记编号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5AC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0F7A0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A9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车牌号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B00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77CBC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1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进出区日期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E88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79FF4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B4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司机姓名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FEC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572D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9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司机联系电话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DD8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34697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3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申请人姓名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885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36192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7F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申请人所属部门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5D4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28136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5F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申请人联系电话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EE4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0B989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68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事由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5A6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46473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75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9D6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78136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4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入区货物供应商名称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944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0D74C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6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入区货物信息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AC4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7A27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BE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入区货物总毛重（kg）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235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583E8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C5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出区货物接收公司名称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C03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61708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1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出区货物信息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60C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529BF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B0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出区货物总毛重（kg）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D72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55EC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78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卡口登记入区申报信息表（附件）</w:t>
            </w:r>
          </w:p>
        </w:tc>
        <w:tc>
          <w:tcPr>
            <w:tcW w:w="3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7EF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 w14:paraId="0CEFEF74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</w:p>
    <w:p w14:paraId="49C3A0B6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43807DEA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4"/>
        </w:rPr>
        <w:t>附件：</w:t>
      </w: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8"/>
          <w:szCs w:val="28"/>
        </w:rPr>
        <w:t>-A《卡口登记入区申报信息表》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223"/>
        <w:gridCol w:w="1766"/>
        <w:gridCol w:w="757"/>
        <w:gridCol w:w="2441"/>
        <w:gridCol w:w="1565"/>
      </w:tblGrid>
      <w:tr w14:paraId="644F1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EA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沈阳昌兴复材航空科技有限责任公司卡口登记入区申报信息表</w:t>
            </w:r>
            <w:r>
              <w:rPr>
                <w:rStyle w:val="46"/>
                <w:lang w:val="en-US" w:eastAsia="zh-CN" w:bidi="ar"/>
              </w:rPr>
              <w:t>（每辆车一份）</w:t>
            </w:r>
          </w:p>
        </w:tc>
      </w:tr>
      <w:tr w14:paraId="053F9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F2B1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车牌号：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300EF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D1F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申请人姓名：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9B3E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55B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DBF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要求进出区日期：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59C069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90E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申请人电话：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58EBE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A61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09A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入区或出区：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E547B3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8DE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是否包含危险品：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9F62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7A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683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出入区事由：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67D12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354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是否为危品专用车辆：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7B9D8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221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FE8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申请人所在部门：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DC18B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738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货物总净重KG：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DB41C4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C2E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B63E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货物所属项目：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0DDB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F462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货物总毛重KG：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765ACC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471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05" w:hRule="atLeast"/>
        </w:trPr>
        <w:tc>
          <w:tcPr>
            <w:tcW w:w="117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6B1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对方公司名称：</w:t>
            </w:r>
          </w:p>
        </w:tc>
        <w:tc>
          <w:tcPr>
            <w:tcW w:w="14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95E2F3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468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司机电话：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604E4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C68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092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1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9B2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货物名称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4F3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件数</w:t>
            </w: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70C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计量单位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8EC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是否为危险品</w:t>
            </w:r>
          </w:p>
        </w:tc>
      </w:tr>
      <w:tr w14:paraId="5F171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DDE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45C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586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60EB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16AE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9A6F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36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D6E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166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6E1C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3E89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55B6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63D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申请人员须知：</w:t>
            </w:r>
          </w:p>
        </w:tc>
        <w:tc>
          <w:tcPr>
            <w:tcW w:w="13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6B7ECF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F362FE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7C59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6CA1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pct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FA38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19D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A3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1、上述货物信息尽量</w:t>
            </w:r>
            <w:r>
              <w:rPr>
                <w:rStyle w:val="47"/>
                <w:lang w:val="en-US" w:eastAsia="zh-CN" w:bidi="ar"/>
              </w:rPr>
              <w:t>提前</w:t>
            </w:r>
            <w:r>
              <w:rPr>
                <w:rStyle w:val="48"/>
                <w:lang w:val="en-US" w:eastAsia="zh-CN" w:bidi="ar"/>
              </w:rPr>
              <w:t>发至经营发展部，</w:t>
            </w:r>
            <w:r>
              <w:rPr>
                <w:rStyle w:val="47"/>
                <w:lang w:val="en-US" w:eastAsia="zh-CN" w:bidi="ar"/>
              </w:rPr>
              <w:t>车牌号注意填写准确</w:t>
            </w:r>
            <w:r>
              <w:rPr>
                <w:rStyle w:val="48"/>
                <w:lang w:val="en-US" w:eastAsia="zh-CN" w:bidi="ar"/>
              </w:rPr>
              <w:t>，是司机联系入区的重要依据。</w:t>
            </w:r>
            <w:r>
              <w:rPr>
                <w:rStyle w:val="48"/>
                <w:lang w:val="en-US" w:eastAsia="zh-CN" w:bidi="ar"/>
              </w:rPr>
              <w:br w:type="textWrapping"/>
            </w:r>
            <w:r>
              <w:rPr>
                <w:rStyle w:val="48"/>
                <w:lang w:val="en-US" w:eastAsia="zh-CN" w:bidi="ar"/>
              </w:rPr>
              <w:t>2、将单子传递到司机，使其了解下述“司机须知”。</w:t>
            </w:r>
            <w:r>
              <w:rPr>
                <w:rStyle w:val="48"/>
                <w:lang w:val="en-US" w:eastAsia="zh-CN" w:bidi="ar"/>
              </w:rPr>
              <w:br w:type="textWrapping"/>
            </w:r>
            <w:r>
              <w:rPr>
                <w:rStyle w:val="48"/>
                <w:lang w:val="en-US" w:eastAsia="zh-CN" w:bidi="ar"/>
              </w:rPr>
              <w:t>3、危险品必须使用专门车辆运输。要求接货单位指定人员到综保区外接车，核对单货相符后，除正常报关手续外，再在综保区门卫室办理手工登记。</w:t>
            </w:r>
            <w:r>
              <w:rPr>
                <w:rStyle w:val="48"/>
                <w:lang w:val="en-US" w:eastAsia="zh-CN" w:bidi="ar"/>
              </w:rPr>
              <w:br w:type="textWrapping"/>
            </w:r>
            <w:r>
              <w:rPr>
                <w:rStyle w:val="48"/>
                <w:lang w:val="en-US" w:eastAsia="zh-CN" w:bidi="ar"/>
              </w:rPr>
              <w:t>4、不得少报，瞒报，外协货物不得通过此申请单进出区。</w:t>
            </w:r>
          </w:p>
        </w:tc>
      </w:tr>
      <w:tr w14:paraId="3C43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710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t>司机须知：</w:t>
            </w:r>
          </w:p>
        </w:tc>
      </w:tr>
      <w:tr w14:paraId="05678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4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ED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1、提货（送货）司机行驶到到综保区门外等候。</w:t>
            </w:r>
            <w:r>
              <w:rPr>
                <w:rStyle w:val="46"/>
                <w:lang w:val="en-US" w:eastAsia="zh-CN" w:bidi="ar"/>
              </w:rPr>
              <w:t>联系</w:t>
            </w:r>
            <w:r>
              <w:rPr>
                <w:rStyle w:val="49"/>
                <w:lang w:val="en-US" w:eastAsia="zh-CN" w:bidi="ar"/>
              </w:rPr>
              <w:t>报关员：</w:t>
            </w:r>
            <w:r>
              <w:rPr>
                <w:rStyle w:val="50"/>
                <w:lang w:val="en-US" w:eastAsia="zh-CN" w:bidi="ar"/>
              </w:rPr>
              <w:t xml:space="preserve"> 13624130696，</w:t>
            </w:r>
            <w:r>
              <w:rPr>
                <w:rStyle w:val="51"/>
                <w:lang w:val="en-US" w:eastAsia="zh-CN" w:bidi="ar"/>
              </w:rPr>
              <w:t>告知</w:t>
            </w:r>
            <w:r>
              <w:rPr>
                <w:rStyle w:val="46"/>
                <w:lang w:val="en-US" w:eastAsia="zh-CN" w:bidi="ar"/>
              </w:rPr>
              <w:t>车牌号</w:t>
            </w:r>
            <w:r>
              <w:rPr>
                <w:rStyle w:val="51"/>
                <w:lang w:val="en-US" w:eastAsia="zh-CN" w:bidi="ar"/>
              </w:rPr>
              <w:t>，说明要</w:t>
            </w:r>
            <w:r>
              <w:rPr>
                <w:rStyle w:val="46"/>
                <w:lang w:val="en-US" w:eastAsia="zh-CN" w:bidi="ar"/>
              </w:rPr>
              <w:t>办理“卡口登记手续”</w:t>
            </w:r>
            <w:r>
              <w:rPr>
                <w:rStyle w:val="51"/>
                <w:lang w:val="en-US" w:eastAsia="zh-CN" w:bidi="ar"/>
              </w:rPr>
              <w:t>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>2、根据报关员指挥，车辆由“报关通道”</w:t>
            </w:r>
            <w:r>
              <w:rPr>
                <w:rStyle w:val="46"/>
                <w:lang w:val="en-US" w:eastAsia="zh-CN" w:bidi="ar"/>
              </w:rPr>
              <w:t>上地磅，读出总重量</w:t>
            </w:r>
            <w:r>
              <w:rPr>
                <w:rStyle w:val="51"/>
                <w:lang w:val="en-US" w:eastAsia="zh-CN" w:bidi="ar"/>
              </w:rPr>
              <w:t>后，倒回综保区门外，将</w:t>
            </w:r>
            <w:r>
              <w:rPr>
                <w:rStyle w:val="46"/>
                <w:lang w:val="en-US" w:eastAsia="zh-CN" w:bidi="ar"/>
              </w:rPr>
              <w:t>总重量告知报关员</w:t>
            </w:r>
            <w:r>
              <w:rPr>
                <w:rStyle w:val="51"/>
                <w:lang w:val="en-US" w:eastAsia="zh-CN" w:bidi="ar"/>
              </w:rPr>
              <w:t>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 xml:space="preserve">   同时，按指示</w:t>
            </w:r>
            <w:r>
              <w:rPr>
                <w:rStyle w:val="46"/>
                <w:lang w:val="en-US" w:eastAsia="zh-CN" w:bidi="ar"/>
              </w:rPr>
              <w:t>“取通关卡”</w:t>
            </w:r>
            <w:r>
              <w:rPr>
                <w:rStyle w:val="51"/>
                <w:lang w:val="en-US" w:eastAsia="zh-CN" w:bidi="ar"/>
              </w:rPr>
              <w:t>(押行驶证或身份证)，持卡在综保区外等待。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>3、司机得到通知可以入区后，车辆由“</w:t>
            </w:r>
            <w:r>
              <w:rPr>
                <w:rStyle w:val="46"/>
                <w:lang w:val="en-US" w:eastAsia="zh-CN" w:bidi="ar"/>
              </w:rPr>
              <w:t>报关通道</w:t>
            </w:r>
            <w:r>
              <w:rPr>
                <w:rStyle w:val="51"/>
                <w:lang w:val="en-US" w:eastAsia="zh-CN" w:bidi="ar"/>
              </w:rPr>
              <w:t>”</w:t>
            </w:r>
            <w:r>
              <w:rPr>
                <w:rStyle w:val="46"/>
                <w:lang w:val="en-US" w:eastAsia="zh-CN" w:bidi="ar"/>
              </w:rPr>
              <w:t>刷卡</w:t>
            </w:r>
            <w:r>
              <w:rPr>
                <w:rStyle w:val="51"/>
                <w:lang w:val="en-US" w:eastAsia="zh-CN" w:bidi="ar"/>
              </w:rPr>
              <w:t>驶入。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>4、送货或提货完成后，车辆在“报关通道”</w:t>
            </w:r>
            <w:r>
              <w:rPr>
                <w:rStyle w:val="46"/>
                <w:lang w:val="en-US" w:eastAsia="zh-CN" w:bidi="ar"/>
              </w:rPr>
              <w:t>再次上地磅</w:t>
            </w:r>
            <w:r>
              <w:rPr>
                <w:rStyle w:val="51"/>
                <w:lang w:val="en-US" w:eastAsia="zh-CN" w:bidi="ar"/>
              </w:rPr>
              <w:t>，读出总重量后，倒回综保区门内，将总重量告知报关员，持卡在综保区内等待；得到通知可以出区后，车辆由</w:t>
            </w:r>
            <w:r>
              <w:rPr>
                <w:rStyle w:val="46"/>
                <w:lang w:val="en-US" w:eastAsia="zh-CN" w:bidi="ar"/>
              </w:rPr>
              <w:t>“报关通道”刷卡</w:t>
            </w:r>
            <w:r>
              <w:rPr>
                <w:rStyle w:val="51"/>
                <w:lang w:val="en-US" w:eastAsia="zh-CN" w:bidi="ar"/>
              </w:rPr>
              <w:t>驶出。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>5、驶出后联系发卡人</w:t>
            </w:r>
            <w:r>
              <w:rPr>
                <w:rStyle w:val="46"/>
                <w:lang w:val="en-US" w:eastAsia="zh-CN" w:bidi="ar"/>
              </w:rPr>
              <w:t>“还通关卡”</w:t>
            </w:r>
            <w:r>
              <w:rPr>
                <w:rStyle w:val="51"/>
                <w:lang w:val="en-US" w:eastAsia="zh-CN" w:bidi="ar"/>
              </w:rPr>
              <w:t>，取回证件。</w:t>
            </w:r>
            <w:r>
              <w:rPr>
                <w:rStyle w:val="51"/>
                <w:lang w:val="en-US" w:eastAsia="zh-CN" w:bidi="ar"/>
              </w:rPr>
              <w:br w:type="textWrapping"/>
            </w:r>
            <w:r>
              <w:rPr>
                <w:rStyle w:val="51"/>
                <w:lang w:val="en-US" w:eastAsia="zh-CN" w:bidi="ar"/>
              </w:rPr>
              <w:t>【车辆如需进出综合保税区内的</w:t>
            </w:r>
            <w:r>
              <w:rPr>
                <w:rStyle w:val="46"/>
                <w:lang w:val="en-US" w:eastAsia="zh-CN" w:bidi="ar"/>
              </w:rPr>
              <w:t>民机公司厂区大门</w:t>
            </w:r>
            <w:r>
              <w:rPr>
                <w:rStyle w:val="51"/>
                <w:lang w:val="en-US" w:eastAsia="zh-CN" w:bidi="ar"/>
              </w:rPr>
              <w:t>，请联系派车人员协调办理】</w:t>
            </w:r>
          </w:p>
        </w:tc>
      </w:tr>
    </w:tbl>
    <w:p w14:paraId="62B17474">
      <w:pPr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48700">
    <w:pPr>
      <w:pStyle w:val="12"/>
      <w:jc w:val="center"/>
    </w:pPr>
  </w:p>
  <w:p w14:paraId="702BF7D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E4DC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218F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-0-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218F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-0-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F3D8C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618EDE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618EDE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9DCBE72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yMDJmYTRhNDk0OGFiMTQ1ODRhM2U0Mzk4NzA2NWIifQ=="/>
  </w:docVars>
  <w:rsids>
    <w:rsidRoot w:val="00935CD2"/>
    <w:rsid w:val="000367F3"/>
    <w:rsid w:val="000405F4"/>
    <w:rsid w:val="0005202B"/>
    <w:rsid w:val="00076794"/>
    <w:rsid w:val="000B7681"/>
    <w:rsid w:val="00151E24"/>
    <w:rsid w:val="00164904"/>
    <w:rsid w:val="0016628D"/>
    <w:rsid w:val="00170E19"/>
    <w:rsid w:val="00237764"/>
    <w:rsid w:val="002A27DB"/>
    <w:rsid w:val="00364827"/>
    <w:rsid w:val="0039075D"/>
    <w:rsid w:val="00394BA0"/>
    <w:rsid w:val="003D7E9C"/>
    <w:rsid w:val="004A3BB8"/>
    <w:rsid w:val="004A7013"/>
    <w:rsid w:val="004B0C1E"/>
    <w:rsid w:val="00544A32"/>
    <w:rsid w:val="005C20F3"/>
    <w:rsid w:val="00697103"/>
    <w:rsid w:val="00697F6D"/>
    <w:rsid w:val="006C3F18"/>
    <w:rsid w:val="00794D1C"/>
    <w:rsid w:val="007E7405"/>
    <w:rsid w:val="00923D22"/>
    <w:rsid w:val="00935CD2"/>
    <w:rsid w:val="00A10100"/>
    <w:rsid w:val="00A45B39"/>
    <w:rsid w:val="00A609B3"/>
    <w:rsid w:val="00B22B60"/>
    <w:rsid w:val="00BE4649"/>
    <w:rsid w:val="00C25B21"/>
    <w:rsid w:val="00C60683"/>
    <w:rsid w:val="00C639E3"/>
    <w:rsid w:val="00D13C65"/>
    <w:rsid w:val="00D952B4"/>
    <w:rsid w:val="00E30A16"/>
    <w:rsid w:val="00F24C0D"/>
    <w:rsid w:val="00F8139C"/>
    <w:rsid w:val="02687C90"/>
    <w:rsid w:val="04B17590"/>
    <w:rsid w:val="05176DE6"/>
    <w:rsid w:val="06A957D9"/>
    <w:rsid w:val="086E7455"/>
    <w:rsid w:val="0C973A34"/>
    <w:rsid w:val="0D867B3E"/>
    <w:rsid w:val="0E401071"/>
    <w:rsid w:val="0FAC5F49"/>
    <w:rsid w:val="108C7A6C"/>
    <w:rsid w:val="1D7D76F0"/>
    <w:rsid w:val="1E220F0E"/>
    <w:rsid w:val="1F832433"/>
    <w:rsid w:val="269F3FA4"/>
    <w:rsid w:val="278A496D"/>
    <w:rsid w:val="27BF73C5"/>
    <w:rsid w:val="2A182DA7"/>
    <w:rsid w:val="2AE726D5"/>
    <w:rsid w:val="2E765047"/>
    <w:rsid w:val="35391B8D"/>
    <w:rsid w:val="372165E3"/>
    <w:rsid w:val="469E4B18"/>
    <w:rsid w:val="4EB41D24"/>
    <w:rsid w:val="5C8D0610"/>
    <w:rsid w:val="5DA45413"/>
    <w:rsid w:val="6A4F5A18"/>
    <w:rsid w:val="78F4247E"/>
    <w:rsid w:val="7E57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font51"/>
    <w:basedOn w:val="18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41">
    <w:name w:val="font81"/>
    <w:basedOn w:val="1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42">
    <w:name w:val="font7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single"/>
    </w:rPr>
  </w:style>
  <w:style w:type="character" w:customStyle="1" w:styleId="43">
    <w:name w:val="font2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44">
    <w:name w:val="font3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45">
    <w:name w:val="页脚 字符1"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46">
    <w:name w:val="font121"/>
    <w:basedOn w:val="1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47">
    <w:name w:val="font11"/>
    <w:basedOn w:val="1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48">
    <w:name w:val="font01"/>
    <w:basedOn w:val="1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9">
    <w:name w:val="font131"/>
    <w:basedOn w:val="1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50">
    <w:name w:val="font14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1">
    <w:name w:val="font112"/>
    <w:basedOn w:val="18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45FEA7-6317-4CE3-93CC-5F0E90F29C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2101</Words>
  <Characters>2196</Characters>
  <Lines>35</Lines>
  <Paragraphs>9</Paragraphs>
  <TotalTime>350</TotalTime>
  <ScaleCrop>false</ScaleCrop>
  <LinksUpToDate>false</LinksUpToDate>
  <CharactersWithSpaces>2200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2025-09-16T07:41:00Z</dcterms:created>
  <dc:creator>傲 王</dc:creator>
  <cp:lastModifiedBy>WPS_1605999949</cp:lastModifiedBy>
  <dcterms:modified xsi:type="dcterms:W3CDTF">2026-04-10T00:59:23Z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BED2005932B74FCE9E1CBD725652CB50_13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