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2B8BDB44">
      <w:pPr>
        <w:keepNext/>
        <w:keepLines/>
        <w:wordWrap w:val="0"/>
        <w:spacing w:before="312" w:beforeLines="100" w:after="312" w:afterLines="100" w:line="440" w:lineRule="exact"/>
        <w:outlineLvl w:val="0"/>
        <w:rPr>
          <w:rFonts w:ascii="Times New Roman" w:hAnsi="Times New Roman" w:eastAsia="黑体"/>
          <w:bCs/>
          <w:kern w:val="44"/>
          <w:sz w:val="28"/>
          <w:szCs w:val="44"/>
          <w:lang w:eastAsia="zh-CN" w:bidi="ar-SA"/>
        </w:rPr>
      </w:pPr>
      <w:r>
        <w:rPr>
          <w:rFonts w:ascii="Times New Roman" w:hAnsi="Times New Roman" w:eastAsia="黑体"/>
          <w:bCs/>
          <w:kern w:val="44"/>
          <w:sz w:val="28"/>
          <w:szCs w:val="44"/>
          <w:lang w:eastAsia="zh-CN" w:bidi="ar-SA"/>
        </w:rPr>
        <w:t>1</w:t>
      </w:r>
      <w:r>
        <w:rPr>
          <w:rFonts w:hint="eastAsia" w:ascii="Times New Roman" w:hAnsi="Times New Roman" w:eastAsia="黑体"/>
          <w:bCs/>
          <w:kern w:val="44"/>
          <w:sz w:val="28"/>
          <w:szCs w:val="44"/>
          <w:lang w:eastAsia="zh-CN" w:bidi="ar-SA"/>
        </w:rPr>
        <w:t xml:space="preserve"> 目的</w:t>
      </w:r>
    </w:p>
    <w:p w14:paraId="44441F8E">
      <w:pPr>
        <w:wordWrap w:val="0"/>
        <w:spacing w:line="440" w:lineRule="exact"/>
        <w:ind w:firstLine="560" w:firstLineChars="200"/>
        <w:rPr>
          <w:rFonts w:ascii="Times New Roman" w:hAnsi="Times New Roman"/>
          <w:sz w:val="28"/>
          <w:lang w:eastAsia="zh-CN"/>
        </w:rPr>
      </w:pPr>
      <w:r>
        <w:rPr>
          <w:rFonts w:hint="eastAsia" w:ascii="Times New Roman" w:hAnsi="Times New Roman"/>
          <w:sz w:val="28"/>
          <w:lang w:eastAsia="zh-CN"/>
        </w:rPr>
        <w:t>规定公司全面风险管理的要求、风险评估和风险应对流程</w:t>
      </w:r>
    </w:p>
    <w:p w14:paraId="4D926115">
      <w:pPr>
        <w:keepNext/>
        <w:keepLines/>
        <w:wordWrap w:val="0"/>
        <w:spacing w:before="312" w:beforeLines="100" w:after="312" w:afterLines="100" w:line="440" w:lineRule="exact"/>
        <w:outlineLvl w:val="0"/>
        <w:rPr>
          <w:rFonts w:ascii="Times New Roman" w:hAnsi="Times New Roman" w:eastAsia="黑体"/>
          <w:bCs/>
          <w:kern w:val="44"/>
          <w:sz w:val="28"/>
          <w:szCs w:val="44"/>
          <w:lang w:eastAsia="zh-CN" w:bidi="ar-SA"/>
        </w:rPr>
      </w:pPr>
      <w:r>
        <w:rPr>
          <w:rFonts w:ascii="Times New Roman" w:hAnsi="Times New Roman" w:eastAsia="黑体"/>
          <w:bCs/>
          <w:kern w:val="44"/>
          <w:sz w:val="28"/>
          <w:szCs w:val="44"/>
          <w:lang w:eastAsia="zh-CN" w:bidi="ar-SA"/>
        </w:rPr>
        <w:t>2</w:t>
      </w:r>
      <w:r>
        <w:rPr>
          <w:rFonts w:hint="eastAsia" w:ascii="Times New Roman" w:hAnsi="Times New Roman" w:eastAsia="黑体"/>
          <w:bCs/>
          <w:kern w:val="44"/>
          <w:sz w:val="28"/>
          <w:szCs w:val="44"/>
          <w:lang w:eastAsia="zh-CN" w:bidi="ar-SA"/>
        </w:rPr>
        <w:t xml:space="preserve"> 范围</w:t>
      </w:r>
    </w:p>
    <w:p w14:paraId="54DFCF64">
      <w:pPr>
        <w:wordWrap w:val="0"/>
        <w:spacing w:line="440" w:lineRule="exact"/>
        <w:ind w:firstLine="560" w:firstLineChars="200"/>
        <w:rPr>
          <w:rFonts w:ascii="Times New Roman" w:hAnsi="Times New Roman"/>
          <w:sz w:val="28"/>
          <w:lang w:eastAsia="zh-CN"/>
        </w:rPr>
      </w:pPr>
      <w:r>
        <w:rPr>
          <w:rFonts w:hint="eastAsia" w:ascii="Times New Roman" w:hAnsi="Times New Roman"/>
          <w:sz w:val="28"/>
          <w:lang w:eastAsia="zh-CN"/>
        </w:rPr>
        <w:t>公司全体。</w:t>
      </w:r>
    </w:p>
    <w:p w14:paraId="77A7357F">
      <w:pPr>
        <w:keepNext/>
        <w:keepLines/>
        <w:wordWrap w:val="0"/>
        <w:spacing w:before="312" w:beforeLines="100" w:after="312" w:afterLines="100" w:line="440" w:lineRule="exact"/>
        <w:outlineLvl w:val="0"/>
        <w:rPr>
          <w:rFonts w:ascii="Times New Roman" w:hAnsi="Times New Roman" w:eastAsia="黑体"/>
          <w:bCs/>
          <w:kern w:val="44"/>
          <w:sz w:val="28"/>
          <w:szCs w:val="44"/>
          <w:lang w:eastAsia="zh-CN" w:bidi="ar-SA"/>
        </w:rPr>
      </w:pPr>
      <w:r>
        <w:rPr>
          <w:rFonts w:ascii="Times New Roman" w:hAnsi="Times New Roman" w:eastAsia="黑体"/>
          <w:bCs/>
          <w:kern w:val="44"/>
          <w:sz w:val="28"/>
          <w:szCs w:val="44"/>
          <w:lang w:eastAsia="zh-CN" w:bidi="ar-SA"/>
        </w:rPr>
        <w:t>3</w:t>
      </w:r>
      <w:r>
        <w:rPr>
          <w:rFonts w:hint="eastAsia" w:ascii="Times New Roman" w:hAnsi="Times New Roman" w:eastAsia="黑体"/>
          <w:bCs/>
          <w:kern w:val="44"/>
          <w:sz w:val="28"/>
          <w:szCs w:val="44"/>
          <w:lang w:eastAsia="zh-CN" w:bidi="ar-SA"/>
        </w:rPr>
        <w:t xml:space="preserve"> 术语和定义</w:t>
      </w:r>
    </w:p>
    <w:tbl>
      <w:tblPr>
        <w:tblStyle w:val="11"/>
        <w:tblW w:w="9107"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701"/>
        <w:gridCol w:w="6555"/>
      </w:tblGrid>
      <w:tr w14:paraId="4E894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589A70B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序号</w:t>
            </w:r>
          </w:p>
        </w:tc>
        <w:tc>
          <w:tcPr>
            <w:tcW w:w="1701" w:type="dxa"/>
            <w:vAlign w:val="center"/>
          </w:tcPr>
          <w:p w14:paraId="4992824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术语</w:t>
            </w:r>
          </w:p>
        </w:tc>
        <w:tc>
          <w:tcPr>
            <w:tcW w:w="6555" w:type="dxa"/>
            <w:vAlign w:val="center"/>
          </w:tcPr>
          <w:p w14:paraId="67008EF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定义</w:t>
            </w:r>
          </w:p>
        </w:tc>
      </w:tr>
      <w:tr w14:paraId="788F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710D1B6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1</w:t>
            </w:r>
          </w:p>
        </w:tc>
        <w:tc>
          <w:tcPr>
            <w:tcW w:w="1701" w:type="dxa"/>
            <w:vAlign w:val="center"/>
          </w:tcPr>
          <w:p w14:paraId="281C777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w:t>
            </w:r>
          </w:p>
        </w:tc>
        <w:tc>
          <w:tcPr>
            <w:tcW w:w="6555" w:type="dxa"/>
            <w:vAlign w:val="center"/>
          </w:tcPr>
          <w:p w14:paraId="2170E90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是指在公司经营发展过程中存在的各种不确定性对公司实现发展规划及经营管理目标的影响。</w:t>
            </w:r>
          </w:p>
        </w:tc>
      </w:tr>
      <w:tr w14:paraId="30EDC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5F5CABD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2</w:t>
            </w:r>
          </w:p>
        </w:tc>
        <w:tc>
          <w:tcPr>
            <w:tcW w:w="1701" w:type="dxa"/>
            <w:vAlign w:val="center"/>
          </w:tcPr>
          <w:p w14:paraId="6D6E0F2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风险事件</w:t>
            </w:r>
          </w:p>
        </w:tc>
        <w:tc>
          <w:tcPr>
            <w:tcW w:w="6555" w:type="dxa"/>
            <w:vAlign w:val="center"/>
          </w:tcPr>
          <w:p w14:paraId="48A61E8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风险在公司发生或表现的具体形式，是风险的物化。各种不确定性对公司目标的影响是通过风险事件的发生来实现的。</w:t>
            </w:r>
          </w:p>
        </w:tc>
      </w:tr>
      <w:tr w14:paraId="12279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3907A296">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3</w:t>
            </w:r>
          </w:p>
        </w:tc>
        <w:tc>
          <w:tcPr>
            <w:tcW w:w="1701" w:type="dxa"/>
            <w:vAlign w:val="center"/>
          </w:tcPr>
          <w:p w14:paraId="0031B5E3">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全面风险管理</w:t>
            </w:r>
          </w:p>
        </w:tc>
        <w:tc>
          <w:tcPr>
            <w:tcW w:w="6555" w:type="dxa"/>
            <w:vAlign w:val="center"/>
          </w:tcPr>
          <w:p w14:paraId="5C3F40C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公司围绕总体经营管理目标，通过在公司管理的各个环节和经营过程中执行风险管理的基本流程，培育良好的风险管理文化，建立健全全面风险管理体系，为实现风险管理的总体目标提供合理保证的过程和方法。</w:t>
            </w:r>
          </w:p>
        </w:tc>
      </w:tr>
      <w:tr w14:paraId="7B4D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675A07A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4</w:t>
            </w:r>
          </w:p>
        </w:tc>
        <w:tc>
          <w:tcPr>
            <w:tcW w:w="1701" w:type="dxa"/>
            <w:vAlign w:val="center"/>
          </w:tcPr>
          <w:p w14:paraId="69E3FEA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风险评估</w:t>
            </w:r>
          </w:p>
        </w:tc>
        <w:tc>
          <w:tcPr>
            <w:tcW w:w="6555" w:type="dxa"/>
            <w:vAlign w:val="center"/>
          </w:tcPr>
          <w:p w14:paraId="78B7547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对公司风险管理范围内影响发展规划和经营管理目标实现的风险进行风险辨识、风险分析、风险评价的过程。</w:t>
            </w:r>
          </w:p>
        </w:tc>
      </w:tr>
      <w:tr w14:paraId="33B25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0AE956D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5</w:t>
            </w:r>
          </w:p>
        </w:tc>
        <w:tc>
          <w:tcPr>
            <w:tcW w:w="1701" w:type="dxa"/>
            <w:vAlign w:val="center"/>
          </w:tcPr>
          <w:p w14:paraId="325E195B">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风险辨识</w:t>
            </w:r>
          </w:p>
        </w:tc>
        <w:tc>
          <w:tcPr>
            <w:tcW w:w="6555" w:type="dxa"/>
            <w:vAlign w:val="center"/>
          </w:tcPr>
          <w:p w14:paraId="3C40CFB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对公司当前面临的各种风险进行辨识。</w:t>
            </w:r>
          </w:p>
        </w:tc>
      </w:tr>
      <w:tr w14:paraId="3378B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4B88994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6</w:t>
            </w:r>
          </w:p>
        </w:tc>
        <w:tc>
          <w:tcPr>
            <w:tcW w:w="1701" w:type="dxa"/>
            <w:vAlign w:val="center"/>
          </w:tcPr>
          <w:p w14:paraId="6EC5D1B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风险分析</w:t>
            </w:r>
          </w:p>
        </w:tc>
        <w:tc>
          <w:tcPr>
            <w:tcW w:w="6555" w:type="dxa"/>
            <w:vAlign w:val="center"/>
          </w:tcPr>
          <w:p w14:paraId="5DBF8B1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对风险的各项属性特征进行定量和/或定性的分析。</w:t>
            </w:r>
          </w:p>
        </w:tc>
      </w:tr>
      <w:tr w14:paraId="04FA1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1E79EA8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7</w:t>
            </w:r>
          </w:p>
        </w:tc>
        <w:tc>
          <w:tcPr>
            <w:tcW w:w="1701" w:type="dxa"/>
            <w:vAlign w:val="center"/>
          </w:tcPr>
          <w:p w14:paraId="44F01F3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风险评价</w:t>
            </w:r>
          </w:p>
        </w:tc>
        <w:tc>
          <w:tcPr>
            <w:tcW w:w="6555" w:type="dxa"/>
            <w:vAlign w:val="center"/>
          </w:tcPr>
          <w:p w14:paraId="6211D6C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对公司风险全貌进行总体评价并判断出当前的重大风险和管理上需要重点改进的风险。</w:t>
            </w:r>
          </w:p>
        </w:tc>
      </w:tr>
      <w:tr w14:paraId="027BD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4D02BF8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8</w:t>
            </w:r>
          </w:p>
        </w:tc>
        <w:tc>
          <w:tcPr>
            <w:tcW w:w="1701" w:type="dxa"/>
            <w:vAlign w:val="center"/>
          </w:tcPr>
          <w:p w14:paraId="4C927BE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风险发生的</w:t>
            </w:r>
          </w:p>
          <w:p w14:paraId="24F0D42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可能性</w:t>
            </w:r>
          </w:p>
        </w:tc>
        <w:tc>
          <w:tcPr>
            <w:tcW w:w="6555" w:type="dxa"/>
            <w:vAlign w:val="center"/>
          </w:tcPr>
          <w:p w14:paraId="7AF9069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公司当前的风险管理水平下，风险事件发生的概率或发生的频度。</w:t>
            </w:r>
          </w:p>
        </w:tc>
      </w:tr>
      <w:tr w14:paraId="6471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14C2C22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9</w:t>
            </w:r>
          </w:p>
        </w:tc>
        <w:tc>
          <w:tcPr>
            <w:tcW w:w="1701" w:type="dxa"/>
            <w:vAlign w:val="center"/>
          </w:tcPr>
          <w:p w14:paraId="74D53DF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风险的影响程度</w:t>
            </w:r>
          </w:p>
        </w:tc>
        <w:tc>
          <w:tcPr>
            <w:tcW w:w="6555" w:type="dxa"/>
            <w:vAlign w:val="center"/>
          </w:tcPr>
          <w:p w14:paraId="67F99B4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如果风险发生，对公司的规划目标或财务指标等所产生影响的大小。</w:t>
            </w:r>
          </w:p>
        </w:tc>
      </w:tr>
      <w:tr w14:paraId="3B6F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063B05A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10</w:t>
            </w:r>
          </w:p>
        </w:tc>
        <w:tc>
          <w:tcPr>
            <w:tcW w:w="1701" w:type="dxa"/>
            <w:vAlign w:val="center"/>
          </w:tcPr>
          <w:p w14:paraId="78EB721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重大风险</w:t>
            </w:r>
          </w:p>
        </w:tc>
        <w:tc>
          <w:tcPr>
            <w:tcW w:w="6555" w:type="dxa"/>
            <w:vAlign w:val="center"/>
          </w:tcPr>
          <w:p w14:paraId="720F84D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经过风险评估所确定的，在公司当前所有风险中重要程度高或者管理改进优先级高的风险。</w:t>
            </w:r>
          </w:p>
        </w:tc>
      </w:tr>
      <w:tr w14:paraId="094C0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4EB33B4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11</w:t>
            </w:r>
          </w:p>
        </w:tc>
        <w:tc>
          <w:tcPr>
            <w:tcW w:w="1701" w:type="dxa"/>
            <w:vAlign w:val="center"/>
          </w:tcPr>
          <w:p w14:paraId="597D1DD5">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风险管理策略</w:t>
            </w:r>
          </w:p>
        </w:tc>
        <w:tc>
          <w:tcPr>
            <w:tcW w:w="6555" w:type="dxa"/>
            <w:vAlign w:val="center"/>
          </w:tcPr>
          <w:p w14:paraId="5D2ABF0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公司根据自身条件、经营特点和外部环境，围绕公司发展规划和经营目标，确定风险偏好、风险承受度、风险管理有效性标准，选择风险承担、风险规避、风险转移、风险转换、风险对冲、风险补偿、风险控制等适合的风险管理工具的总体策略，并确定风险管理所需人力和财力资源的配置原则。</w:t>
            </w:r>
          </w:p>
        </w:tc>
      </w:tr>
      <w:tr w14:paraId="5A6EE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1" w:type="dxa"/>
            <w:vAlign w:val="center"/>
          </w:tcPr>
          <w:p w14:paraId="055FF652">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12</w:t>
            </w:r>
          </w:p>
        </w:tc>
        <w:tc>
          <w:tcPr>
            <w:tcW w:w="1701" w:type="dxa"/>
            <w:vAlign w:val="center"/>
          </w:tcPr>
          <w:p w14:paraId="7A41C76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风险偏好</w:t>
            </w:r>
          </w:p>
        </w:tc>
        <w:tc>
          <w:tcPr>
            <w:tcW w:w="6555" w:type="dxa"/>
            <w:vAlign w:val="center"/>
          </w:tcPr>
          <w:p w14:paraId="0AA1540A">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公司在根据既定的发展规划目标、所处的外部市场经营环境及自身的资源优势和管理水平，对其面临的风险所采取的基本态度和看法。</w:t>
            </w:r>
          </w:p>
        </w:tc>
      </w:tr>
    </w:tbl>
    <w:p w14:paraId="17C2BCB9">
      <w:pPr>
        <w:keepNext/>
        <w:keepLines/>
        <w:wordWrap w:val="0"/>
        <w:spacing w:before="312" w:beforeLines="100" w:after="312" w:afterLines="100" w:line="440" w:lineRule="exact"/>
        <w:outlineLvl w:val="0"/>
        <w:rPr>
          <w:rFonts w:ascii="Times New Roman" w:hAnsi="Times New Roman" w:eastAsia="黑体"/>
          <w:bCs/>
          <w:kern w:val="44"/>
          <w:sz w:val="28"/>
          <w:szCs w:val="44"/>
          <w:lang w:eastAsia="zh-CN" w:bidi="ar-SA"/>
        </w:rPr>
      </w:pPr>
      <w:r>
        <w:rPr>
          <w:rFonts w:ascii="Times New Roman" w:hAnsi="Times New Roman" w:eastAsia="黑体"/>
          <w:bCs/>
          <w:kern w:val="44"/>
          <w:sz w:val="28"/>
          <w:szCs w:val="44"/>
          <w:lang w:eastAsia="zh-CN" w:bidi="ar-SA"/>
        </w:rPr>
        <w:t>4</w:t>
      </w:r>
      <w:r>
        <w:rPr>
          <w:rFonts w:hint="eastAsia" w:ascii="Times New Roman" w:hAnsi="Times New Roman" w:eastAsia="黑体"/>
          <w:bCs/>
          <w:kern w:val="44"/>
          <w:sz w:val="28"/>
          <w:szCs w:val="44"/>
          <w:lang w:eastAsia="zh-CN" w:bidi="ar-SA"/>
        </w:rPr>
        <w:t xml:space="preserve"> 职责和权限</w:t>
      </w:r>
    </w:p>
    <w:tbl>
      <w:tblPr>
        <w:tblStyle w:val="11"/>
        <w:tblW w:w="90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6035"/>
        <w:gridCol w:w="1344"/>
        <w:gridCol w:w="59"/>
      </w:tblGrid>
      <w:tr w14:paraId="2EABA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9" w:type="dxa"/>
          <w:trHeight w:val="530" w:hRule="atLeast"/>
          <w:tblHeader/>
          <w:jc w:val="center"/>
        </w:trPr>
        <w:tc>
          <w:tcPr>
            <w:tcW w:w="1578" w:type="dxa"/>
            <w:vAlign w:val="center"/>
          </w:tcPr>
          <w:p w14:paraId="17E1F02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部门</w:t>
            </w:r>
          </w:p>
        </w:tc>
        <w:tc>
          <w:tcPr>
            <w:tcW w:w="6035" w:type="dxa"/>
            <w:vAlign w:val="center"/>
          </w:tcPr>
          <w:p w14:paraId="75B58D3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主要职责描述</w:t>
            </w:r>
          </w:p>
        </w:tc>
        <w:tc>
          <w:tcPr>
            <w:tcW w:w="1344" w:type="dxa"/>
            <w:vAlign w:val="center"/>
          </w:tcPr>
          <w:p w14:paraId="0279F64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对应活动</w:t>
            </w:r>
          </w:p>
        </w:tc>
      </w:tr>
      <w:tr w14:paraId="480E4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vAlign w:val="center"/>
          </w:tcPr>
          <w:p w14:paraId="14BB82F4">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各部门</w:t>
            </w:r>
          </w:p>
        </w:tc>
        <w:tc>
          <w:tcPr>
            <w:tcW w:w="6035" w:type="dxa"/>
            <w:vAlign w:val="center"/>
          </w:tcPr>
          <w:p w14:paraId="3C443A5C">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各部门负责人为本单位风险管理责任人，负责对本单位风险辨识、分析评价结果和风险应对方案进行审核，组织实施风险管控，确保公司不发生重大经营风险。</w:t>
            </w:r>
          </w:p>
        </w:tc>
        <w:tc>
          <w:tcPr>
            <w:tcW w:w="1403" w:type="dxa"/>
            <w:gridSpan w:val="2"/>
            <w:vAlign w:val="center"/>
          </w:tcPr>
          <w:p w14:paraId="38152A0E">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5.2~5.9</w:t>
            </w:r>
          </w:p>
        </w:tc>
      </w:tr>
      <w:tr w14:paraId="5199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vAlign w:val="center"/>
          </w:tcPr>
          <w:p w14:paraId="4D6763E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各部门</w:t>
            </w:r>
          </w:p>
        </w:tc>
        <w:tc>
          <w:tcPr>
            <w:tcW w:w="6035" w:type="dxa"/>
            <w:vAlign w:val="center"/>
          </w:tcPr>
          <w:p w14:paraId="3F577707">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各部门风险管理主管领导，围绕实现公司年度经营目标，结合本单位业务领域，负责组织开展年度公司层面风险和公司级重大风险辨识、分析、评价，组织制定风险应对方案，定期上报风险管控情况。</w:t>
            </w:r>
          </w:p>
        </w:tc>
        <w:tc>
          <w:tcPr>
            <w:tcW w:w="1403" w:type="dxa"/>
            <w:gridSpan w:val="2"/>
            <w:vAlign w:val="center"/>
          </w:tcPr>
          <w:p w14:paraId="4941977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5.2~5.9</w:t>
            </w:r>
          </w:p>
        </w:tc>
      </w:tr>
      <w:tr w14:paraId="3F487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9" w:hRule="atLeast"/>
          <w:jc w:val="center"/>
        </w:trPr>
        <w:tc>
          <w:tcPr>
            <w:tcW w:w="1578" w:type="dxa"/>
            <w:vAlign w:val="center"/>
          </w:tcPr>
          <w:p w14:paraId="5CF89560">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各部门</w:t>
            </w:r>
          </w:p>
        </w:tc>
        <w:tc>
          <w:tcPr>
            <w:tcW w:w="6035" w:type="dxa"/>
            <w:vAlign w:val="center"/>
          </w:tcPr>
          <w:p w14:paraId="3970E498">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各部门应根据需要设置专职或兼职的风险管理人员，负责日常风险管理工作的沟通联络。</w:t>
            </w:r>
          </w:p>
        </w:tc>
        <w:tc>
          <w:tcPr>
            <w:tcW w:w="1403" w:type="dxa"/>
            <w:gridSpan w:val="2"/>
            <w:vAlign w:val="center"/>
          </w:tcPr>
          <w:p w14:paraId="35E59CC9">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5.2~5.9</w:t>
            </w:r>
          </w:p>
        </w:tc>
      </w:tr>
      <w:tr w14:paraId="40A5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1578" w:type="dxa"/>
            <w:vAlign w:val="center"/>
          </w:tcPr>
          <w:p w14:paraId="057E498F">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经营发展部</w:t>
            </w:r>
          </w:p>
        </w:tc>
        <w:tc>
          <w:tcPr>
            <w:tcW w:w="6035" w:type="dxa"/>
            <w:vAlign w:val="center"/>
          </w:tcPr>
          <w:p w14:paraId="08A94BBD">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经营发展部规划员负责组织编制公司层面年度风险事件列表、确定公司级重大风险，组织编写风险应对方案，定期监督检查风险管控的实施情况。</w:t>
            </w:r>
          </w:p>
        </w:tc>
        <w:tc>
          <w:tcPr>
            <w:tcW w:w="1403" w:type="dxa"/>
            <w:gridSpan w:val="2"/>
            <w:vAlign w:val="center"/>
          </w:tcPr>
          <w:p w14:paraId="185B7481">
            <w:pPr>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cs="Times New Roman" w:asciiTheme="minorEastAsia" w:hAnsiTheme="minorEastAsia" w:eastAsiaTheme="minorEastAsia"/>
                <w:bCs/>
                <w:color w:val="000000"/>
                <w:kern w:val="0"/>
                <w:sz w:val="24"/>
                <w:lang w:eastAsia="zh-CN" w:bidi="en-US"/>
              </w:rPr>
            </w:pPr>
            <w:r>
              <w:rPr>
                <w:rFonts w:hint="eastAsia" w:cs="Times New Roman" w:asciiTheme="minorEastAsia" w:hAnsiTheme="minorEastAsia" w:eastAsiaTheme="minorEastAsia"/>
                <w:bCs/>
                <w:color w:val="000000"/>
                <w:kern w:val="0"/>
                <w:sz w:val="24"/>
                <w:lang w:eastAsia="zh-CN" w:bidi="en-US"/>
              </w:rPr>
              <w:t>5.1~5.9</w:t>
            </w:r>
          </w:p>
        </w:tc>
      </w:tr>
    </w:tbl>
    <w:p w14:paraId="247AC5DE">
      <w:pPr>
        <w:spacing w:line="360" w:lineRule="auto"/>
        <w:rPr>
          <w:lang w:eastAsia="zh-CN"/>
        </w:rPr>
        <w:sectPr>
          <w:headerReference r:id="rId3" w:type="default"/>
          <w:footerReference r:id="rId4" w:type="default"/>
          <w:pgSz w:w="11906" w:h="16838"/>
          <w:pgMar w:top="1985" w:right="1701" w:bottom="1440" w:left="1701" w:header="0" w:footer="805" w:gutter="0"/>
          <w:pgNumType w:fmt="numberInDash" w:start="1"/>
          <w:cols w:space="720" w:num="1"/>
          <w:docGrid w:type="lines" w:linePitch="312" w:charSpace="0"/>
        </w:sectPr>
      </w:pPr>
    </w:p>
    <w:p w14:paraId="6B2B2276">
      <w:pPr>
        <w:keepNext/>
        <w:keepLines/>
        <w:wordWrap w:val="0"/>
        <w:spacing w:before="312" w:beforeLines="100" w:after="312" w:afterLines="100" w:line="440" w:lineRule="exact"/>
        <w:outlineLvl w:val="0"/>
        <w:rPr>
          <w:rFonts w:ascii="Times New Roman" w:hAnsi="Times New Roman" w:eastAsia="黑体"/>
          <w:bCs/>
          <w:kern w:val="44"/>
          <w:sz w:val="28"/>
          <w:szCs w:val="44"/>
          <w:lang w:eastAsia="zh-CN" w:bidi="ar-SA"/>
        </w:rPr>
      </w:pPr>
      <w:r>
        <w:rPr>
          <w:rFonts w:ascii="Times New Roman" w:hAnsi="Times New Roman" w:eastAsia="黑体"/>
          <w:bCs/>
          <w:kern w:val="44"/>
          <w:sz w:val="28"/>
          <w:szCs w:val="44"/>
          <w:lang w:eastAsia="zh-CN" w:bidi="ar-SA"/>
        </w:rPr>
        <w:t>5</w:t>
      </w:r>
      <w:r>
        <w:rPr>
          <w:rFonts w:hint="eastAsia" w:ascii="Times New Roman" w:hAnsi="Times New Roman" w:eastAsia="黑体"/>
          <w:bCs/>
          <w:kern w:val="44"/>
          <w:sz w:val="28"/>
          <w:szCs w:val="44"/>
          <w:lang w:eastAsia="zh-CN" w:bidi="ar-SA"/>
        </w:rPr>
        <w:t xml:space="preserve"> 工作程序</w:t>
      </w:r>
    </w:p>
    <w:p w14:paraId="01DFD37D">
      <w:pPr>
        <w:wordWrap w:val="0"/>
        <w:spacing w:line="440" w:lineRule="exact"/>
        <w:ind w:firstLine="560" w:firstLineChars="200"/>
        <w:rPr>
          <w:rFonts w:ascii="Times New Roman" w:hAnsi="Times New Roman"/>
          <w:sz w:val="28"/>
          <w:lang w:eastAsia="zh-CN"/>
        </w:rPr>
      </w:pPr>
      <w:r>
        <w:rPr>
          <w:rFonts w:ascii="Times New Roman" w:hAnsi="Times New Roman"/>
          <w:sz w:val="28"/>
          <w:lang w:eastAsia="zh-CN"/>
        </w:rPr>
        <w:t>5</w:t>
      </w:r>
      <w:r>
        <w:rPr>
          <w:rFonts w:hint="eastAsia" w:ascii="Times New Roman" w:hAnsi="Times New Roman"/>
          <w:sz w:val="28"/>
          <w:lang w:eastAsia="zh-CN"/>
        </w:rPr>
        <w:t>.</w:t>
      </w:r>
      <w:r>
        <w:rPr>
          <w:rFonts w:ascii="Times New Roman" w:hAnsi="Times New Roman"/>
          <w:sz w:val="28"/>
          <w:lang w:eastAsia="zh-CN"/>
        </w:rPr>
        <w:t>1</w:t>
      </w:r>
      <w:r>
        <w:rPr>
          <w:rFonts w:hint="eastAsia" w:ascii="Times New Roman" w:hAnsi="Times New Roman"/>
          <w:sz w:val="28"/>
          <w:lang w:eastAsia="zh-CN"/>
        </w:rPr>
        <w:t>经营发展部根据年度经营指标下发风险评估通知。经营发展部部按照经营指标中工作安排编制风险评估工作通知，组织公司各部门开展风险评估工作。</w:t>
      </w:r>
    </w:p>
    <w:p w14:paraId="763FA24B">
      <w:pPr>
        <w:wordWrap w:val="0"/>
        <w:spacing w:line="440" w:lineRule="exact"/>
        <w:ind w:firstLine="560" w:firstLineChars="200"/>
        <w:rPr>
          <w:rFonts w:ascii="Times New Roman" w:hAnsi="Times New Roman"/>
          <w:sz w:val="28"/>
          <w:lang w:eastAsia="zh-CN"/>
        </w:rPr>
      </w:pPr>
      <w:r>
        <w:rPr>
          <w:rFonts w:ascii="Times New Roman" w:hAnsi="Times New Roman"/>
          <w:sz w:val="28"/>
          <w:lang w:eastAsia="zh-CN"/>
        </w:rPr>
        <w:t>5</w:t>
      </w:r>
      <w:r>
        <w:rPr>
          <w:rFonts w:hint="eastAsia" w:ascii="Times New Roman" w:hAnsi="Times New Roman"/>
          <w:sz w:val="28"/>
          <w:lang w:eastAsia="zh-CN"/>
        </w:rPr>
        <w:t>.</w:t>
      </w:r>
      <w:r>
        <w:rPr>
          <w:rFonts w:ascii="Times New Roman" w:hAnsi="Times New Roman"/>
          <w:sz w:val="28"/>
          <w:lang w:eastAsia="zh-CN"/>
        </w:rPr>
        <w:t>2</w:t>
      </w:r>
      <w:r>
        <w:rPr>
          <w:rFonts w:hint="eastAsia" w:ascii="Times New Roman" w:hAnsi="Times New Roman"/>
          <w:sz w:val="28"/>
          <w:lang w:eastAsia="zh-CN"/>
        </w:rPr>
        <w:t>经营发展部组织开展风险辨识。公司各部门在经营指标范围内，结合本部门的业务及相关考核指标开展风险辨识工作，将辨识出的风险事</w:t>
      </w:r>
      <w:bookmarkStart w:id="0" w:name="_GoBack"/>
      <w:bookmarkEnd w:id="0"/>
      <w:r>
        <w:rPr>
          <w:rFonts w:hint="eastAsia" w:ascii="Times New Roman" w:hAnsi="Times New Roman"/>
          <w:sz w:val="28"/>
          <w:lang w:eastAsia="zh-CN"/>
        </w:rPr>
        <w:t>项呈报经营发展部</w:t>
      </w:r>
    </w:p>
    <w:p w14:paraId="08782125">
      <w:pPr>
        <w:wordWrap w:val="0"/>
        <w:spacing w:line="440" w:lineRule="exact"/>
        <w:ind w:firstLine="560" w:firstLineChars="200"/>
        <w:rPr>
          <w:rFonts w:ascii="Times New Roman" w:hAnsi="Times New Roman"/>
          <w:sz w:val="28"/>
          <w:lang w:eastAsia="zh-CN"/>
        </w:rPr>
      </w:pPr>
      <w:r>
        <w:rPr>
          <w:rFonts w:ascii="Times New Roman" w:hAnsi="Times New Roman"/>
          <w:sz w:val="28"/>
          <w:lang w:eastAsia="zh-CN"/>
        </w:rPr>
        <w:t>5</w:t>
      </w:r>
      <w:r>
        <w:rPr>
          <w:rFonts w:hint="eastAsia" w:ascii="Times New Roman" w:hAnsi="Times New Roman"/>
          <w:sz w:val="28"/>
          <w:lang w:eastAsia="zh-CN"/>
        </w:rPr>
        <w:t>.</w:t>
      </w:r>
      <w:r>
        <w:rPr>
          <w:rFonts w:ascii="Times New Roman" w:hAnsi="Times New Roman"/>
          <w:sz w:val="28"/>
          <w:lang w:eastAsia="zh-CN"/>
        </w:rPr>
        <w:t>3</w:t>
      </w:r>
      <w:r>
        <w:rPr>
          <w:rFonts w:hint="eastAsia" w:ascii="Times New Roman" w:hAnsi="Times New Roman"/>
          <w:sz w:val="28"/>
          <w:lang w:eastAsia="zh-CN"/>
        </w:rPr>
        <w:t>经营发展部组织开展风险分析。经营发展部针对公司各部门辨识出的风险事项进行分析</w:t>
      </w:r>
    </w:p>
    <w:p w14:paraId="420A24E5">
      <w:pPr>
        <w:wordWrap w:val="0"/>
        <w:spacing w:line="440" w:lineRule="exact"/>
        <w:ind w:firstLine="560" w:firstLineChars="200"/>
        <w:rPr>
          <w:rFonts w:ascii="Times New Roman" w:hAnsi="Times New Roman"/>
          <w:sz w:val="28"/>
          <w:lang w:eastAsia="zh-CN"/>
        </w:rPr>
      </w:pPr>
      <w:r>
        <w:rPr>
          <w:rFonts w:ascii="Times New Roman" w:hAnsi="Times New Roman"/>
          <w:sz w:val="28"/>
          <w:lang w:eastAsia="zh-CN"/>
        </w:rPr>
        <w:t>5</w:t>
      </w:r>
      <w:r>
        <w:rPr>
          <w:rFonts w:hint="eastAsia" w:ascii="Times New Roman" w:hAnsi="Times New Roman"/>
          <w:sz w:val="28"/>
          <w:lang w:eastAsia="zh-CN"/>
        </w:rPr>
        <w:t>.</w:t>
      </w:r>
      <w:r>
        <w:rPr>
          <w:rFonts w:ascii="Times New Roman" w:hAnsi="Times New Roman"/>
          <w:sz w:val="28"/>
          <w:lang w:eastAsia="zh-CN"/>
        </w:rPr>
        <w:t>4</w:t>
      </w:r>
      <w:r>
        <w:rPr>
          <w:rFonts w:hint="eastAsia" w:ascii="Times New Roman" w:hAnsi="Times New Roman"/>
          <w:sz w:val="28"/>
          <w:lang w:eastAsia="zh-CN"/>
        </w:rPr>
        <w:t>初步确定重大风险。经营发展部从公司层面风险事件列表中选择风险重要程度较大的风险事件，同时结合公司自身的风险偏好、风险承受度以及公司管理改进优先级高的需求，初步确定公司级重大风险。</w:t>
      </w:r>
    </w:p>
    <w:p w14:paraId="6E8254F4">
      <w:pPr>
        <w:wordWrap w:val="0"/>
        <w:spacing w:line="440" w:lineRule="exact"/>
        <w:ind w:firstLine="560" w:firstLineChars="200"/>
        <w:rPr>
          <w:rFonts w:ascii="Times New Roman" w:hAnsi="Times New Roman"/>
          <w:sz w:val="28"/>
          <w:lang w:eastAsia="zh-CN"/>
        </w:rPr>
      </w:pPr>
      <w:r>
        <w:rPr>
          <w:rFonts w:ascii="Times New Roman" w:hAnsi="Times New Roman"/>
          <w:sz w:val="28"/>
          <w:lang w:eastAsia="zh-CN"/>
        </w:rPr>
        <w:t>5</w:t>
      </w:r>
      <w:r>
        <w:rPr>
          <w:rFonts w:hint="eastAsia" w:ascii="Times New Roman" w:hAnsi="Times New Roman"/>
          <w:sz w:val="28"/>
          <w:lang w:eastAsia="zh-CN"/>
        </w:rPr>
        <w:t>.</w:t>
      </w:r>
      <w:r>
        <w:rPr>
          <w:rFonts w:ascii="Times New Roman" w:hAnsi="Times New Roman"/>
          <w:sz w:val="28"/>
          <w:lang w:eastAsia="zh-CN"/>
        </w:rPr>
        <w:t>5</w:t>
      </w:r>
      <w:r>
        <w:rPr>
          <w:rFonts w:hint="eastAsia" w:ascii="Times New Roman" w:hAnsi="Times New Roman"/>
          <w:sz w:val="28"/>
          <w:lang w:eastAsia="zh-CN"/>
        </w:rPr>
        <w:t>编报风险应对方案。相关单位按照通知要求编制风险应对方案，并将重大风险应对方案报送经营发展部。方案内容主要包括风险应对工作的目标及主要工作安排、重大风险分析、风险管理策略制定以及管理改进措施。其中，风险管理策略制定应设定监控指标，明确风险偏好和风险承受度。</w:t>
      </w:r>
    </w:p>
    <w:p w14:paraId="5BF1A24E">
      <w:pPr>
        <w:wordWrap w:val="0"/>
        <w:spacing w:line="440" w:lineRule="exact"/>
        <w:ind w:firstLine="560" w:firstLineChars="200"/>
        <w:rPr>
          <w:rFonts w:ascii="Times New Roman" w:hAnsi="Times New Roman"/>
          <w:sz w:val="28"/>
          <w:lang w:eastAsia="zh-CN"/>
        </w:rPr>
      </w:pPr>
      <w:r>
        <w:rPr>
          <w:rFonts w:ascii="Times New Roman" w:hAnsi="Times New Roman"/>
          <w:sz w:val="28"/>
          <w:lang w:eastAsia="zh-CN"/>
        </w:rPr>
        <w:t>5</w:t>
      </w:r>
      <w:r>
        <w:rPr>
          <w:rFonts w:hint="eastAsia" w:ascii="Times New Roman" w:hAnsi="Times New Roman"/>
          <w:sz w:val="28"/>
          <w:lang w:eastAsia="zh-CN"/>
        </w:rPr>
        <w:t>.</w:t>
      </w:r>
      <w:r>
        <w:rPr>
          <w:rFonts w:ascii="Times New Roman" w:hAnsi="Times New Roman"/>
          <w:sz w:val="28"/>
          <w:lang w:eastAsia="zh-CN"/>
        </w:rPr>
        <w:t>6</w:t>
      </w:r>
      <w:r>
        <w:rPr>
          <w:rFonts w:hint="eastAsia" w:ascii="Times New Roman" w:hAnsi="Times New Roman"/>
          <w:sz w:val="28"/>
          <w:lang w:eastAsia="zh-CN"/>
        </w:rPr>
        <w:t>征询关于重大风险的意见。经营发展部按照风险重要程度打分和公司管理改进优先级需求对初步确定的重大风险进行排序，征询公司领导班子成员关于重大风险排序和应对方案的意见和建议。</w:t>
      </w:r>
    </w:p>
    <w:p w14:paraId="6887C20A">
      <w:pPr>
        <w:wordWrap w:val="0"/>
        <w:spacing w:line="440" w:lineRule="exact"/>
        <w:ind w:firstLine="560" w:firstLineChars="200"/>
        <w:rPr>
          <w:rFonts w:ascii="Times New Roman" w:hAnsi="Times New Roman"/>
          <w:sz w:val="28"/>
          <w:lang w:eastAsia="zh-CN"/>
        </w:rPr>
      </w:pPr>
      <w:r>
        <w:rPr>
          <w:rFonts w:ascii="Times New Roman" w:hAnsi="Times New Roman"/>
          <w:sz w:val="28"/>
          <w:lang w:eastAsia="zh-CN"/>
        </w:rPr>
        <w:t>5</w:t>
      </w:r>
      <w:r>
        <w:rPr>
          <w:rFonts w:hint="eastAsia" w:ascii="Times New Roman" w:hAnsi="Times New Roman"/>
          <w:sz w:val="28"/>
          <w:lang w:eastAsia="zh-CN"/>
        </w:rPr>
        <w:t>.</w:t>
      </w:r>
      <w:r>
        <w:rPr>
          <w:rFonts w:ascii="Times New Roman" w:hAnsi="Times New Roman"/>
          <w:sz w:val="28"/>
          <w:lang w:eastAsia="zh-CN"/>
        </w:rPr>
        <w:t>7</w:t>
      </w:r>
      <w:r>
        <w:rPr>
          <w:rFonts w:hint="eastAsia" w:ascii="Times New Roman" w:hAnsi="Times New Roman"/>
          <w:sz w:val="28"/>
          <w:lang w:eastAsia="zh-CN"/>
        </w:rPr>
        <w:t>调整重大风险排序和应对方案。经营发展部按照公司领导班子成员的意见和建议调整重大风险排序和应对方案。</w:t>
      </w:r>
    </w:p>
    <w:p w14:paraId="6C4F3E36">
      <w:pPr>
        <w:wordWrap w:val="0"/>
        <w:spacing w:line="440" w:lineRule="exact"/>
        <w:ind w:firstLine="560" w:firstLineChars="200"/>
        <w:rPr>
          <w:rFonts w:ascii="Times New Roman" w:hAnsi="Times New Roman" w:eastAsiaTheme="minorEastAsia"/>
          <w:sz w:val="28"/>
          <w:shd w:val="clear" w:color="auto" w:fill="FFFFFF"/>
          <w:lang w:eastAsia="zh-CN"/>
        </w:rPr>
      </w:pPr>
      <w:r>
        <w:rPr>
          <w:rFonts w:ascii="Times New Roman" w:hAnsi="Times New Roman"/>
          <w:sz w:val="28"/>
          <w:lang w:eastAsia="zh-CN"/>
        </w:rPr>
        <w:t>5</w:t>
      </w:r>
      <w:r>
        <w:rPr>
          <w:rFonts w:hint="eastAsia" w:ascii="Times New Roman" w:hAnsi="Times New Roman"/>
          <w:sz w:val="28"/>
          <w:lang w:eastAsia="zh-CN"/>
        </w:rPr>
        <w:t>.</w:t>
      </w:r>
      <w:r>
        <w:rPr>
          <w:rFonts w:ascii="Times New Roman" w:hAnsi="Times New Roman"/>
          <w:sz w:val="28"/>
          <w:lang w:eastAsia="zh-CN"/>
        </w:rPr>
        <w:t>8</w:t>
      </w:r>
      <w:r>
        <w:rPr>
          <w:rFonts w:hint="eastAsia" w:ascii="Times New Roman" w:hAnsi="Times New Roman"/>
          <w:sz w:val="28"/>
          <w:lang w:eastAsia="zh-CN"/>
        </w:rPr>
        <w:t>实施风险应对方案。相关单位应按照风险应对方案中的具体应对措施及相关计划安排组织具体的实施工作，方案的实施单位及经营发展部要对方案的实施效果进行及时跟踪，并根据实际需要进行调整。每季度末编制风险监测报告，并报送经营发展部，实施完成后要对方案的实施过程进行总结，编制风险应对实施报告并报送经营发展部</w:t>
      </w:r>
    </w:p>
    <w:p w14:paraId="0DD628B9">
      <w:pPr>
        <w:wordWrap w:val="0"/>
        <w:spacing w:line="440" w:lineRule="exact"/>
        <w:ind w:firstLine="560" w:firstLineChars="200"/>
        <w:rPr>
          <w:rFonts w:ascii="Times New Roman" w:hAnsi="Times New Roman"/>
          <w:sz w:val="28"/>
          <w:lang w:eastAsia="zh-CN"/>
        </w:rPr>
      </w:pPr>
      <w:r>
        <w:rPr>
          <w:rFonts w:ascii="Times New Roman" w:hAnsi="Times New Roman"/>
          <w:sz w:val="28"/>
          <w:lang w:eastAsia="zh-CN"/>
        </w:rPr>
        <w:t>5</w:t>
      </w:r>
      <w:r>
        <w:rPr>
          <w:rFonts w:hint="eastAsia" w:ascii="Times New Roman" w:hAnsi="Times New Roman"/>
          <w:sz w:val="28"/>
          <w:lang w:eastAsia="zh-CN"/>
        </w:rPr>
        <w:t>.</w:t>
      </w:r>
      <w:r>
        <w:rPr>
          <w:rFonts w:ascii="Times New Roman" w:hAnsi="Times New Roman"/>
          <w:sz w:val="28"/>
          <w:lang w:eastAsia="zh-CN"/>
        </w:rPr>
        <w:t>9</w:t>
      </w:r>
      <w:r>
        <w:rPr>
          <w:rFonts w:hint="eastAsia" w:ascii="Times New Roman" w:hAnsi="Times New Roman"/>
          <w:sz w:val="28"/>
          <w:lang w:eastAsia="zh-CN"/>
        </w:rPr>
        <w:t>季度风险管理工作检查。经营发展部对各部门风险管理工作的开展情况进行季度检查和评分，并将评分结果报送经营发展部纳入单位绩效。</w:t>
      </w:r>
    </w:p>
    <w:p w14:paraId="33936CDE">
      <w:pPr>
        <w:keepNext/>
        <w:keepLines/>
        <w:wordWrap w:val="0"/>
        <w:spacing w:before="312" w:beforeLines="100" w:after="312" w:afterLines="100" w:line="440" w:lineRule="exact"/>
        <w:outlineLvl w:val="0"/>
        <w:rPr>
          <w:rFonts w:ascii="Times New Roman" w:hAnsi="Times New Roman" w:eastAsia="黑体"/>
          <w:bCs/>
          <w:kern w:val="44"/>
          <w:sz w:val="28"/>
          <w:szCs w:val="44"/>
          <w:lang w:eastAsia="zh-CN" w:bidi="ar-SA"/>
        </w:rPr>
      </w:pPr>
      <w:r>
        <w:rPr>
          <w:rFonts w:ascii="Times New Roman" w:hAnsi="Times New Roman" w:eastAsia="黑体"/>
          <w:bCs/>
          <w:kern w:val="44"/>
          <w:sz w:val="28"/>
          <w:szCs w:val="44"/>
          <w:lang w:eastAsia="zh-CN" w:bidi="ar-SA"/>
        </w:rPr>
        <w:t>6</w:t>
      </w:r>
      <w:r>
        <w:rPr>
          <w:rFonts w:hint="eastAsia" w:ascii="Times New Roman" w:hAnsi="Times New Roman" w:eastAsia="黑体"/>
          <w:bCs/>
          <w:kern w:val="44"/>
          <w:sz w:val="28"/>
          <w:szCs w:val="44"/>
          <w:lang w:eastAsia="zh-CN" w:bidi="ar-SA"/>
        </w:rPr>
        <w:t xml:space="preserve"> 相关流程</w:t>
      </w:r>
    </w:p>
    <w:p w14:paraId="21DCE8BA">
      <w:pPr>
        <w:adjustRightInd w:val="0"/>
        <w:snapToGrid w:val="0"/>
        <w:spacing w:line="440" w:lineRule="exact"/>
        <w:ind w:firstLine="560" w:firstLineChars="200"/>
        <w:outlineLvl w:val="0"/>
        <w:rPr>
          <w:rFonts w:asciiTheme="minorEastAsia" w:hAnsiTheme="minorEastAsia" w:eastAsiaTheme="minorEastAsia"/>
          <w:sz w:val="28"/>
          <w:lang w:eastAsia="zh-CN"/>
        </w:rPr>
      </w:pPr>
      <w:r>
        <w:rPr>
          <w:rFonts w:hint="eastAsia" w:asciiTheme="minorEastAsia" w:hAnsiTheme="minorEastAsia" w:eastAsiaTheme="minorEastAsia"/>
          <w:sz w:val="28"/>
          <w:lang w:eastAsia="zh-CN"/>
        </w:rPr>
        <w:t>无</w:t>
      </w:r>
    </w:p>
    <w:p w14:paraId="13AE6CE0">
      <w:pPr>
        <w:keepNext/>
        <w:keepLines/>
        <w:wordWrap w:val="0"/>
        <w:spacing w:before="312" w:beforeLines="100" w:after="312" w:afterLines="100" w:line="440" w:lineRule="exact"/>
        <w:outlineLvl w:val="0"/>
        <w:rPr>
          <w:rFonts w:ascii="Times New Roman" w:hAnsi="Times New Roman" w:eastAsia="黑体"/>
          <w:bCs/>
          <w:kern w:val="44"/>
          <w:sz w:val="28"/>
          <w:szCs w:val="44"/>
          <w:lang w:eastAsia="zh-CN" w:bidi="ar-SA"/>
        </w:rPr>
      </w:pPr>
      <w:r>
        <w:rPr>
          <w:rFonts w:ascii="Times New Roman" w:hAnsi="Times New Roman" w:eastAsia="黑体"/>
          <w:bCs/>
          <w:kern w:val="44"/>
          <w:sz w:val="28"/>
          <w:szCs w:val="44"/>
          <w:lang w:eastAsia="zh-CN" w:bidi="ar-SA"/>
        </w:rPr>
        <w:t>7</w:t>
      </w:r>
      <w:r>
        <w:rPr>
          <w:rFonts w:hint="eastAsia" w:ascii="Times New Roman" w:hAnsi="Times New Roman" w:eastAsia="黑体"/>
          <w:bCs/>
          <w:kern w:val="44"/>
          <w:sz w:val="28"/>
          <w:szCs w:val="44"/>
          <w:lang w:eastAsia="zh-CN" w:bidi="ar-SA"/>
        </w:rPr>
        <w:t xml:space="preserve"> 引用文件</w:t>
      </w:r>
    </w:p>
    <w:p w14:paraId="2243235E">
      <w:pPr>
        <w:adjustRightInd w:val="0"/>
        <w:snapToGrid w:val="0"/>
        <w:spacing w:line="440" w:lineRule="exact"/>
        <w:ind w:firstLine="560" w:firstLineChars="200"/>
        <w:outlineLvl w:val="0"/>
        <w:rPr>
          <w:rFonts w:asciiTheme="minorEastAsia" w:hAnsiTheme="minorEastAsia" w:eastAsiaTheme="minorEastAsia"/>
          <w:sz w:val="28"/>
          <w:lang w:eastAsia="zh-CN"/>
        </w:rPr>
      </w:pPr>
      <w:r>
        <w:rPr>
          <w:rFonts w:hint="eastAsia" w:asciiTheme="minorEastAsia" w:hAnsiTheme="minorEastAsia" w:eastAsiaTheme="minorEastAsia"/>
          <w:sz w:val="28"/>
          <w:lang w:eastAsia="zh-CN"/>
        </w:rPr>
        <w:t>无</w:t>
      </w:r>
    </w:p>
    <w:p w14:paraId="6FC03E4B">
      <w:pPr>
        <w:keepNext/>
        <w:keepLines/>
        <w:wordWrap w:val="0"/>
        <w:spacing w:before="312" w:beforeLines="100" w:after="312" w:afterLines="100" w:line="440" w:lineRule="exact"/>
        <w:outlineLvl w:val="0"/>
        <w:rPr>
          <w:rFonts w:ascii="Times New Roman" w:hAnsi="Times New Roman" w:eastAsia="黑体"/>
          <w:bCs/>
          <w:kern w:val="44"/>
          <w:sz w:val="28"/>
          <w:szCs w:val="44"/>
          <w:lang w:eastAsia="zh-CN" w:bidi="ar-SA"/>
        </w:rPr>
      </w:pPr>
      <w:r>
        <w:rPr>
          <w:rFonts w:ascii="Times New Roman" w:hAnsi="Times New Roman" w:eastAsia="黑体"/>
          <w:bCs/>
          <w:kern w:val="44"/>
          <w:sz w:val="28"/>
          <w:szCs w:val="44"/>
          <w:lang w:eastAsia="zh-CN" w:bidi="ar-SA"/>
        </w:rPr>
        <w:t>8</w:t>
      </w:r>
      <w:r>
        <w:rPr>
          <w:rFonts w:hint="eastAsia" w:ascii="Times New Roman" w:hAnsi="Times New Roman" w:eastAsia="黑体"/>
          <w:bCs/>
          <w:kern w:val="44"/>
          <w:sz w:val="28"/>
          <w:szCs w:val="44"/>
          <w:lang w:eastAsia="zh-CN" w:bidi="ar-SA"/>
        </w:rPr>
        <w:t xml:space="preserve"> 记录表格</w:t>
      </w:r>
    </w:p>
    <w:p w14:paraId="7943D5C0">
      <w:pPr>
        <w:adjustRightInd w:val="0"/>
        <w:snapToGrid w:val="0"/>
        <w:spacing w:line="440" w:lineRule="exact"/>
        <w:ind w:firstLine="560" w:firstLineChars="200"/>
        <w:outlineLvl w:val="0"/>
        <w:rPr>
          <w:rFonts w:asciiTheme="minorEastAsia" w:hAnsiTheme="minorEastAsia" w:eastAsiaTheme="minorEastAsia"/>
          <w:b/>
          <w:sz w:val="28"/>
          <w:lang w:eastAsia="zh-CN"/>
        </w:rPr>
      </w:pPr>
      <w:r>
        <w:rPr>
          <w:rFonts w:hint="eastAsia" w:asciiTheme="minorEastAsia" w:hAnsiTheme="minorEastAsia" w:eastAsiaTheme="minorEastAsia"/>
          <w:sz w:val="28"/>
          <w:lang w:eastAsia="zh-CN"/>
        </w:rPr>
        <w:t>无</w:t>
      </w:r>
    </w:p>
    <w:p w14:paraId="49DC278F">
      <w:pPr>
        <w:adjustRightInd w:val="0"/>
        <w:snapToGrid w:val="0"/>
        <w:spacing w:before="93" w:beforeLines="30" w:line="360" w:lineRule="auto"/>
        <w:outlineLvl w:val="0"/>
        <w:rPr>
          <w:rFonts w:asciiTheme="minorEastAsia" w:hAnsiTheme="minorEastAsia" w:eastAsiaTheme="minorEastAsia"/>
          <w:b/>
          <w:lang w:eastAsia="zh-CN"/>
        </w:rPr>
      </w:pPr>
    </w:p>
    <w:p w14:paraId="300A0AAF">
      <w:pPr>
        <w:adjustRightInd w:val="0"/>
        <w:snapToGrid w:val="0"/>
        <w:spacing w:before="93" w:beforeLines="30" w:line="360" w:lineRule="auto"/>
        <w:outlineLvl w:val="0"/>
        <w:rPr>
          <w:rFonts w:asciiTheme="minorEastAsia" w:hAnsiTheme="minorEastAsia" w:eastAsiaTheme="minorEastAsia"/>
          <w:b/>
          <w:lang w:eastAsia="zh-CN"/>
        </w:rPr>
      </w:pPr>
    </w:p>
    <w:sectPr>
      <w:headerReference r:id="rId5" w:type="default"/>
      <w:type w:val="continuous"/>
      <w:pgSz w:w="11906" w:h="16838"/>
      <w:pgMar w:top="1932" w:right="1701" w:bottom="1134" w:left="1701" w:header="0" w:footer="668"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179F7">
    <w:pPr>
      <w:pStyle w:val="8"/>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4F65A2E3">
                <w:pPr>
                  <w:pStyle w:val="8"/>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53"/>
      <w:gridCol w:w="1306"/>
      <w:gridCol w:w="1587"/>
      <w:gridCol w:w="1274"/>
    </w:tblGrid>
    <w:tr w14:paraId="62115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8620" w:type="dxa"/>
          <w:gridSpan w:val="4"/>
          <w:vAlign w:val="center"/>
        </w:tcPr>
        <w:p w14:paraId="641E8EBA">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14:paraId="1B81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4453" w:type="dxa"/>
          <w:vAlign w:val="center"/>
        </w:tcPr>
        <w:p w14:paraId="1F59AC89">
          <w:pPr>
            <w:jc w:val="center"/>
            <w:rPr>
              <w:rFonts w:ascii="宋体" w:hAnsi="宋体"/>
            </w:rPr>
          </w:pPr>
          <w:r>
            <w:rPr>
              <w:rFonts w:hint="eastAsia" w:ascii="宋体" w:hAnsi="宋体"/>
            </w:rPr>
            <w:t>文件名称</w:t>
          </w:r>
        </w:p>
      </w:tc>
      <w:tc>
        <w:tcPr>
          <w:tcW w:w="1306" w:type="dxa"/>
          <w:vAlign w:val="center"/>
        </w:tcPr>
        <w:p w14:paraId="006EC462">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587" w:type="dxa"/>
          <w:vAlign w:val="center"/>
        </w:tcPr>
        <w:p w14:paraId="3875BE51">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74" w:type="dxa"/>
          <w:vAlign w:val="center"/>
        </w:tcPr>
        <w:p w14:paraId="1B6C3EA7">
          <w:pPr>
            <w:jc w:val="center"/>
            <w:rPr>
              <w:rFonts w:ascii="宋体" w:hAnsi="宋体"/>
            </w:rPr>
          </w:pPr>
          <w:r>
            <w:rPr>
              <w:rFonts w:hint="eastAsia"/>
              <w:lang w:eastAsia="zh-CN"/>
            </w:rPr>
            <w:t>第</w:t>
          </w:r>
          <w:r>
            <w:rPr>
              <w:lang w:eastAsia="zh-CN"/>
            </w:rPr>
            <w:fldChar w:fldCharType="begin"/>
          </w:r>
          <w:r>
            <w:rPr>
              <w:lang w:eastAsia="zh-CN"/>
            </w:rPr>
            <w:instrText xml:space="preserve"> PAGE   \* MERGEFORMAT </w:instrText>
          </w:r>
          <w:r>
            <w:rPr>
              <w:lang w:eastAsia="zh-CN"/>
            </w:rPr>
            <w:fldChar w:fldCharType="separate"/>
          </w:r>
          <w:r>
            <w:rPr>
              <w:lang w:val="zh-CN" w:eastAsia="zh-CN"/>
            </w:rPr>
            <w:t>1</w:t>
          </w:r>
          <w:r>
            <w:rPr>
              <w:lang w:eastAsia="zh-CN"/>
            </w:rPr>
            <w:fldChar w:fldCharType="end"/>
          </w:r>
          <w:r>
            <w:rPr>
              <w:rFonts w:hint="eastAsia"/>
              <w:lang w:eastAsia="zh-CN"/>
            </w:rPr>
            <w:t>页</w:t>
          </w:r>
        </w:p>
      </w:tc>
    </w:tr>
    <w:tr w14:paraId="5F7C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4453" w:type="dxa"/>
          <w:vAlign w:val="center"/>
        </w:tcPr>
        <w:p w14:paraId="4AC78D3C">
          <w:pPr>
            <w:jc w:val="center"/>
            <w:rPr>
              <w:lang w:eastAsia="zh-CN"/>
            </w:rPr>
          </w:pPr>
          <w:r>
            <w:rPr>
              <w:rFonts w:hint="eastAsia"/>
              <w:lang w:eastAsia="zh-CN"/>
            </w:rPr>
            <w:t>《内部控制与全面风险管理程序》</w:t>
          </w:r>
        </w:p>
      </w:tc>
      <w:tc>
        <w:tcPr>
          <w:tcW w:w="1306" w:type="dxa"/>
          <w:vAlign w:val="center"/>
        </w:tcPr>
        <w:p w14:paraId="058EACFE">
          <w:pPr>
            <w:jc w:val="center"/>
            <w:rPr>
              <w:lang w:eastAsia="zh-CN"/>
            </w:rPr>
          </w:pPr>
          <w:r>
            <w:rPr>
              <w:rFonts w:hint="eastAsia"/>
              <w:lang w:eastAsia="zh-CN"/>
            </w:rPr>
            <w:t>SYCX/QMS-M</w:t>
          </w:r>
          <w:r>
            <w:rPr>
              <w:lang w:eastAsia="zh-CN"/>
            </w:rPr>
            <w:t>1</w:t>
          </w:r>
          <w:r>
            <w:rPr>
              <w:rFonts w:hint="eastAsia"/>
              <w:lang w:eastAsia="zh-CN"/>
            </w:rPr>
            <w:t>-0</w:t>
          </w:r>
          <w:r>
            <w:rPr>
              <w:lang w:eastAsia="zh-CN"/>
            </w:rPr>
            <w:t>4</w:t>
          </w:r>
        </w:p>
      </w:tc>
      <w:tc>
        <w:tcPr>
          <w:tcW w:w="1587" w:type="dxa"/>
          <w:vAlign w:val="center"/>
        </w:tcPr>
        <w:p w14:paraId="3E765FF4">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A</w:t>
          </w:r>
        </w:p>
      </w:tc>
      <w:tc>
        <w:tcPr>
          <w:tcW w:w="1274" w:type="dxa"/>
          <w:vAlign w:val="center"/>
        </w:tcPr>
        <w:p w14:paraId="3DDC0998">
          <w:pPr>
            <w:jc w:val="center"/>
            <w:rPr>
              <w:rFonts w:ascii="宋体" w:hAnsi="宋体"/>
            </w:rPr>
          </w:pPr>
          <w:r>
            <w:rPr>
              <w:rFonts w:hint="eastAsia"/>
              <w:lang w:eastAsia="zh-CN"/>
            </w:rPr>
            <w:t>共4页</w:t>
          </w:r>
        </w:p>
      </w:tc>
    </w:tr>
  </w:tbl>
  <w:p w14:paraId="0396C34D">
    <w:pPr>
      <w:pStyle w:val="9"/>
      <w:pBdr>
        <w:bottom w:val="none" w:color="auto" w:sz="0" w:space="0"/>
      </w:pBdr>
      <w:spacing w:after="120" w:afterLines="50"/>
      <w:jc w:val="both"/>
      <w:rPr>
        <w:sz w:val="10"/>
        <w:szCs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text" w:horzAnchor="margin" w:tblpX="-32" w:tblpY="6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42"/>
      <w:gridCol w:w="1333"/>
      <w:gridCol w:w="1620"/>
      <w:gridCol w:w="1294"/>
    </w:tblGrid>
    <w:tr w14:paraId="41170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8789" w:type="dxa"/>
          <w:gridSpan w:val="4"/>
          <w:vAlign w:val="center"/>
        </w:tcPr>
        <w:p w14:paraId="1EDD5791">
          <w:pPr>
            <w:jc w:val="center"/>
            <w:rPr>
              <w:rFonts w:ascii="黑体" w:hAnsi="宋体" w:eastAsia="黑体"/>
              <w:sz w:val="30"/>
              <w:szCs w:val="30"/>
              <w:lang w:eastAsia="zh-CN"/>
            </w:rPr>
          </w:pPr>
          <w:r>
            <w:rPr>
              <w:rFonts w:hint="eastAsia" w:ascii="黑体" w:hAnsi="宋体" w:eastAsia="黑体"/>
              <w:b/>
              <w:sz w:val="30"/>
              <w:szCs w:val="30"/>
              <w:lang w:eastAsia="zh-CN"/>
            </w:rPr>
            <w:t>沈阳昌兴复材航空科技有限责任公司程序文件汇编</w:t>
          </w:r>
        </w:p>
      </w:tc>
    </w:tr>
    <w:tr w14:paraId="0633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6387D7FE">
          <w:pPr>
            <w:jc w:val="center"/>
            <w:rPr>
              <w:rFonts w:ascii="宋体" w:hAnsi="宋体"/>
            </w:rPr>
          </w:pPr>
          <w:r>
            <w:rPr>
              <w:rFonts w:hint="eastAsia" w:ascii="宋体" w:hAnsi="宋体"/>
            </w:rPr>
            <w:t>文件名称</w:t>
          </w:r>
        </w:p>
      </w:tc>
      <w:tc>
        <w:tcPr>
          <w:tcW w:w="1333" w:type="dxa"/>
          <w:vAlign w:val="center"/>
        </w:tcPr>
        <w:p w14:paraId="1019C9FA">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文件编号</w:t>
          </w:r>
        </w:p>
      </w:tc>
      <w:tc>
        <w:tcPr>
          <w:tcW w:w="1620" w:type="dxa"/>
          <w:vAlign w:val="center"/>
        </w:tcPr>
        <w:p w14:paraId="43E83283">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版本/修订号</w:t>
          </w:r>
        </w:p>
      </w:tc>
      <w:tc>
        <w:tcPr>
          <w:tcW w:w="1294" w:type="dxa"/>
          <w:vAlign w:val="center"/>
        </w:tcPr>
        <w:p w14:paraId="4A37E67D">
          <w:pPr>
            <w:jc w:val="center"/>
            <w:rPr>
              <w:rFonts w:ascii="宋体" w:hAnsi="宋体"/>
            </w:rPr>
          </w:pPr>
          <w:r>
            <w:rPr>
              <w:rFonts w:hint="eastAsia"/>
              <w:lang w:eastAsia="zh-CN"/>
            </w:rPr>
            <w:t>第</w:t>
          </w:r>
          <w:r>
            <w:rPr>
              <w:lang w:eastAsia="zh-CN"/>
            </w:rPr>
            <w:fldChar w:fldCharType="begin"/>
          </w:r>
          <w:r>
            <w:rPr>
              <w:lang w:eastAsia="zh-CN"/>
            </w:rPr>
            <w:instrText xml:space="preserve">PAGE   \* MERGEFORMAT</w:instrText>
          </w:r>
          <w:r>
            <w:rPr>
              <w:lang w:eastAsia="zh-CN"/>
            </w:rPr>
            <w:fldChar w:fldCharType="separate"/>
          </w:r>
          <w:r>
            <w:rPr>
              <w:lang w:val="zh-CN" w:eastAsia="zh-CN"/>
            </w:rPr>
            <w:t>3</w:t>
          </w:r>
          <w:r>
            <w:rPr>
              <w:lang w:eastAsia="zh-CN"/>
            </w:rPr>
            <w:fldChar w:fldCharType="end"/>
          </w:r>
          <w:r>
            <w:rPr>
              <w:rFonts w:hint="eastAsia"/>
              <w:lang w:eastAsia="zh-CN"/>
            </w:rPr>
            <w:t>页</w:t>
          </w:r>
        </w:p>
      </w:tc>
    </w:tr>
    <w:tr w14:paraId="3CD0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4542" w:type="dxa"/>
          <w:vAlign w:val="center"/>
        </w:tcPr>
        <w:p w14:paraId="2644452C">
          <w:pPr>
            <w:jc w:val="center"/>
            <w:rPr>
              <w:bCs/>
              <w:lang w:eastAsia="zh-CN"/>
            </w:rPr>
          </w:pPr>
          <w:r>
            <w:rPr>
              <w:rFonts w:hint="eastAsia"/>
              <w:lang w:eastAsia="zh-CN"/>
            </w:rPr>
            <w:t>《内部控制与全面风险管理程序》</w:t>
          </w:r>
        </w:p>
      </w:tc>
      <w:tc>
        <w:tcPr>
          <w:tcW w:w="1333" w:type="dxa"/>
          <w:vAlign w:val="center"/>
        </w:tcPr>
        <w:p w14:paraId="02629FD3">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SYCX/QMS-M</w:t>
          </w:r>
          <w:r>
            <w:rPr>
              <w:rFonts w:ascii="Calibri" w:hAnsi="Calibri"/>
              <w:kern w:val="0"/>
              <w:sz w:val="24"/>
              <w:szCs w:val="24"/>
              <w:lang w:bidi="en-US"/>
            </w:rPr>
            <w:t>1</w:t>
          </w:r>
          <w:r>
            <w:rPr>
              <w:rFonts w:hint="eastAsia" w:ascii="Calibri" w:hAnsi="Calibri"/>
              <w:kern w:val="0"/>
              <w:sz w:val="24"/>
              <w:szCs w:val="24"/>
              <w:lang w:bidi="en-US"/>
            </w:rPr>
            <w:t>-0</w:t>
          </w:r>
          <w:r>
            <w:rPr>
              <w:rFonts w:ascii="Calibri" w:hAnsi="Calibri"/>
              <w:kern w:val="0"/>
              <w:sz w:val="24"/>
              <w:szCs w:val="24"/>
              <w:lang w:bidi="en-US"/>
            </w:rPr>
            <w:t>4</w:t>
          </w:r>
        </w:p>
      </w:tc>
      <w:tc>
        <w:tcPr>
          <w:tcW w:w="1620" w:type="dxa"/>
          <w:vAlign w:val="center"/>
        </w:tcPr>
        <w:p w14:paraId="297DFB7A">
          <w:pPr>
            <w:pStyle w:val="9"/>
            <w:pBdr>
              <w:bottom w:val="none" w:color="auto" w:sz="0" w:space="1"/>
            </w:pBdr>
            <w:rPr>
              <w:rFonts w:ascii="Calibri" w:hAnsi="Calibri"/>
              <w:kern w:val="0"/>
              <w:sz w:val="24"/>
              <w:szCs w:val="24"/>
              <w:lang w:bidi="en-US"/>
            </w:rPr>
          </w:pPr>
          <w:r>
            <w:rPr>
              <w:rFonts w:hint="eastAsia" w:ascii="Calibri" w:hAnsi="Calibri"/>
              <w:kern w:val="0"/>
              <w:sz w:val="24"/>
              <w:szCs w:val="24"/>
              <w:lang w:bidi="en-US"/>
            </w:rPr>
            <w:t>A</w:t>
          </w:r>
        </w:p>
      </w:tc>
      <w:tc>
        <w:tcPr>
          <w:tcW w:w="1294" w:type="dxa"/>
          <w:vAlign w:val="center"/>
        </w:tcPr>
        <w:p w14:paraId="07541275">
          <w:pPr>
            <w:jc w:val="center"/>
            <w:rPr>
              <w:rFonts w:ascii="宋体" w:hAnsi="宋体"/>
            </w:rPr>
          </w:pPr>
          <w:r>
            <w:rPr>
              <w:rFonts w:hint="eastAsia"/>
              <w:lang w:eastAsia="zh-CN"/>
            </w:rPr>
            <w:t>共4页</w:t>
          </w:r>
        </w:p>
      </w:tc>
    </w:tr>
  </w:tbl>
  <w:p w14:paraId="235EA189">
    <w:pPr>
      <w:pStyle w:val="9"/>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21C34"/>
    <w:rsid w:val="00032102"/>
    <w:rsid w:val="00033917"/>
    <w:rsid w:val="00053AAE"/>
    <w:rsid w:val="00054B7B"/>
    <w:rsid w:val="000562AB"/>
    <w:rsid w:val="00060F5B"/>
    <w:rsid w:val="00070E95"/>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13B6"/>
    <w:rsid w:val="00184461"/>
    <w:rsid w:val="001937AF"/>
    <w:rsid w:val="001947D8"/>
    <w:rsid w:val="001953E2"/>
    <w:rsid w:val="001B4C93"/>
    <w:rsid w:val="001B5C2A"/>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322C"/>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A5F9F"/>
    <w:rsid w:val="004B59B5"/>
    <w:rsid w:val="0050064B"/>
    <w:rsid w:val="00506F8F"/>
    <w:rsid w:val="005126CE"/>
    <w:rsid w:val="00514148"/>
    <w:rsid w:val="00523EEF"/>
    <w:rsid w:val="005422CF"/>
    <w:rsid w:val="005460EA"/>
    <w:rsid w:val="005571E7"/>
    <w:rsid w:val="00564C7C"/>
    <w:rsid w:val="00565269"/>
    <w:rsid w:val="005776EA"/>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D7C"/>
    <w:rsid w:val="00652A02"/>
    <w:rsid w:val="006554E8"/>
    <w:rsid w:val="00656A93"/>
    <w:rsid w:val="006570C3"/>
    <w:rsid w:val="00664459"/>
    <w:rsid w:val="00665B8E"/>
    <w:rsid w:val="00677B85"/>
    <w:rsid w:val="006912AE"/>
    <w:rsid w:val="006A1594"/>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E3E5D"/>
    <w:rsid w:val="00915FDF"/>
    <w:rsid w:val="009210B2"/>
    <w:rsid w:val="009216FA"/>
    <w:rsid w:val="009268EA"/>
    <w:rsid w:val="009305CF"/>
    <w:rsid w:val="0093066D"/>
    <w:rsid w:val="009344A3"/>
    <w:rsid w:val="00936CFB"/>
    <w:rsid w:val="00945052"/>
    <w:rsid w:val="00946F2C"/>
    <w:rsid w:val="00952D99"/>
    <w:rsid w:val="0095458B"/>
    <w:rsid w:val="00955E40"/>
    <w:rsid w:val="009618B5"/>
    <w:rsid w:val="00971955"/>
    <w:rsid w:val="00983BF7"/>
    <w:rsid w:val="009857FD"/>
    <w:rsid w:val="009A335B"/>
    <w:rsid w:val="009B222A"/>
    <w:rsid w:val="00A03E8F"/>
    <w:rsid w:val="00A1061E"/>
    <w:rsid w:val="00A1247B"/>
    <w:rsid w:val="00A46890"/>
    <w:rsid w:val="00A55CD2"/>
    <w:rsid w:val="00A55CFC"/>
    <w:rsid w:val="00A56F15"/>
    <w:rsid w:val="00A67CB4"/>
    <w:rsid w:val="00A86C88"/>
    <w:rsid w:val="00A91EC7"/>
    <w:rsid w:val="00A95F2E"/>
    <w:rsid w:val="00AD1E1E"/>
    <w:rsid w:val="00AE3414"/>
    <w:rsid w:val="00AF036D"/>
    <w:rsid w:val="00AF3214"/>
    <w:rsid w:val="00B00E9B"/>
    <w:rsid w:val="00B03DCF"/>
    <w:rsid w:val="00B25027"/>
    <w:rsid w:val="00B47017"/>
    <w:rsid w:val="00B66FF8"/>
    <w:rsid w:val="00B81513"/>
    <w:rsid w:val="00B877CB"/>
    <w:rsid w:val="00BA0DC7"/>
    <w:rsid w:val="00BB0702"/>
    <w:rsid w:val="00BC0C8D"/>
    <w:rsid w:val="00BC2CF1"/>
    <w:rsid w:val="00BC3057"/>
    <w:rsid w:val="00BC44E0"/>
    <w:rsid w:val="00BD6DDF"/>
    <w:rsid w:val="00BE350B"/>
    <w:rsid w:val="00BF5DA8"/>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47616"/>
    <w:rsid w:val="00E50A1A"/>
    <w:rsid w:val="00E54308"/>
    <w:rsid w:val="00E70299"/>
    <w:rsid w:val="00E73766"/>
    <w:rsid w:val="00E80D8F"/>
    <w:rsid w:val="00E96923"/>
    <w:rsid w:val="00EA206B"/>
    <w:rsid w:val="00EB6549"/>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E7D3A"/>
    <w:rsid w:val="00FF1BC1"/>
    <w:rsid w:val="06FB0B0A"/>
    <w:rsid w:val="0C215E37"/>
    <w:rsid w:val="0C4D02A9"/>
    <w:rsid w:val="0ED10B0F"/>
    <w:rsid w:val="1144665F"/>
    <w:rsid w:val="11457A88"/>
    <w:rsid w:val="13C75A78"/>
    <w:rsid w:val="192E6E10"/>
    <w:rsid w:val="1EA46778"/>
    <w:rsid w:val="1F5651FB"/>
    <w:rsid w:val="248655F6"/>
    <w:rsid w:val="28D05F30"/>
    <w:rsid w:val="2E012289"/>
    <w:rsid w:val="2EF235B9"/>
    <w:rsid w:val="30030FA9"/>
    <w:rsid w:val="30476437"/>
    <w:rsid w:val="324A2F33"/>
    <w:rsid w:val="33681AA0"/>
    <w:rsid w:val="35FA7D18"/>
    <w:rsid w:val="388B4F89"/>
    <w:rsid w:val="3A32082B"/>
    <w:rsid w:val="3DA91870"/>
    <w:rsid w:val="40AF5802"/>
    <w:rsid w:val="439A02CB"/>
    <w:rsid w:val="49D45DBA"/>
    <w:rsid w:val="4B3F116F"/>
    <w:rsid w:val="4F444112"/>
    <w:rsid w:val="528A7214"/>
    <w:rsid w:val="53A445D8"/>
    <w:rsid w:val="59BB1F4F"/>
    <w:rsid w:val="5A80020F"/>
    <w:rsid w:val="615D19A6"/>
    <w:rsid w:val="62132BEE"/>
    <w:rsid w:val="67E92315"/>
    <w:rsid w:val="6B947060"/>
    <w:rsid w:val="6B9F1613"/>
    <w:rsid w:val="6DFF40FC"/>
    <w:rsid w:val="700E1238"/>
    <w:rsid w:val="74A60076"/>
    <w:rsid w:val="7645275F"/>
    <w:rsid w:val="76494256"/>
    <w:rsid w:val="7F17355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sz w:val="24"/>
      <w:szCs w:val="24"/>
      <w:lang w:val="en-US" w:eastAsia="en-US" w:bidi="en-US"/>
    </w:rPr>
  </w:style>
  <w:style w:type="paragraph" w:styleId="2">
    <w:name w:val="heading 1"/>
    <w:basedOn w:val="1"/>
    <w:next w:val="1"/>
    <w:link w:val="16"/>
    <w:qFormat/>
    <w:uiPriority w:val="0"/>
    <w:pPr>
      <w:keepNext/>
      <w:keepLines/>
      <w:spacing w:before="340" w:after="330" w:line="578" w:lineRule="auto"/>
      <w:outlineLvl w:val="0"/>
    </w:pPr>
    <w:rPr>
      <w:rFonts w:ascii="Times New Roman" w:hAnsi="Times New Roman"/>
      <w:b/>
      <w:bCs/>
      <w:kern w:val="44"/>
      <w:sz w:val="44"/>
      <w:szCs w:val="44"/>
      <w:lang w:bidi="ar-SA"/>
    </w:rPr>
  </w:style>
  <w:style w:type="paragraph" w:styleId="3">
    <w:name w:val="heading 2"/>
    <w:basedOn w:val="1"/>
    <w:next w:val="1"/>
    <w:link w:val="18"/>
    <w:qFormat/>
    <w:uiPriority w:val="0"/>
    <w:pPr>
      <w:keepNext/>
      <w:spacing w:line="400" w:lineRule="atLeast"/>
      <w:jc w:val="center"/>
      <w:outlineLvl w:val="1"/>
    </w:pPr>
    <w:rPr>
      <w:rFonts w:ascii="宋体" w:hAnsi="宋体"/>
      <w:i/>
      <w:iCs/>
      <w:kern w:val="2"/>
      <w:szCs w:val="28"/>
      <w:lang w:bidi="ar-SA"/>
    </w:rPr>
  </w:style>
  <w:style w:type="paragraph" w:styleId="4">
    <w:name w:val="heading 3"/>
    <w:basedOn w:val="1"/>
    <w:next w:val="1"/>
    <w:link w:val="21"/>
    <w:qFormat/>
    <w:uiPriority w:val="0"/>
    <w:pPr>
      <w:keepNext/>
      <w:spacing w:line="440" w:lineRule="atLeast"/>
      <w:ind w:firstLine="1928" w:firstLineChars="800"/>
      <w:outlineLvl w:val="2"/>
    </w:pPr>
    <w:rPr>
      <w:rFonts w:ascii="宋体" w:hAnsi="宋体"/>
      <w:b/>
      <w:bCs/>
      <w:kern w:val="2"/>
      <w:lang w:bidi="ar-SA"/>
    </w:rPr>
  </w:style>
  <w:style w:type="paragraph" w:styleId="5">
    <w:name w:val="heading 4"/>
    <w:basedOn w:val="1"/>
    <w:next w:val="1"/>
    <w:link w:val="17"/>
    <w:qFormat/>
    <w:uiPriority w:val="0"/>
    <w:pPr>
      <w:keepNext/>
      <w:spacing w:line="400" w:lineRule="atLeast"/>
      <w:outlineLvl w:val="3"/>
    </w:pPr>
    <w:rPr>
      <w:rFonts w:ascii="Times New Roman" w:hAnsi="Times New Roman"/>
      <w:kern w:val="2"/>
      <w:sz w:val="28"/>
      <w:lang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0"/>
    <w:pPr>
      <w:spacing w:line="440" w:lineRule="exact"/>
    </w:pPr>
  </w:style>
  <w:style w:type="paragraph" w:styleId="7">
    <w:name w:val="Balloon Text"/>
    <w:basedOn w:val="1"/>
    <w:link w:val="26"/>
    <w:qFormat/>
    <w:uiPriority w:val="0"/>
    <w:rPr>
      <w:sz w:val="18"/>
      <w:szCs w:val="18"/>
    </w:rPr>
  </w:style>
  <w:style w:type="paragraph" w:styleId="8">
    <w:name w:val="footer"/>
    <w:basedOn w:val="1"/>
    <w:link w:val="27"/>
    <w:qFormat/>
    <w:uiPriority w:val="99"/>
    <w:pPr>
      <w:tabs>
        <w:tab w:val="center" w:pos="4153"/>
        <w:tab w:val="right" w:pos="8306"/>
      </w:tabs>
      <w:snapToGrid w:val="0"/>
    </w:pPr>
    <w:rPr>
      <w:sz w:val="18"/>
      <w:szCs w:val="18"/>
    </w:rPr>
  </w:style>
  <w:style w:type="paragraph" w:styleId="9">
    <w:name w:val="header"/>
    <w:basedOn w:val="1"/>
    <w:link w:val="15"/>
    <w:qFormat/>
    <w:uiPriority w:val="0"/>
    <w:pPr>
      <w:pBdr>
        <w:bottom w:val="single" w:color="auto" w:sz="6" w:space="1"/>
      </w:pBdr>
      <w:tabs>
        <w:tab w:val="center" w:pos="4153"/>
        <w:tab w:val="right" w:pos="8306"/>
      </w:tabs>
      <w:snapToGrid w:val="0"/>
      <w:jc w:val="center"/>
    </w:pPr>
    <w:rPr>
      <w:rFonts w:ascii="Times New Roman" w:hAnsi="Times New Roman"/>
      <w:kern w:val="2"/>
      <w:sz w:val="18"/>
      <w:szCs w:val="18"/>
      <w:lang w:eastAsia="zh-CN" w:bidi="ar-SA"/>
    </w:rPr>
  </w:style>
  <w:style w:type="paragraph" w:styleId="10">
    <w:name w:val="Title"/>
    <w:basedOn w:val="1"/>
    <w:next w:val="1"/>
    <w:link w:val="19"/>
    <w:qFormat/>
    <w:uiPriority w:val="0"/>
    <w:pPr>
      <w:spacing w:before="240" w:after="60"/>
      <w:jc w:val="center"/>
      <w:outlineLvl w:val="0"/>
    </w:pPr>
    <w:rPr>
      <w:rFonts w:ascii="等线 Light" w:hAnsi="等线 Light"/>
      <w:b/>
      <w:bCs/>
      <w:sz w:val="32"/>
      <w:szCs w:val="32"/>
    </w:rPr>
  </w:style>
  <w:style w:type="table" w:styleId="12">
    <w:name w:val="Table Grid"/>
    <w:basedOn w:val="11"/>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customStyle="1" w:styleId="15">
    <w:name w:val="页眉 字符"/>
    <w:link w:val="9"/>
    <w:qFormat/>
    <w:uiPriority w:val="0"/>
    <w:rPr>
      <w:rFonts w:eastAsia="宋体"/>
      <w:kern w:val="2"/>
      <w:sz w:val="18"/>
      <w:szCs w:val="18"/>
      <w:lang w:val="en-US" w:eastAsia="zh-CN" w:bidi="ar-SA"/>
    </w:rPr>
  </w:style>
  <w:style w:type="character" w:customStyle="1" w:styleId="16">
    <w:name w:val="标题 1 字符"/>
    <w:link w:val="2"/>
    <w:qFormat/>
    <w:uiPriority w:val="0"/>
    <w:rPr>
      <w:b/>
      <w:bCs/>
      <w:kern w:val="44"/>
      <w:sz w:val="44"/>
      <w:szCs w:val="44"/>
    </w:rPr>
  </w:style>
  <w:style w:type="character" w:customStyle="1" w:styleId="17">
    <w:name w:val="标题 4 字符"/>
    <w:link w:val="5"/>
    <w:qFormat/>
    <w:uiPriority w:val="0"/>
    <w:rPr>
      <w:kern w:val="2"/>
      <w:sz w:val="28"/>
      <w:szCs w:val="24"/>
    </w:rPr>
  </w:style>
  <w:style w:type="character" w:customStyle="1" w:styleId="18">
    <w:name w:val="标题 2 字符"/>
    <w:link w:val="3"/>
    <w:qFormat/>
    <w:uiPriority w:val="0"/>
    <w:rPr>
      <w:rFonts w:ascii="宋体" w:hAnsi="宋体"/>
      <w:i/>
      <w:iCs/>
      <w:kern w:val="2"/>
      <w:sz w:val="24"/>
      <w:szCs w:val="28"/>
    </w:rPr>
  </w:style>
  <w:style w:type="character" w:customStyle="1" w:styleId="19">
    <w:name w:val="标题 字符"/>
    <w:link w:val="10"/>
    <w:qFormat/>
    <w:uiPriority w:val="0"/>
    <w:rPr>
      <w:rFonts w:ascii="等线 Light" w:hAnsi="等线 Light" w:cs="Times New Roman"/>
      <w:b/>
      <w:bCs/>
      <w:sz w:val="32"/>
      <w:szCs w:val="32"/>
      <w:lang w:eastAsia="en-US" w:bidi="en-US"/>
    </w:rPr>
  </w:style>
  <w:style w:type="character" w:styleId="20">
    <w:name w:val="Placeholder Text"/>
    <w:semiHidden/>
    <w:qFormat/>
    <w:uiPriority w:val="99"/>
    <w:rPr>
      <w:color w:val="808080"/>
    </w:rPr>
  </w:style>
  <w:style w:type="character" w:customStyle="1" w:styleId="21">
    <w:name w:val="标题 3 字符"/>
    <w:link w:val="4"/>
    <w:qFormat/>
    <w:uiPriority w:val="0"/>
    <w:rPr>
      <w:rFonts w:ascii="宋体" w:hAnsi="宋体"/>
      <w:b/>
      <w:bCs/>
      <w:kern w:val="2"/>
      <w:sz w:val="24"/>
      <w:szCs w:val="24"/>
    </w:rPr>
  </w:style>
  <w:style w:type="paragraph" w:customStyle="1" w:styleId="22">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sz w:val="24"/>
      <w:szCs w:val="24"/>
      <w:lang w:val="en-US" w:eastAsia="zh-CN" w:bidi="ar-SA"/>
    </w:rPr>
  </w:style>
  <w:style w:type="paragraph" w:customStyle="1" w:styleId="23">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24">
    <w:name w:val="列出段落1"/>
    <w:basedOn w:val="1"/>
    <w:qFormat/>
    <w:uiPriority w:val="99"/>
    <w:pPr>
      <w:ind w:firstLine="420" w:firstLineChars="200"/>
    </w:pPr>
  </w:style>
  <w:style w:type="paragraph" w:styleId="25">
    <w:name w:val="List Paragraph"/>
    <w:basedOn w:val="1"/>
    <w:qFormat/>
    <w:uiPriority w:val="99"/>
    <w:pPr>
      <w:ind w:firstLine="420" w:firstLineChars="200"/>
    </w:pPr>
    <w:rPr>
      <w:szCs w:val="22"/>
    </w:rPr>
  </w:style>
  <w:style w:type="character" w:customStyle="1" w:styleId="26">
    <w:name w:val="批注框文本 字符"/>
    <w:link w:val="7"/>
    <w:qFormat/>
    <w:uiPriority w:val="0"/>
    <w:rPr>
      <w:rFonts w:ascii="Calibri" w:hAnsi="Calibri"/>
      <w:sz w:val="18"/>
      <w:szCs w:val="18"/>
      <w:lang w:eastAsia="en-US" w:bidi="en-US"/>
    </w:rPr>
  </w:style>
  <w:style w:type="character" w:customStyle="1" w:styleId="27">
    <w:name w:val="页脚 字符"/>
    <w:basedOn w:val="13"/>
    <w:link w:val="8"/>
    <w:qFormat/>
    <w:uiPriority w:val="99"/>
    <w:rPr>
      <w:rFonts w:ascii="Calibri" w:hAnsi="Calibri"/>
      <w:sz w:val="18"/>
      <w:szCs w:val="18"/>
      <w:lang w:eastAsia="en-US" w:bidi="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WwW.YlmF.CoM</Company>
  <Pages>4</Pages>
  <Words>1775</Words>
  <Characters>1820</Characters>
  <Lines>13</Lines>
  <Paragraphs>3</Paragraphs>
  <TotalTime>171</TotalTime>
  <ScaleCrop>false</ScaleCrop>
  <LinksUpToDate>false</LinksUpToDate>
  <CharactersWithSpaces>1828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2021-12-29T08:41:00Z</dcterms:created>
  <dc:creator>雨林木风</dc:creator>
  <cp:lastModifiedBy>WPS_1605999949</cp:lastModifiedBy>
  <cp:lastPrinted>2019-07-02T02:25:00Z</cp:lastPrinted>
  <dcterms:modified xsi:type="dcterms:W3CDTF">2026-01-08T00:51:27Z</dcterms:modified>
  <dc:title>江西昌兴航空装备有限公司是依托我国署名的航空企业昌河飞机工业集团公司的技术支持，所成立的一家航空装备制造企业</dc:title>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B3547254B591433B9477AC1932D5257C</vt:lpwstr>
  </property>
  <property fmtid="{D5CDD505-2E9C-101B-9397-08002B2CF9AE}" pid="4" name="KSOTemplateDocerSaveRecord">
    <vt:lpwstr>eyJoZGlkIjoiYjNmMzNmNzE3MDlmMDUyNGVkMzAxYzhkNDcwZDE1NzIiLCJ1c2VySWQiOiIxNjA1OTk5OTQ5In0=</vt:lpwstr>
  </property>
</Properties>
</file>