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6DB856">
      <w:pPr>
        <w:jc w:val="center"/>
        <w:rPr>
          <w:rFonts w:hint="eastAsia"/>
          <w:b/>
          <w:bCs/>
          <w:sz w:val="32"/>
          <w:szCs w:val="32"/>
          <w:lang w:val="en-US" w:eastAsia="zh-CN"/>
        </w:rPr>
      </w:pPr>
      <w:r>
        <w:rPr>
          <w:rFonts w:hint="eastAsia"/>
          <w:b/>
          <w:bCs/>
          <w:sz w:val="32"/>
          <w:szCs w:val="32"/>
          <w:lang w:val="en-US" w:eastAsia="zh-CN"/>
        </w:rPr>
        <w:t>生产部排罐管理程序方案（初版）</w:t>
      </w:r>
    </w:p>
    <w:p w14:paraId="01D4BEC2">
      <w:pPr>
        <w:rPr>
          <w:rFonts w:hint="eastAsia"/>
          <w:sz w:val="24"/>
          <w:szCs w:val="24"/>
          <w:lang w:val="en-US" w:eastAsia="zh-CN"/>
        </w:rPr>
      </w:pPr>
    </w:p>
    <w:p w14:paraId="491C1CFE">
      <w:pPr>
        <w:pStyle w:val="6"/>
        <w:bidi w:val="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1.背景</w:t>
      </w:r>
    </w:p>
    <w:p w14:paraId="1BC5DCAC">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围绕</w:t>
      </w:r>
      <w:r>
        <w:rPr>
          <w:rFonts w:hint="eastAsia" w:asciiTheme="minorEastAsia" w:hAnsiTheme="minorEastAsia" w:cstheme="minorEastAsia"/>
          <w:sz w:val="24"/>
          <w:szCs w:val="24"/>
          <w:lang w:val="en-US" w:eastAsia="zh-CN"/>
        </w:rPr>
        <w:t>公司</w:t>
      </w:r>
      <w:r>
        <w:rPr>
          <w:rFonts w:hint="eastAsia" w:asciiTheme="minorEastAsia" w:hAnsiTheme="minorEastAsia" w:eastAsiaTheme="minorEastAsia" w:cstheme="minorEastAsia"/>
          <w:sz w:val="24"/>
          <w:szCs w:val="24"/>
        </w:rPr>
        <w:t>全年产值目标及关键件交付任务，生产部</w:t>
      </w:r>
      <w:r>
        <w:rPr>
          <w:rFonts w:hint="eastAsia" w:asciiTheme="minorEastAsia" w:hAnsiTheme="minorEastAsia" w:cstheme="minorEastAsia"/>
          <w:sz w:val="24"/>
          <w:szCs w:val="24"/>
          <w:lang w:val="en-US" w:eastAsia="zh-CN"/>
        </w:rPr>
        <w:t>开工</w:t>
      </w:r>
      <w:r>
        <w:rPr>
          <w:rFonts w:hint="eastAsia" w:asciiTheme="minorEastAsia" w:hAnsiTheme="minorEastAsia" w:eastAsiaTheme="minorEastAsia" w:cstheme="minorEastAsia"/>
          <w:sz w:val="24"/>
          <w:szCs w:val="24"/>
        </w:rPr>
        <w:t>组根据现有</w:t>
      </w:r>
      <w:r>
        <w:rPr>
          <w:rFonts w:hint="eastAsia" w:asciiTheme="minorEastAsia" w:hAnsiTheme="minorEastAsia" w:cstheme="minorEastAsia"/>
          <w:sz w:val="24"/>
          <w:szCs w:val="24"/>
          <w:lang w:val="en-US" w:eastAsia="zh-CN"/>
        </w:rPr>
        <w:t>生产</w:t>
      </w:r>
      <w:r>
        <w:rPr>
          <w:rFonts w:hint="eastAsia" w:asciiTheme="minorEastAsia" w:hAnsiTheme="minorEastAsia" w:eastAsiaTheme="minorEastAsia" w:cstheme="minorEastAsia"/>
          <w:sz w:val="24"/>
          <w:szCs w:val="24"/>
        </w:rPr>
        <w:t>实际情况，制定罐</w:t>
      </w:r>
      <w:r>
        <w:rPr>
          <w:rFonts w:hint="eastAsia" w:asciiTheme="minorEastAsia" w:hAnsiTheme="minorEastAsia" w:cstheme="minorEastAsia"/>
          <w:sz w:val="24"/>
          <w:szCs w:val="24"/>
          <w:lang w:val="en-US" w:eastAsia="zh-CN"/>
        </w:rPr>
        <w:t>前计划</w:t>
      </w:r>
      <w:r>
        <w:rPr>
          <w:rFonts w:hint="eastAsia" w:asciiTheme="minorEastAsia" w:hAnsiTheme="minorEastAsia" w:eastAsiaTheme="minorEastAsia" w:cstheme="minorEastAsia"/>
          <w:sz w:val="24"/>
          <w:szCs w:val="24"/>
        </w:rPr>
        <w:t>横向管理方案，</w:t>
      </w:r>
      <w:r>
        <w:rPr>
          <w:rFonts w:hint="eastAsia" w:asciiTheme="minorEastAsia" w:hAnsiTheme="minorEastAsia" w:cstheme="minorEastAsia"/>
          <w:sz w:val="24"/>
          <w:szCs w:val="24"/>
          <w:lang w:val="en-US" w:eastAsia="zh-CN"/>
        </w:rPr>
        <w:t>以保证排罐计划的合理性和可执行性</w:t>
      </w:r>
      <w:r>
        <w:rPr>
          <w:rFonts w:hint="eastAsia" w:asciiTheme="minorEastAsia" w:hAnsiTheme="minorEastAsia" w:eastAsiaTheme="minorEastAsia" w:cstheme="minorEastAsia"/>
          <w:sz w:val="24"/>
          <w:szCs w:val="24"/>
        </w:rPr>
        <w:t>。</w:t>
      </w:r>
    </w:p>
    <w:p w14:paraId="40FE257B">
      <w:pPr>
        <w:pStyle w:val="6"/>
        <w:bidi w:val="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2.目的：</w:t>
      </w:r>
    </w:p>
    <w:p w14:paraId="312EE521">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以全年产值任务每月投产计划为排罐</w:t>
      </w:r>
      <w:r>
        <w:rPr>
          <w:rFonts w:hint="eastAsia" w:asciiTheme="minorEastAsia" w:hAnsiTheme="minorEastAsia" w:cstheme="minorEastAsia"/>
          <w:sz w:val="24"/>
          <w:szCs w:val="24"/>
          <w:lang w:val="en-US" w:eastAsia="zh-CN"/>
        </w:rPr>
        <w:t>依据，考虑各项目工作包零件进罐周期、固化速度等，</w:t>
      </w:r>
      <w:r>
        <w:rPr>
          <w:rFonts w:hint="eastAsia" w:asciiTheme="minorEastAsia" w:hAnsiTheme="minorEastAsia" w:eastAsiaTheme="minorEastAsia" w:cstheme="minorEastAsia"/>
          <w:sz w:val="24"/>
          <w:szCs w:val="24"/>
          <w:lang w:val="en-US" w:eastAsia="zh-CN"/>
        </w:rPr>
        <w:t>合理安排</w:t>
      </w:r>
      <w:r>
        <w:rPr>
          <w:rFonts w:hint="eastAsia" w:asciiTheme="minorEastAsia" w:hAnsiTheme="minorEastAsia" w:cstheme="minorEastAsia"/>
          <w:sz w:val="24"/>
          <w:szCs w:val="24"/>
          <w:lang w:val="en-US" w:eastAsia="zh-CN"/>
        </w:rPr>
        <w:t>罐前</w:t>
      </w:r>
      <w:r>
        <w:rPr>
          <w:rFonts w:hint="eastAsia" w:asciiTheme="minorEastAsia" w:hAnsiTheme="minorEastAsia" w:eastAsiaTheme="minorEastAsia" w:cstheme="minorEastAsia"/>
          <w:sz w:val="24"/>
          <w:szCs w:val="24"/>
          <w:lang w:val="en-US" w:eastAsia="zh-CN"/>
        </w:rPr>
        <w:t>计划，</w:t>
      </w:r>
      <w:r>
        <w:rPr>
          <w:rFonts w:hint="eastAsia" w:asciiTheme="minorEastAsia" w:hAnsiTheme="minorEastAsia" w:eastAsiaTheme="minorEastAsia" w:cstheme="minorEastAsia"/>
          <w:sz w:val="24"/>
          <w:szCs w:val="24"/>
          <w:lang w:val="en-US" w:eastAsia="zh-CN"/>
        </w:rPr>
        <w:t>确保</w:t>
      </w:r>
      <w:r>
        <w:rPr>
          <w:rFonts w:hint="eastAsia" w:asciiTheme="minorEastAsia" w:hAnsiTheme="minorEastAsia" w:cstheme="minorEastAsia"/>
          <w:sz w:val="24"/>
          <w:szCs w:val="24"/>
          <w:lang w:val="en-US" w:eastAsia="zh-CN"/>
        </w:rPr>
        <w:t>生产过程的顺畅运行</w:t>
      </w:r>
      <w:r>
        <w:rPr>
          <w:rFonts w:hint="eastAsia" w:asciiTheme="minorEastAsia" w:hAnsiTheme="minorEastAsia" w:eastAsiaTheme="minorEastAsia" w:cstheme="minorEastAsia"/>
          <w:sz w:val="24"/>
          <w:szCs w:val="24"/>
          <w:lang w:val="en-US" w:eastAsia="zh-CN"/>
        </w:rPr>
        <w:t>，满足订单交付需求，同时优化资源利用，提高生产效率</w:t>
      </w:r>
      <w:r>
        <w:rPr>
          <w:rFonts w:hint="eastAsia" w:asciiTheme="minorEastAsia" w:hAnsiTheme="minorEastAsia" w:cstheme="minorEastAsia"/>
          <w:sz w:val="24"/>
          <w:szCs w:val="24"/>
          <w:lang w:val="en-US" w:eastAsia="zh-CN"/>
        </w:rPr>
        <w:t>，降低生产成本</w:t>
      </w:r>
      <w:r>
        <w:rPr>
          <w:rFonts w:hint="eastAsia" w:asciiTheme="minorEastAsia" w:hAnsiTheme="minorEastAsia" w:eastAsiaTheme="minorEastAsia" w:cstheme="minorEastAsia"/>
          <w:sz w:val="24"/>
          <w:szCs w:val="24"/>
          <w:lang w:val="en-US" w:eastAsia="zh-CN"/>
        </w:rPr>
        <w:t>。</w:t>
      </w:r>
    </w:p>
    <w:p w14:paraId="6DE263DD">
      <w:pPr>
        <w:pStyle w:val="6"/>
        <w:bidi w:val="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3.适用范围:</w:t>
      </w:r>
    </w:p>
    <w:p w14:paraId="32F91747">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本方案适用于所有投产</w:t>
      </w:r>
      <w:r>
        <w:rPr>
          <w:rFonts w:hint="eastAsia" w:asciiTheme="minorEastAsia" w:hAnsiTheme="minorEastAsia" w:cstheme="minorEastAsia"/>
          <w:sz w:val="24"/>
          <w:szCs w:val="24"/>
          <w:lang w:val="en-US" w:eastAsia="zh-CN"/>
        </w:rPr>
        <w:t>项目需要</w:t>
      </w:r>
      <w:r>
        <w:rPr>
          <w:rFonts w:hint="eastAsia" w:asciiTheme="minorEastAsia" w:hAnsiTheme="minorEastAsia" w:eastAsiaTheme="minorEastAsia" w:cstheme="minorEastAsia"/>
          <w:sz w:val="24"/>
          <w:szCs w:val="24"/>
          <w:lang w:val="en-US" w:eastAsia="zh-CN"/>
        </w:rPr>
        <w:t>排罐</w:t>
      </w:r>
      <w:r>
        <w:rPr>
          <w:rFonts w:hint="eastAsia" w:asciiTheme="minorEastAsia" w:hAnsiTheme="minorEastAsia" w:cstheme="minorEastAsia"/>
          <w:sz w:val="24"/>
          <w:szCs w:val="24"/>
          <w:lang w:val="en-US" w:eastAsia="zh-CN"/>
        </w:rPr>
        <w:t>工序</w:t>
      </w:r>
      <w:r>
        <w:rPr>
          <w:rFonts w:hint="eastAsia" w:asciiTheme="minorEastAsia" w:hAnsiTheme="minorEastAsia" w:eastAsiaTheme="minorEastAsia" w:cstheme="minorEastAsia"/>
          <w:sz w:val="24"/>
          <w:szCs w:val="24"/>
          <w:lang w:val="en-US" w:eastAsia="zh-CN"/>
        </w:rPr>
        <w:t>的零件</w:t>
      </w:r>
      <w:r>
        <w:rPr>
          <w:rFonts w:hint="eastAsia" w:asciiTheme="minorEastAsia" w:hAnsiTheme="minorEastAsia" w:cstheme="minorEastAsia"/>
          <w:sz w:val="24"/>
          <w:szCs w:val="24"/>
          <w:lang w:val="en-US" w:eastAsia="zh-CN"/>
        </w:rPr>
        <w:t>，包括但不限于研制计划，临时生产计划等</w:t>
      </w:r>
      <w:r>
        <w:rPr>
          <w:rFonts w:hint="eastAsia" w:asciiTheme="minorEastAsia" w:hAnsiTheme="minorEastAsia" w:eastAsiaTheme="minorEastAsia" w:cstheme="minorEastAsia"/>
          <w:sz w:val="24"/>
          <w:szCs w:val="24"/>
          <w:lang w:val="en-US" w:eastAsia="zh-CN"/>
        </w:rPr>
        <w:t>。</w:t>
      </w:r>
    </w:p>
    <w:p w14:paraId="5A8C4D7B">
      <w:pPr>
        <w:pStyle w:val="6"/>
        <w:bidi w:val="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4.排罐原则：</w:t>
      </w:r>
    </w:p>
    <w:p w14:paraId="0E4C4386">
      <w:pPr>
        <w:pStyle w:val="7"/>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4.1优先顺序原则</w:t>
      </w:r>
    </w:p>
    <w:p w14:paraId="3C5200E8">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通过优先级顺序原则，对</w:t>
      </w:r>
      <w:r>
        <w:rPr>
          <w:rFonts w:hint="eastAsia" w:asciiTheme="minorEastAsia" w:hAnsiTheme="minorEastAsia" w:cstheme="minorEastAsia"/>
          <w:sz w:val="24"/>
          <w:szCs w:val="24"/>
          <w:lang w:val="en-US" w:eastAsia="zh-CN"/>
        </w:rPr>
        <w:t>关键件、</w:t>
      </w:r>
      <w:r>
        <w:rPr>
          <w:rFonts w:hint="eastAsia" w:asciiTheme="minorEastAsia" w:hAnsiTheme="minorEastAsia" w:eastAsiaTheme="minorEastAsia" w:cstheme="minorEastAsia"/>
          <w:sz w:val="24"/>
          <w:szCs w:val="24"/>
          <w:lang w:val="en-US" w:eastAsia="zh-CN"/>
        </w:rPr>
        <w:t>交付紧急度</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物料齐套率、工装准备、文件准备情况等因素进行综合考量，以确定生产任务的优先级顺序，从而合理安排排罐顺序。</w:t>
      </w:r>
    </w:p>
    <w:p w14:paraId="610E2E65">
      <w:pPr>
        <w:pStyle w:val="7"/>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4.2产能原则</w:t>
      </w:r>
    </w:p>
    <w:p w14:paraId="129344BC">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排罐计划需要综合考虑交付周期、物料、技术和生产线等因素，以确保产能的充分利用。</w:t>
      </w:r>
    </w:p>
    <w:p w14:paraId="1F9F273D">
      <w:pPr>
        <w:pStyle w:val="7"/>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4.3成本控制原则</w:t>
      </w:r>
    </w:p>
    <w:p w14:paraId="1A20C491">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排罐计划根据各零件所对应的固化程序合理并罐，提高生产效率，实现成本控制。</w:t>
      </w:r>
    </w:p>
    <w:p w14:paraId="401580BF">
      <w:pPr>
        <w:pStyle w:val="6"/>
        <w:numPr>
          <w:ilvl w:val="0"/>
          <w:numId w:val="1"/>
        </w:numPr>
        <w:bidi w:val="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排罐条件：</w:t>
      </w:r>
    </w:p>
    <w:p w14:paraId="198E7804">
      <w:pPr>
        <w:widowControl w:val="0"/>
        <w:numPr>
          <w:numId w:val="0"/>
        </w:numPr>
        <w:jc w:val="both"/>
        <w:rPr>
          <w:rFonts w:hint="eastAsia"/>
          <w:lang w:val="en-US" w:eastAsia="zh-CN"/>
        </w:rPr>
      </w:pPr>
      <w:r>
        <w:rPr>
          <w:rFonts w:hint="eastAsia" w:asciiTheme="minorEastAsia" w:hAnsiTheme="minorEastAsia" w:eastAsiaTheme="minorEastAsia" w:cstheme="minorEastAsia"/>
          <w:lang w:val="en-US" w:eastAsia="zh-CN"/>
        </w:rPr>
        <w:drawing>
          <wp:inline distT="0" distB="0" distL="114300" distR="114300">
            <wp:extent cx="4699635" cy="2043430"/>
            <wp:effectExtent l="0" t="6350" r="0" b="7620"/>
            <wp:docPr id="26" name="图示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 r:lo="rId5" r:qs="rId6" r:cs="rId7"/>
              </a:graphicData>
            </a:graphic>
          </wp:inline>
        </w:drawing>
      </w:r>
    </w:p>
    <w:p w14:paraId="78BFA1BF">
      <w:pPr>
        <w:widowControl w:val="0"/>
        <w:numPr>
          <w:numId w:val="0"/>
        </w:numPr>
        <w:jc w:val="both"/>
        <w:rPr>
          <w:rFonts w:hint="eastAsia"/>
          <w:lang w:val="en-US" w:eastAsia="zh-CN"/>
        </w:rPr>
      </w:pPr>
    </w:p>
    <w:p w14:paraId="22822DBD">
      <w:pPr>
        <w:widowControl w:val="0"/>
        <w:numPr>
          <w:numId w:val="0"/>
        </w:numPr>
        <w:jc w:val="both"/>
        <w:rPr>
          <w:rFonts w:hint="eastAsia"/>
          <w:lang w:val="en-US" w:eastAsia="zh-CN"/>
        </w:rPr>
      </w:pPr>
    </w:p>
    <w:p w14:paraId="2143B9AD">
      <w:pPr>
        <w:pStyle w:val="7"/>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5.1核对物料</w:t>
      </w:r>
    </w:p>
    <w:p w14:paraId="02A76BAA">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根据《物料计算模板》（附件1）零件图号对应的物料编号查询</w:t>
      </w:r>
      <w:r>
        <w:rPr>
          <w:rFonts w:hint="eastAsia" w:asciiTheme="minorEastAsia" w:hAnsiTheme="minorEastAsia" w:cstheme="minorEastAsia"/>
          <w:sz w:val="24"/>
          <w:szCs w:val="24"/>
          <w:lang w:val="en-US" w:eastAsia="zh-CN"/>
        </w:rPr>
        <w:t>物料库存</w:t>
      </w:r>
      <w:r>
        <w:rPr>
          <w:rFonts w:hint="eastAsia" w:asciiTheme="minorEastAsia" w:hAnsiTheme="minorEastAsia" w:cstheme="minorEastAsia"/>
          <w:sz w:val="24"/>
          <w:szCs w:val="24"/>
          <w:lang w:val="en-US" w:eastAsia="zh-CN"/>
        </w:rPr>
        <w:t>、子件库存等，与物资保障部物料协调员黄吉核对物料现有库存情况是否满足投产需求，识别开工前缺料风险，确保原材料充足和手续完善，保证开工前置条件。</w:t>
      </w:r>
    </w:p>
    <w:p w14:paraId="5E2E19A3">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其他物料查询方法：</w:t>
      </w:r>
      <w:r>
        <w:rPr>
          <w:rFonts w:hint="eastAsia" w:asciiTheme="minorEastAsia" w:hAnsiTheme="minorEastAsia" w:cstheme="minorEastAsia"/>
          <w:sz w:val="24"/>
          <w:szCs w:val="24"/>
          <w:lang w:val="en-US" w:eastAsia="zh-CN"/>
        </w:rPr>
        <w:t>192.168.19.220发放区，</w:t>
      </w:r>
      <w:r>
        <w:rPr>
          <w:rFonts w:hint="eastAsia" w:asciiTheme="minorEastAsia" w:hAnsiTheme="minorEastAsia" w:cstheme="minorEastAsia"/>
          <w:sz w:val="24"/>
          <w:szCs w:val="24"/>
          <w:lang w:val="en-US" w:eastAsia="zh-CN"/>
        </w:rPr>
        <w:t>秦岭子件库存帐、</w:t>
      </w:r>
      <w:r>
        <w:rPr>
          <w:rFonts w:hint="eastAsia" w:asciiTheme="minorEastAsia" w:hAnsiTheme="minorEastAsia" w:cstheme="minorEastAsia"/>
          <w:sz w:val="24"/>
          <w:szCs w:val="24"/>
          <w:lang w:val="en-US" w:eastAsia="zh-CN"/>
        </w:rPr>
        <w:t>杨秋实蜂窝帐。</w:t>
      </w:r>
    </w:p>
    <w:p w14:paraId="119904D5">
      <w:pPr>
        <w:pStyle w:val="7"/>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5.2工装准备</w:t>
      </w:r>
    </w:p>
    <w:p w14:paraId="045DBDE4">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依据经营发展部下达的订单，与物资保障部沟通工装状态是否满足投产要求，跟踪至物资保障部使工装达到满足开工前合格状态。</w:t>
      </w:r>
    </w:p>
    <w:p w14:paraId="27B70563">
      <w:pPr>
        <w:pStyle w:val="7"/>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5.3文件准备</w:t>
      </w:r>
    </w:p>
    <w:p w14:paraId="1943140E">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5.3.1开工前需要准备的文件：</w:t>
      </w:r>
    </w:p>
    <w:p w14:paraId="2A99E804">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1.经营发展部《销售订单》。</w:t>
      </w:r>
    </w:p>
    <w:p w14:paraId="78F2DE24">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2.工程技术部《</w:t>
      </w:r>
      <w:r>
        <w:rPr>
          <w:rFonts w:hint="eastAsia" w:asciiTheme="minorEastAsia" w:hAnsiTheme="minorEastAsia" w:cstheme="minorEastAsia"/>
          <w:sz w:val="24"/>
          <w:szCs w:val="24"/>
          <w:lang w:val="en-US" w:eastAsia="zh-CN"/>
        </w:rPr>
        <w:t>工艺制造大纲》、《工艺规程》、《检验规程》、BOM文件等，</w:t>
      </w:r>
      <w:r>
        <w:rPr>
          <w:rFonts w:hint="eastAsia" w:asciiTheme="minorEastAsia" w:hAnsiTheme="minorEastAsia" w:cstheme="minorEastAsia"/>
          <w:sz w:val="24"/>
          <w:szCs w:val="24"/>
          <w:lang w:val="en-US" w:eastAsia="zh-CN"/>
        </w:rPr>
        <w:t>《下料程序和投影程序》，</w:t>
      </w:r>
      <w:r>
        <w:rPr>
          <w:rFonts w:hint="eastAsia" w:asciiTheme="minorEastAsia" w:hAnsiTheme="minorEastAsia" w:cstheme="minorEastAsia"/>
          <w:sz w:val="24"/>
          <w:szCs w:val="24"/>
          <w:lang w:val="en-US" w:eastAsia="zh-CN"/>
        </w:rPr>
        <w:t>有构改、图纸升版等，涉及首检的零件工艺下发《首检通知》等。</w:t>
      </w:r>
    </w:p>
    <w:p w14:paraId="6F8CB12F">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3.同步检验进行编制《首检报告》，部分需要客检的零件，联系客户选客检点。</w:t>
      </w:r>
    </w:p>
    <w:p w14:paraId="38A3340A">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附件1：</w:t>
      </w:r>
    </w:p>
    <w:p w14:paraId="60813FAC">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drawing>
          <wp:anchor distT="0" distB="0" distL="114300" distR="114300" simplePos="0" relativeHeight="251659264" behindDoc="1" locked="0" layoutInCell="1" allowOverlap="1">
            <wp:simplePos x="0" y="0"/>
            <wp:positionH relativeFrom="column">
              <wp:posOffset>-8890</wp:posOffset>
            </wp:positionH>
            <wp:positionV relativeFrom="paragraph">
              <wp:posOffset>93345</wp:posOffset>
            </wp:positionV>
            <wp:extent cx="5265420" cy="986790"/>
            <wp:effectExtent l="0" t="0" r="11430" b="3810"/>
            <wp:wrapTight wrapText="bothSides">
              <wp:wrapPolygon>
                <wp:start x="0" y="0"/>
                <wp:lineTo x="0" y="21266"/>
                <wp:lineTo x="21491" y="21266"/>
                <wp:lineTo x="21491" y="0"/>
                <wp:lineTo x="0" y="0"/>
              </wp:wrapPolygon>
            </wp:wrapTight>
            <wp:docPr id="17" name="图片 17" descr="截图2025081419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截图20250814191550"/>
                    <pic:cNvPicPr>
                      <a:picLocks noChangeAspect="1"/>
                    </pic:cNvPicPr>
                  </pic:nvPicPr>
                  <pic:blipFill>
                    <a:blip r:embed="rId9"/>
                    <a:stretch>
                      <a:fillRect/>
                    </a:stretch>
                  </pic:blipFill>
                  <pic:spPr>
                    <a:xfrm>
                      <a:off x="0" y="0"/>
                      <a:ext cx="5265420" cy="986790"/>
                    </a:xfrm>
                    <a:prstGeom prst="rect">
                      <a:avLst/>
                    </a:prstGeom>
                  </pic:spPr>
                </pic:pic>
              </a:graphicData>
            </a:graphic>
          </wp:anchor>
        </w:drawing>
      </w:r>
      <w:r>
        <w:drawing>
          <wp:inline distT="0" distB="0" distL="114300" distR="114300">
            <wp:extent cx="635" cy="0"/>
            <wp:effectExtent l="0" t="0" r="0" b="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10"/>
                    <a:stretch>
                      <a:fillRect/>
                    </a:stretch>
                  </pic:blipFill>
                  <pic:spPr>
                    <a:xfrm>
                      <a:off x="0" y="0"/>
                      <a:ext cx="635" cy="0"/>
                    </a:xfrm>
                    <a:prstGeom prst="rect">
                      <a:avLst/>
                    </a:prstGeom>
                    <a:noFill/>
                    <a:ln>
                      <a:noFill/>
                    </a:ln>
                  </pic:spPr>
                </pic:pic>
              </a:graphicData>
            </a:graphic>
          </wp:inline>
        </w:drawing>
      </w:r>
    </w:p>
    <w:p w14:paraId="0476E576">
      <w:pPr>
        <w:keepNext w:val="0"/>
        <w:keepLines w:val="0"/>
        <w:pageBreakBefore w:val="0"/>
        <w:widowControl w:val="0"/>
        <w:tabs>
          <w:tab w:val="left" w:pos="628"/>
        </w:tabs>
        <w:kinsoku/>
        <w:wordWrap/>
        <w:overflowPunct/>
        <w:topLinePunct w:val="0"/>
        <w:autoSpaceDE/>
        <w:autoSpaceDN/>
        <w:bidi w:val="0"/>
        <w:adjustRightInd/>
        <w:snapToGrid/>
        <w:spacing w:before="157" w:beforeLines="50" w:after="157" w:afterLines="50" w:line="360" w:lineRule="auto"/>
        <w:textAlignment w:val="auto"/>
        <w:rPr>
          <w:rFonts w:hint="eastAsia" w:asciiTheme="minorEastAsia" w:hAnsiTheme="minorEastAsia" w:eastAsiaTheme="minorEastAsia" w:cstheme="minorEastAsia"/>
          <w:sz w:val="24"/>
          <w:szCs w:val="24"/>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ExtB">
    <w:panose1 w:val="02010609060101010101"/>
    <w:charset w:val="86"/>
    <w:family w:val="auto"/>
    <w:pitch w:val="default"/>
    <w:sig w:usb0="00000001" w:usb1="02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098326"/>
    <w:multiLevelType w:val="singleLevel"/>
    <w:tmpl w:val="F1098326"/>
    <w:lvl w:ilvl="0" w:tentative="0">
      <w:start w:val="5"/>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0158D6"/>
    <w:rsid w:val="0128206B"/>
    <w:rsid w:val="01BB3CD7"/>
    <w:rsid w:val="023870D5"/>
    <w:rsid w:val="02A824AD"/>
    <w:rsid w:val="03100052"/>
    <w:rsid w:val="03127926"/>
    <w:rsid w:val="031C0676"/>
    <w:rsid w:val="031C69F7"/>
    <w:rsid w:val="032F04D8"/>
    <w:rsid w:val="03B22EB7"/>
    <w:rsid w:val="046248DD"/>
    <w:rsid w:val="04D94B9F"/>
    <w:rsid w:val="05672833"/>
    <w:rsid w:val="05A30D0A"/>
    <w:rsid w:val="05B178CA"/>
    <w:rsid w:val="05C72C4A"/>
    <w:rsid w:val="05DC421B"/>
    <w:rsid w:val="064249C6"/>
    <w:rsid w:val="06522D84"/>
    <w:rsid w:val="06C947A0"/>
    <w:rsid w:val="06D373CC"/>
    <w:rsid w:val="070659F4"/>
    <w:rsid w:val="07267E44"/>
    <w:rsid w:val="07274F68"/>
    <w:rsid w:val="07391925"/>
    <w:rsid w:val="07D57174"/>
    <w:rsid w:val="084D31AF"/>
    <w:rsid w:val="088017D6"/>
    <w:rsid w:val="08DA7138"/>
    <w:rsid w:val="09694018"/>
    <w:rsid w:val="09D21BBD"/>
    <w:rsid w:val="0A1C108A"/>
    <w:rsid w:val="0B3A3EBE"/>
    <w:rsid w:val="0B3A5C6C"/>
    <w:rsid w:val="0B4275FD"/>
    <w:rsid w:val="0B6E5916"/>
    <w:rsid w:val="0B9335CE"/>
    <w:rsid w:val="0BBC2B25"/>
    <w:rsid w:val="0BEB7E43"/>
    <w:rsid w:val="0D091D9A"/>
    <w:rsid w:val="0E0662D9"/>
    <w:rsid w:val="0FAB7138"/>
    <w:rsid w:val="0FDD12BC"/>
    <w:rsid w:val="104355C3"/>
    <w:rsid w:val="114F1D45"/>
    <w:rsid w:val="1182036D"/>
    <w:rsid w:val="11C10E95"/>
    <w:rsid w:val="1226519C"/>
    <w:rsid w:val="12695089"/>
    <w:rsid w:val="12971BF6"/>
    <w:rsid w:val="12C3739E"/>
    <w:rsid w:val="139D148E"/>
    <w:rsid w:val="139F5206"/>
    <w:rsid w:val="13AB0346"/>
    <w:rsid w:val="1446099E"/>
    <w:rsid w:val="145F04F1"/>
    <w:rsid w:val="1461070D"/>
    <w:rsid w:val="14F0383F"/>
    <w:rsid w:val="150C68CB"/>
    <w:rsid w:val="15230E5A"/>
    <w:rsid w:val="159348F7"/>
    <w:rsid w:val="15A20FDE"/>
    <w:rsid w:val="15BE749A"/>
    <w:rsid w:val="15D05B4B"/>
    <w:rsid w:val="16E64EFA"/>
    <w:rsid w:val="16F13FCB"/>
    <w:rsid w:val="17005FBC"/>
    <w:rsid w:val="17127A9D"/>
    <w:rsid w:val="17377504"/>
    <w:rsid w:val="17E92EF4"/>
    <w:rsid w:val="18C578F1"/>
    <w:rsid w:val="19C40CA7"/>
    <w:rsid w:val="1A4E5290"/>
    <w:rsid w:val="1B210BF7"/>
    <w:rsid w:val="1BDB2B53"/>
    <w:rsid w:val="1BEA0FE8"/>
    <w:rsid w:val="1DA63635"/>
    <w:rsid w:val="1EFF124F"/>
    <w:rsid w:val="1F3C1B5B"/>
    <w:rsid w:val="1FB42039"/>
    <w:rsid w:val="21BC3427"/>
    <w:rsid w:val="2205092A"/>
    <w:rsid w:val="222B4109"/>
    <w:rsid w:val="223B259E"/>
    <w:rsid w:val="233D2346"/>
    <w:rsid w:val="24A00092"/>
    <w:rsid w:val="24E9651D"/>
    <w:rsid w:val="250A6257"/>
    <w:rsid w:val="25157034"/>
    <w:rsid w:val="253B4663"/>
    <w:rsid w:val="25C1184C"/>
    <w:rsid w:val="25C94365"/>
    <w:rsid w:val="25DC7BF4"/>
    <w:rsid w:val="2634314B"/>
    <w:rsid w:val="26551754"/>
    <w:rsid w:val="26BA7707"/>
    <w:rsid w:val="26D46B1D"/>
    <w:rsid w:val="27960276"/>
    <w:rsid w:val="27AF64EB"/>
    <w:rsid w:val="27E70AD2"/>
    <w:rsid w:val="28173165"/>
    <w:rsid w:val="289E73E3"/>
    <w:rsid w:val="29A21154"/>
    <w:rsid w:val="29AE5D4B"/>
    <w:rsid w:val="2A9E783A"/>
    <w:rsid w:val="2B053749"/>
    <w:rsid w:val="2B2D7144"/>
    <w:rsid w:val="2C0150D2"/>
    <w:rsid w:val="2C444745"/>
    <w:rsid w:val="2D6B0AEA"/>
    <w:rsid w:val="2DB35827"/>
    <w:rsid w:val="2DB80F46"/>
    <w:rsid w:val="2E440A2C"/>
    <w:rsid w:val="2F326AD7"/>
    <w:rsid w:val="2FBC2844"/>
    <w:rsid w:val="300761B5"/>
    <w:rsid w:val="32562ADC"/>
    <w:rsid w:val="32CC0FF0"/>
    <w:rsid w:val="32D54349"/>
    <w:rsid w:val="333D0CF3"/>
    <w:rsid w:val="335A2AA0"/>
    <w:rsid w:val="341E106E"/>
    <w:rsid w:val="34545741"/>
    <w:rsid w:val="34A75871"/>
    <w:rsid w:val="35A74E98"/>
    <w:rsid w:val="36174C78"/>
    <w:rsid w:val="366854D4"/>
    <w:rsid w:val="36857E34"/>
    <w:rsid w:val="36B204FD"/>
    <w:rsid w:val="37944455"/>
    <w:rsid w:val="379522F8"/>
    <w:rsid w:val="37F76B0F"/>
    <w:rsid w:val="388F0AF6"/>
    <w:rsid w:val="3942025E"/>
    <w:rsid w:val="396C52DB"/>
    <w:rsid w:val="39F07A29"/>
    <w:rsid w:val="3ABB064D"/>
    <w:rsid w:val="3B6A75F8"/>
    <w:rsid w:val="3B844B5E"/>
    <w:rsid w:val="3BC62A80"/>
    <w:rsid w:val="3C0435A9"/>
    <w:rsid w:val="3C666012"/>
    <w:rsid w:val="3D0D46DF"/>
    <w:rsid w:val="3D3D6D72"/>
    <w:rsid w:val="3D6B131E"/>
    <w:rsid w:val="3DA04A66"/>
    <w:rsid w:val="3DD35929"/>
    <w:rsid w:val="3E53527A"/>
    <w:rsid w:val="3F397A0D"/>
    <w:rsid w:val="40460634"/>
    <w:rsid w:val="4047615A"/>
    <w:rsid w:val="40630DFF"/>
    <w:rsid w:val="41510BA5"/>
    <w:rsid w:val="41596145"/>
    <w:rsid w:val="423C1CEE"/>
    <w:rsid w:val="43417FD4"/>
    <w:rsid w:val="447A35EE"/>
    <w:rsid w:val="46C67DD9"/>
    <w:rsid w:val="473C009B"/>
    <w:rsid w:val="47BB36B5"/>
    <w:rsid w:val="47E50732"/>
    <w:rsid w:val="47EA3F9B"/>
    <w:rsid w:val="47EC7D13"/>
    <w:rsid w:val="4854729D"/>
    <w:rsid w:val="48D367DD"/>
    <w:rsid w:val="49153299"/>
    <w:rsid w:val="4AF018C8"/>
    <w:rsid w:val="4B182BCD"/>
    <w:rsid w:val="4BA83F51"/>
    <w:rsid w:val="4C9A41A0"/>
    <w:rsid w:val="4CBF31D3"/>
    <w:rsid w:val="4CE76CFB"/>
    <w:rsid w:val="4D622825"/>
    <w:rsid w:val="4E6948AF"/>
    <w:rsid w:val="4E704ACE"/>
    <w:rsid w:val="4E916F1E"/>
    <w:rsid w:val="4EBB21ED"/>
    <w:rsid w:val="4EC45545"/>
    <w:rsid w:val="4F352164"/>
    <w:rsid w:val="4FA64C4B"/>
    <w:rsid w:val="4FF5172F"/>
    <w:rsid w:val="508807F5"/>
    <w:rsid w:val="50D94BAC"/>
    <w:rsid w:val="51142088"/>
    <w:rsid w:val="518E3BE9"/>
    <w:rsid w:val="51AD1A9E"/>
    <w:rsid w:val="51D81308"/>
    <w:rsid w:val="52036385"/>
    <w:rsid w:val="53057EDB"/>
    <w:rsid w:val="539B25ED"/>
    <w:rsid w:val="53F00B8B"/>
    <w:rsid w:val="541F4FCC"/>
    <w:rsid w:val="542919A7"/>
    <w:rsid w:val="545E3D46"/>
    <w:rsid w:val="545E66EF"/>
    <w:rsid w:val="54BC0A6D"/>
    <w:rsid w:val="555E38D2"/>
    <w:rsid w:val="56CA56C3"/>
    <w:rsid w:val="57415259"/>
    <w:rsid w:val="57E3666D"/>
    <w:rsid w:val="581110D0"/>
    <w:rsid w:val="58474AF1"/>
    <w:rsid w:val="5886561A"/>
    <w:rsid w:val="58EF7663"/>
    <w:rsid w:val="592D1F39"/>
    <w:rsid w:val="596A0A97"/>
    <w:rsid w:val="59E92304"/>
    <w:rsid w:val="5A875679"/>
    <w:rsid w:val="5AEB20AC"/>
    <w:rsid w:val="5B3D0C3A"/>
    <w:rsid w:val="5B5C4D58"/>
    <w:rsid w:val="5BE865EB"/>
    <w:rsid w:val="5D0C00B7"/>
    <w:rsid w:val="5DFC012C"/>
    <w:rsid w:val="5E355878"/>
    <w:rsid w:val="5E767EDE"/>
    <w:rsid w:val="5EA20CD3"/>
    <w:rsid w:val="5EAB402C"/>
    <w:rsid w:val="5F245B8C"/>
    <w:rsid w:val="5F9A7BFD"/>
    <w:rsid w:val="601479AF"/>
    <w:rsid w:val="60A30D33"/>
    <w:rsid w:val="62456545"/>
    <w:rsid w:val="62B553E2"/>
    <w:rsid w:val="65167D25"/>
    <w:rsid w:val="65501489"/>
    <w:rsid w:val="65A417D5"/>
    <w:rsid w:val="6632293D"/>
    <w:rsid w:val="664902DE"/>
    <w:rsid w:val="6686712D"/>
    <w:rsid w:val="66EF082E"/>
    <w:rsid w:val="67AE693B"/>
    <w:rsid w:val="69DA35D5"/>
    <w:rsid w:val="6A242EE4"/>
    <w:rsid w:val="6A2D7FEB"/>
    <w:rsid w:val="6B721A2E"/>
    <w:rsid w:val="6BE4292B"/>
    <w:rsid w:val="6DB12CE1"/>
    <w:rsid w:val="6E4476B1"/>
    <w:rsid w:val="6E645FA5"/>
    <w:rsid w:val="6E9C573F"/>
    <w:rsid w:val="6ECD58F9"/>
    <w:rsid w:val="6FF173C5"/>
    <w:rsid w:val="6FFE7D34"/>
    <w:rsid w:val="703379DD"/>
    <w:rsid w:val="70C745CA"/>
    <w:rsid w:val="71453E6C"/>
    <w:rsid w:val="715220E5"/>
    <w:rsid w:val="71685DAD"/>
    <w:rsid w:val="71722787"/>
    <w:rsid w:val="728C7879"/>
    <w:rsid w:val="72A66B8C"/>
    <w:rsid w:val="72FB055A"/>
    <w:rsid w:val="73221F8B"/>
    <w:rsid w:val="733A72D5"/>
    <w:rsid w:val="738467A2"/>
    <w:rsid w:val="738A200A"/>
    <w:rsid w:val="75A86778"/>
    <w:rsid w:val="76C770D1"/>
    <w:rsid w:val="78342545"/>
    <w:rsid w:val="78713D13"/>
    <w:rsid w:val="793B7903"/>
    <w:rsid w:val="79984D55"/>
    <w:rsid w:val="7A334AE4"/>
    <w:rsid w:val="7A6A66F1"/>
    <w:rsid w:val="7AF406B1"/>
    <w:rsid w:val="7C330D65"/>
    <w:rsid w:val="7C352D2F"/>
    <w:rsid w:val="7CB93960"/>
    <w:rsid w:val="7CBC6FAC"/>
    <w:rsid w:val="7D5471E5"/>
    <w:rsid w:val="7DAD3733"/>
    <w:rsid w:val="7E5F22E5"/>
    <w:rsid w:val="7E892F73"/>
    <w:rsid w:val="7EED5B43"/>
    <w:rsid w:val="7F89586C"/>
    <w:rsid w:val="7F912972"/>
    <w:rsid w:val="7F9B7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microsoft.com/office/2007/relationships/diagramDrawing" Target="diagrams/drawing1.xml"/><Relationship Id="rId7" Type="http://schemas.openxmlformats.org/officeDocument/2006/relationships/diagramColors" Target="diagrams/colors1.xml"/><Relationship Id="rId6" Type="http://schemas.openxmlformats.org/officeDocument/2006/relationships/diagramQuickStyle" Target="diagrams/quickStyle1.xml"/><Relationship Id="rId5" Type="http://schemas.openxmlformats.org/officeDocument/2006/relationships/diagramLayout" Target="diagrams/layout1.xml"/><Relationship Id="rId4" Type="http://schemas.openxmlformats.org/officeDocument/2006/relationships/diagramData" Target="diagrams/data1.xml"/><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NUL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6068C167-2C01-4B0B-81C4-726248B418D0}" type="doc">
      <dgm:prSet loTypeId="urn:microsoft.com/office/officeart/2005/8/layout/radial4" loCatId="relationship" qsTypeId="urn:microsoft.com/office/officeart/2005/8/quickstyle/simple1" qsCatId="simple" csTypeId="urn:microsoft.com/office/officeart/2005/8/colors/accent1_2" csCatId="accent1" phldr="0"/>
      <dgm:spPr/>
      <dgm:t>
        <a:bodyPr/>
        <a:p>
          <a:endParaRPr lang="zh-CN" altLang="en-US"/>
        </a:p>
      </dgm:t>
    </dgm:pt>
    <dgm:pt modelId="{1D7F6E08-72A6-46CC-8870-C881D1493500}">
      <dgm:prSet phldrT="[文本]" phldr="0" custT="0"/>
      <dgm:spPr/>
      <dgm:t>
        <a:bodyPr vert="horz" wrap="square"/>
        <a:p>
          <a:pPr>
            <a:lnSpc>
              <a:spcPct val="100000"/>
            </a:lnSpc>
            <a:spcBef>
              <a:spcPct val="0"/>
            </a:spcBef>
            <a:spcAft>
              <a:spcPct val="35000"/>
            </a:spcAft>
          </a:pPr>
          <a:r>
            <a:rPr lang="zh-CN" altLang="en-US"/>
            <a:t>罐前计划</a:t>
          </a:r>
          <a:r>
            <a:rPr lang="zh-CN" altLang="en-US"/>
            <a:t/>
          </a:r>
          <a:endParaRPr lang="zh-CN" altLang="en-US"/>
        </a:p>
      </dgm:t>
    </dgm:pt>
    <dgm:pt modelId="{59A2FE02-4165-4339-BF9A-AEAE1424E52B}" cxnId="{9A472AC2-EBBB-4F80-9112-D3669985CF72}" type="parTrans">
      <dgm:prSet/>
      <dgm:spPr/>
      <dgm:t>
        <a:bodyPr/>
        <a:p>
          <a:endParaRPr lang="zh-CN" altLang="en-US"/>
        </a:p>
      </dgm:t>
    </dgm:pt>
    <dgm:pt modelId="{E44612D1-CAFE-4D30-B4AA-78C3474158AA}" cxnId="{9A472AC2-EBBB-4F80-9112-D3669985CF72}" type="sibTrans">
      <dgm:prSet/>
      <dgm:spPr/>
      <dgm:t>
        <a:bodyPr/>
        <a:p>
          <a:endParaRPr lang="zh-CN" altLang="en-US"/>
        </a:p>
      </dgm:t>
    </dgm:pt>
    <dgm:pt modelId="{D15727BE-4BB4-41E2-BFCD-1CE00CE9A014}">
      <dgm:prSet phldrT="[文本]" phldr="0" custT="0"/>
      <dgm:spPr/>
      <dgm:t>
        <a:bodyPr vert="horz" wrap="square"/>
        <a:p>
          <a:pPr>
            <a:lnSpc>
              <a:spcPct val="100000"/>
            </a:lnSpc>
            <a:spcBef>
              <a:spcPct val="0"/>
            </a:spcBef>
            <a:spcAft>
              <a:spcPct val="35000"/>
            </a:spcAft>
          </a:pPr>
          <a:r>
            <a:rPr lang="zh-CN" altLang="en-US"/>
            <a:t>核对</a:t>
          </a:r>
          <a:r>
            <a:rPr lang="zh-CN" altLang="en-US"/>
            <a:t>物料</a:t>
          </a:r>
          <a:r>
            <a:rPr lang="zh-CN" altLang="en-US"/>
            <a:t/>
          </a:r>
          <a:endParaRPr lang="zh-CN" altLang="en-US"/>
        </a:p>
      </dgm:t>
    </dgm:pt>
    <dgm:pt modelId="{1F3BA15B-B772-426D-8549-F05D47B0B0FC}" cxnId="{21DD9ED7-1048-489D-9CF3-7A9A299ACC83}" type="parTrans">
      <dgm:prSet/>
      <dgm:spPr/>
      <dgm:t>
        <a:bodyPr/>
        <a:p>
          <a:endParaRPr lang="zh-CN" altLang="en-US"/>
        </a:p>
      </dgm:t>
    </dgm:pt>
    <dgm:pt modelId="{021F6AB3-21C2-4079-A40A-CA1B5C51BD93}" cxnId="{21DD9ED7-1048-489D-9CF3-7A9A299ACC83}" type="sibTrans">
      <dgm:prSet/>
      <dgm:spPr/>
      <dgm:t>
        <a:bodyPr/>
        <a:p>
          <a:endParaRPr lang="zh-CN" altLang="en-US"/>
        </a:p>
      </dgm:t>
    </dgm:pt>
    <dgm:pt modelId="{24DAAE02-02E7-4412-8074-A0C4CAA380D7}">
      <dgm:prSet phldrT="[文本]" phldr="0" custT="0"/>
      <dgm:spPr/>
      <dgm:t>
        <a:bodyPr vert="horz" wrap="square"/>
        <a:p>
          <a:pPr>
            <a:lnSpc>
              <a:spcPct val="100000"/>
            </a:lnSpc>
            <a:spcBef>
              <a:spcPct val="0"/>
            </a:spcBef>
            <a:spcAft>
              <a:spcPct val="35000"/>
            </a:spcAft>
          </a:pPr>
          <a:r>
            <a:rPr lang="zh-CN" altLang="en-US"/>
            <a:t>工装</a:t>
          </a:r>
          <a:r>
            <a:rPr lang="zh-CN" altLang="en-US"/>
            <a:t>准备</a:t>
          </a:r>
          <a:r>
            <a:rPr lang="zh-CN" altLang="en-US"/>
            <a:t/>
          </a:r>
          <a:endParaRPr lang="zh-CN" altLang="en-US"/>
        </a:p>
      </dgm:t>
    </dgm:pt>
    <dgm:pt modelId="{A85E77B5-A1A5-43C8-9868-413E99F101A0}" cxnId="{F3475EED-6171-4310-90E0-DBC6367877A4}" type="parTrans">
      <dgm:prSet/>
      <dgm:spPr/>
      <dgm:t>
        <a:bodyPr/>
        <a:p>
          <a:endParaRPr lang="zh-CN" altLang="en-US"/>
        </a:p>
      </dgm:t>
    </dgm:pt>
    <dgm:pt modelId="{E253A3F8-AA58-4BB8-A0BD-0BB7ECC546C3}" cxnId="{F3475EED-6171-4310-90E0-DBC6367877A4}" type="sibTrans">
      <dgm:prSet/>
      <dgm:spPr/>
      <dgm:t>
        <a:bodyPr/>
        <a:p>
          <a:endParaRPr lang="zh-CN" altLang="en-US"/>
        </a:p>
      </dgm:t>
    </dgm:pt>
    <dgm:pt modelId="{A5880797-7454-4E44-8518-F4D8354F0963}">
      <dgm:prSet phldrT="[文本]" phldr="0" custT="0"/>
      <dgm:spPr/>
      <dgm:t>
        <a:bodyPr vert="horz" wrap="square"/>
        <a:p>
          <a:pPr>
            <a:lnSpc>
              <a:spcPct val="100000"/>
            </a:lnSpc>
            <a:spcBef>
              <a:spcPct val="0"/>
            </a:spcBef>
            <a:spcAft>
              <a:spcPct val="35000"/>
            </a:spcAft>
          </a:pPr>
          <a:r>
            <a:rPr lang="zh-CN" altLang="en-US"/>
            <a:t>文件</a:t>
          </a:r>
          <a:r>
            <a:rPr lang="zh-CN" altLang="en-US"/>
            <a:t>准备</a:t>
          </a:r>
          <a:r>
            <a:rPr lang="zh-CN" altLang="en-US"/>
            <a:t/>
          </a:r>
          <a:endParaRPr lang="zh-CN" altLang="en-US"/>
        </a:p>
      </dgm:t>
    </dgm:pt>
    <dgm:pt modelId="{96CD46E7-D239-40C7-B5C4-376FEEE43C15}" cxnId="{E2B6DF30-756B-4697-8639-E977FE94698E}" type="parTrans">
      <dgm:prSet/>
      <dgm:spPr/>
      <dgm:t>
        <a:bodyPr/>
        <a:p>
          <a:endParaRPr lang="zh-CN" altLang="en-US"/>
        </a:p>
      </dgm:t>
    </dgm:pt>
    <dgm:pt modelId="{0076998F-56E1-4A10-A709-E2811BD7C4FB}" cxnId="{E2B6DF30-756B-4697-8639-E977FE94698E}" type="sibTrans">
      <dgm:prSet/>
      <dgm:spPr/>
      <dgm:t>
        <a:bodyPr/>
        <a:p>
          <a:endParaRPr lang="zh-CN" altLang="en-US"/>
        </a:p>
      </dgm:t>
    </dgm:pt>
    <dgm:pt modelId="{CF42B0CB-CDDD-42A1-B3A1-FBB34F262C63}" type="pres">
      <dgm:prSet presAssocID="{6068C167-2C01-4B0B-81C4-726248B418D0}" presName="cycle" presStyleCnt="0">
        <dgm:presLayoutVars>
          <dgm:chMax val="1"/>
          <dgm:dir/>
          <dgm:animLvl val="ctr"/>
          <dgm:resizeHandles val="exact"/>
        </dgm:presLayoutVars>
      </dgm:prSet>
      <dgm:spPr/>
    </dgm:pt>
    <dgm:pt modelId="{B52502C2-594A-4A13-A5FF-5CD5841BD847}" type="pres">
      <dgm:prSet presAssocID="{1D7F6E08-72A6-46CC-8870-C881D1493500}" presName="centerShape" presStyleLbl="node0" presStyleIdx="0" presStyleCnt="1"/>
      <dgm:spPr/>
    </dgm:pt>
    <dgm:pt modelId="{B849A6F3-9933-4C36-AF65-6098308CBC3C}" type="pres">
      <dgm:prSet presAssocID="{1F3BA15B-B772-426D-8549-F05D47B0B0FC}" presName="parTrans" presStyleLbl="bgSibTrans2D1" presStyleIdx="0" presStyleCnt="3"/>
      <dgm:spPr/>
    </dgm:pt>
    <dgm:pt modelId="{B1756079-1332-4090-9A47-D2C0EDB7FB22}" type="pres">
      <dgm:prSet presAssocID="{D15727BE-4BB4-41E2-BFCD-1CE00CE9A014}" presName="node" presStyleLbl="node1" presStyleIdx="0" presStyleCnt="3">
        <dgm:presLayoutVars>
          <dgm:bulletEnabled val="1"/>
        </dgm:presLayoutVars>
      </dgm:prSet>
      <dgm:spPr/>
    </dgm:pt>
    <dgm:pt modelId="{8A478794-BDE0-4AD6-9479-89CDBFC37EB7}" type="pres">
      <dgm:prSet presAssocID="{A85E77B5-A1A5-43C8-9868-413E99F101A0}" presName="parTrans" presStyleLbl="bgSibTrans2D1" presStyleIdx="1" presStyleCnt="3"/>
      <dgm:spPr/>
    </dgm:pt>
    <dgm:pt modelId="{3868CDED-247C-4EE9-95A2-ED400A267946}" type="pres">
      <dgm:prSet presAssocID="{24DAAE02-02E7-4412-8074-A0C4CAA380D7}" presName="node" presStyleLbl="node1" presStyleIdx="1" presStyleCnt="3">
        <dgm:presLayoutVars>
          <dgm:bulletEnabled val="1"/>
        </dgm:presLayoutVars>
      </dgm:prSet>
      <dgm:spPr/>
    </dgm:pt>
    <dgm:pt modelId="{D0718308-59AC-43E6-A882-4828EE4494C2}" type="pres">
      <dgm:prSet presAssocID="{96CD46E7-D239-40C7-B5C4-376FEEE43C15}" presName="parTrans" presStyleLbl="bgSibTrans2D1" presStyleIdx="2" presStyleCnt="3"/>
      <dgm:spPr/>
    </dgm:pt>
    <dgm:pt modelId="{5E0D0BC9-3E91-4623-8C1A-C4A70EB3594B}" type="pres">
      <dgm:prSet presAssocID="{A5880797-7454-4E44-8518-F4D8354F0963}" presName="node" presStyleLbl="node1" presStyleIdx="2" presStyleCnt="3">
        <dgm:presLayoutVars>
          <dgm:bulletEnabled val="1"/>
        </dgm:presLayoutVars>
      </dgm:prSet>
      <dgm:spPr/>
    </dgm:pt>
  </dgm:ptLst>
  <dgm:cxnLst>
    <dgm:cxn modelId="{9A472AC2-EBBB-4F80-9112-D3669985CF72}" srcId="{6068C167-2C01-4B0B-81C4-726248B418D0}" destId="{1D7F6E08-72A6-46CC-8870-C881D1493500}" srcOrd="0" destOrd="0" parTransId="{59A2FE02-4165-4339-BF9A-AEAE1424E52B}" sibTransId="{E44612D1-CAFE-4D30-B4AA-78C3474158AA}"/>
    <dgm:cxn modelId="{21DD9ED7-1048-489D-9CF3-7A9A299ACC83}" srcId="{1D7F6E08-72A6-46CC-8870-C881D1493500}" destId="{D15727BE-4BB4-41E2-BFCD-1CE00CE9A014}" srcOrd="0" destOrd="0" parTransId="{1F3BA15B-B772-426D-8549-F05D47B0B0FC}" sibTransId="{021F6AB3-21C2-4079-A40A-CA1B5C51BD93}"/>
    <dgm:cxn modelId="{F3475EED-6171-4310-90E0-DBC6367877A4}" srcId="{1D7F6E08-72A6-46CC-8870-C881D1493500}" destId="{24DAAE02-02E7-4412-8074-A0C4CAA380D7}" srcOrd="1" destOrd="0" parTransId="{A85E77B5-A1A5-43C8-9868-413E99F101A0}" sibTransId="{E253A3F8-AA58-4BB8-A0BD-0BB7ECC546C3}"/>
    <dgm:cxn modelId="{E2B6DF30-756B-4697-8639-E977FE94698E}" srcId="{1D7F6E08-72A6-46CC-8870-C881D1493500}" destId="{A5880797-7454-4E44-8518-F4D8354F0963}" srcOrd="2" destOrd="0" parTransId="{96CD46E7-D239-40C7-B5C4-376FEEE43C15}" sibTransId="{0076998F-56E1-4A10-A709-E2811BD7C4FB}"/>
    <dgm:cxn modelId="{39C704C5-E7D7-49E0-96D3-CEA6321FD853}" type="presOf" srcId="{6068C167-2C01-4B0B-81C4-726248B418D0}" destId="{CF42B0CB-CDDD-42A1-B3A1-FBB34F262C63}" srcOrd="0" destOrd="0" presId="urn:microsoft.com/office/officeart/2005/8/layout/radial4"/>
    <dgm:cxn modelId="{C7C182D4-651F-48D0-BB03-50F36992DE39}" type="presParOf" srcId="{CF42B0CB-CDDD-42A1-B3A1-FBB34F262C63}" destId="{B52502C2-594A-4A13-A5FF-5CD5841BD847}" srcOrd="0" destOrd="0" presId="urn:microsoft.com/office/officeart/2005/8/layout/radial4"/>
    <dgm:cxn modelId="{56EEF5A2-475E-4F62-BB93-5CEBE6649204}" type="presOf" srcId="{1D7F6E08-72A6-46CC-8870-C881D1493500}" destId="{B52502C2-594A-4A13-A5FF-5CD5841BD847}" srcOrd="0" destOrd="0" presId="urn:microsoft.com/office/officeart/2005/8/layout/radial4"/>
    <dgm:cxn modelId="{9FFB7873-AC9B-41AE-9E43-3F5A9873834C}" type="presParOf" srcId="{CF42B0CB-CDDD-42A1-B3A1-FBB34F262C63}" destId="{B849A6F3-9933-4C36-AF65-6098308CBC3C}" srcOrd="1" destOrd="0" presId="urn:microsoft.com/office/officeart/2005/8/layout/radial4"/>
    <dgm:cxn modelId="{0E72FDE3-37A6-4845-ADDE-30C23A6E7961}" type="presOf" srcId="{1F3BA15B-B772-426D-8549-F05D47B0B0FC}" destId="{B849A6F3-9933-4C36-AF65-6098308CBC3C}" srcOrd="0" destOrd="0" presId="urn:microsoft.com/office/officeart/2005/8/layout/radial4"/>
    <dgm:cxn modelId="{6F1D0FC9-AEB7-4C30-8A8E-9ED662FB69C1}" type="presParOf" srcId="{CF42B0CB-CDDD-42A1-B3A1-FBB34F262C63}" destId="{B1756079-1332-4090-9A47-D2C0EDB7FB22}" srcOrd="2" destOrd="0" presId="urn:microsoft.com/office/officeart/2005/8/layout/radial4"/>
    <dgm:cxn modelId="{A03E2D57-8C06-42D8-ACF4-C7687FA59167}" type="presOf" srcId="{D15727BE-4BB4-41E2-BFCD-1CE00CE9A014}" destId="{B1756079-1332-4090-9A47-D2C0EDB7FB22}" srcOrd="0" destOrd="0" presId="urn:microsoft.com/office/officeart/2005/8/layout/radial4"/>
    <dgm:cxn modelId="{0C0FDA72-01D2-4416-84AC-86693E5FC210}" type="presParOf" srcId="{CF42B0CB-CDDD-42A1-B3A1-FBB34F262C63}" destId="{8A478794-BDE0-4AD6-9479-89CDBFC37EB7}" srcOrd="3" destOrd="0" presId="urn:microsoft.com/office/officeart/2005/8/layout/radial4"/>
    <dgm:cxn modelId="{3EF5DF66-4A2F-4A83-89CA-8D2DE7823ABF}" type="presOf" srcId="{A85E77B5-A1A5-43C8-9868-413E99F101A0}" destId="{8A478794-BDE0-4AD6-9479-89CDBFC37EB7}" srcOrd="0" destOrd="0" presId="urn:microsoft.com/office/officeart/2005/8/layout/radial4"/>
    <dgm:cxn modelId="{5D87D79C-3C7A-4D4C-AE21-884DF4FA13DB}" type="presParOf" srcId="{CF42B0CB-CDDD-42A1-B3A1-FBB34F262C63}" destId="{3868CDED-247C-4EE9-95A2-ED400A267946}" srcOrd="4" destOrd="0" presId="urn:microsoft.com/office/officeart/2005/8/layout/radial4"/>
    <dgm:cxn modelId="{775A49A3-9FE4-4F02-BB0C-CC5406F30D3F}" type="presOf" srcId="{24DAAE02-02E7-4412-8074-A0C4CAA380D7}" destId="{3868CDED-247C-4EE9-95A2-ED400A267946}" srcOrd="0" destOrd="0" presId="urn:microsoft.com/office/officeart/2005/8/layout/radial4"/>
    <dgm:cxn modelId="{831503BB-9906-47BF-A989-FC6B340B0086}" type="presParOf" srcId="{CF42B0CB-CDDD-42A1-B3A1-FBB34F262C63}" destId="{D0718308-59AC-43E6-A882-4828EE4494C2}" srcOrd="5" destOrd="0" presId="urn:microsoft.com/office/officeart/2005/8/layout/radial4"/>
    <dgm:cxn modelId="{495F6508-0F51-4B47-B737-CF5A011F4FAD}" type="presOf" srcId="{96CD46E7-D239-40C7-B5C4-376FEEE43C15}" destId="{D0718308-59AC-43E6-A882-4828EE4494C2}" srcOrd="0" destOrd="0" presId="urn:microsoft.com/office/officeart/2005/8/layout/radial4"/>
    <dgm:cxn modelId="{E4694724-5956-4967-8461-BF8A9F7B3B98}" type="presParOf" srcId="{CF42B0CB-CDDD-42A1-B3A1-FBB34F262C63}" destId="{5E0D0BC9-3E91-4623-8C1A-C4A70EB3594B}" srcOrd="6" destOrd="0" presId="urn:microsoft.com/office/officeart/2005/8/layout/radial4"/>
    <dgm:cxn modelId="{A6F9FB5C-F344-472D-B270-112A40CEB30E}" type="presOf" srcId="{A5880797-7454-4E44-8518-F4D8354F0963}" destId="{5E0D0BC9-3E91-4623-8C1A-C4A70EB3594B}" srcOrd="0" destOrd="0" presId="urn:microsoft.com/office/officeart/2005/8/layout/radial4"/>
  </dgm:cxnLst>
  <dgm:bg/>
  <dgm:whole/>
  <dgm:extLst>
    <a:ext uri="http://schemas.microsoft.com/office/drawing/2008/diagram">
      <dsp:dataModelExt xmlns:dsp="http://schemas.microsoft.com/office/drawing/2008/diagram" relId="rId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4699635" cy="2043430"/>
        <a:chOff x="0" y="0"/>
        <a:chExt cx="4699635" cy="2043430"/>
      </a:xfrm>
    </dsp:grpSpPr>
    <dsp:sp modelId="{B52502C2-594A-4A13-A5FF-5CD5841BD847}">
      <dsp:nvSpPr>
        <dsp:cNvPr id="3" name="椭圆 2"/>
        <dsp:cNvSpPr/>
      </dsp:nvSpPr>
      <dsp:spPr bwMode="white">
        <a:xfrm>
          <a:off x="1883253" y="1110301"/>
          <a:ext cx="933129" cy="933129"/>
        </a:xfrm>
        <a:prstGeom prst="ellipse">
          <a:avLst/>
        </a:prstGeom>
      </dsp:spPr>
      <dsp:style>
        <a:lnRef idx="2">
          <a:schemeClr val="lt1"/>
        </a:lnRef>
        <a:fillRef idx="1">
          <a:schemeClr val="accent1"/>
        </a:fillRef>
        <a:effectRef idx="0">
          <a:scrgbClr r="0" g="0" b="0"/>
        </a:effectRef>
        <a:fontRef idx="minor">
          <a:schemeClr val="lt1"/>
        </a:fontRef>
      </dsp:style>
      <dsp:txBody>
        <a:bodyPr vert="horz" wrap="square" lIns="12700" tIns="12700" rIns="12700" bIns="12700" anchor="ctr"/>
        <a:lstStyle>
          <a:lvl1pPr algn="ctr">
            <a:defRPr sz="2000"/>
          </a:lvl1pPr>
          <a:lvl2pPr marL="114300" indent="-114300" algn="ctr">
            <a:defRPr sz="1500"/>
          </a:lvl2pPr>
          <a:lvl3pPr marL="228600" indent="-114300" algn="ctr">
            <a:defRPr sz="1500"/>
          </a:lvl3pPr>
          <a:lvl4pPr marL="342900" indent="-114300" algn="ctr">
            <a:defRPr sz="1500"/>
          </a:lvl4pPr>
          <a:lvl5pPr marL="457200" indent="-114300" algn="ctr">
            <a:defRPr sz="1500"/>
          </a:lvl5pPr>
          <a:lvl6pPr marL="571500" indent="-114300" algn="ctr">
            <a:defRPr sz="1500"/>
          </a:lvl6pPr>
          <a:lvl7pPr marL="685800" indent="-114300" algn="ctr">
            <a:defRPr sz="1500"/>
          </a:lvl7pPr>
          <a:lvl8pPr marL="800100" indent="-114300" algn="ctr">
            <a:defRPr sz="1500"/>
          </a:lvl8pPr>
          <a:lvl9pPr marL="914400" indent="-114300" algn="ctr">
            <a:defRPr sz="1500"/>
          </a:lvl9pPr>
        </a:lstStyle>
        <a:p>
          <a:pPr lvl="0">
            <a:lnSpc>
              <a:spcPct val="100000"/>
            </a:lnSpc>
            <a:spcBef>
              <a:spcPct val="0"/>
            </a:spcBef>
            <a:spcAft>
              <a:spcPct val="35000"/>
            </a:spcAft>
          </a:pPr>
          <a:r>
            <a:rPr lang="zh-CN" altLang="en-US"/>
            <a:t>罐前计划</a:t>
          </a:r>
          <a:endParaRPr lang="zh-CN" altLang="en-US"/>
        </a:p>
      </dsp:txBody>
      <dsp:txXfrm>
        <a:off x="1883253" y="1110301"/>
        <a:ext cx="933129" cy="933129"/>
      </dsp:txXfrm>
    </dsp:sp>
    <dsp:sp modelId="{B849A6F3-9933-4C36-AF65-6098308CBC3C}">
      <dsp:nvSpPr>
        <dsp:cNvPr id="4" name="左箭头 3"/>
        <dsp:cNvSpPr/>
      </dsp:nvSpPr>
      <dsp:spPr bwMode="white">
        <a:xfrm rot="12899999">
          <a:off x="1301035" y="959555"/>
          <a:ext cx="714147" cy="265942"/>
        </a:xfrm>
        <a:prstGeom prst="lef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Xfrm rot="12899999">
        <a:off x="1301035" y="959555"/>
        <a:ext cx="714147" cy="265942"/>
      </dsp:txXfrm>
    </dsp:sp>
    <dsp:sp modelId="{B1756079-1332-4090-9A47-D2C0EDB7FB22}">
      <dsp:nvSpPr>
        <dsp:cNvPr id="5" name="圆角矩形 4"/>
        <dsp:cNvSpPr/>
      </dsp:nvSpPr>
      <dsp:spPr bwMode="white">
        <a:xfrm>
          <a:off x="905351" y="521207"/>
          <a:ext cx="886473" cy="709178"/>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vert="horz" wrap="square" lIns="36195" tIns="36195" rIns="36195" bIns="36195" anchor="ctr"/>
        <a:lstStyle>
          <a:lvl1pPr algn="ctr">
            <a:defRPr sz="19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r>
            <a:rPr lang="zh-CN" altLang="en-US"/>
            <a:t>核对</a:t>
          </a:r>
          <a:r>
            <a:rPr lang="zh-CN" altLang="en-US"/>
            <a:t>物料</a:t>
          </a:r>
          <a:endParaRPr lang="zh-CN" altLang="en-US"/>
        </a:p>
      </dsp:txBody>
      <dsp:txXfrm>
        <a:off x="905351" y="521207"/>
        <a:ext cx="886473" cy="709178"/>
      </dsp:txXfrm>
    </dsp:sp>
    <dsp:sp modelId="{8A478794-BDE0-4AD6-9479-89CDBFC37EB7}">
      <dsp:nvSpPr>
        <dsp:cNvPr id="6" name="左箭头 5"/>
        <dsp:cNvSpPr/>
      </dsp:nvSpPr>
      <dsp:spPr bwMode="white">
        <a:xfrm rot="16199999">
          <a:off x="1992744" y="599474"/>
          <a:ext cx="714147" cy="265942"/>
        </a:xfrm>
        <a:prstGeom prst="lef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Xfrm rot="16199999">
        <a:off x="1992744" y="599474"/>
        <a:ext cx="714147" cy="265942"/>
      </dsp:txXfrm>
    </dsp:sp>
    <dsp:sp modelId="{3868CDED-247C-4EE9-95A2-ED400A267946}">
      <dsp:nvSpPr>
        <dsp:cNvPr id="7" name="圆角矩形 6"/>
        <dsp:cNvSpPr/>
      </dsp:nvSpPr>
      <dsp:spPr bwMode="white">
        <a:xfrm>
          <a:off x="1906581" y="0"/>
          <a:ext cx="886473" cy="709178"/>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vert="horz" wrap="square" lIns="36195" tIns="36195" rIns="36195" bIns="36195" anchor="ctr"/>
        <a:lstStyle>
          <a:lvl1pPr algn="ctr">
            <a:defRPr sz="19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r>
            <a:rPr lang="zh-CN" altLang="en-US"/>
            <a:t>工装</a:t>
          </a:r>
          <a:r>
            <a:rPr lang="zh-CN" altLang="en-US"/>
            <a:t>准备</a:t>
          </a:r>
          <a:endParaRPr lang="zh-CN" altLang="en-US"/>
        </a:p>
      </dsp:txBody>
      <dsp:txXfrm>
        <a:off x="1906581" y="0"/>
        <a:ext cx="886473" cy="709178"/>
      </dsp:txXfrm>
    </dsp:sp>
    <dsp:sp modelId="{D0718308-59AC-43E6-A882-4828EE4494C2}">
      <dsp:nvSpPr>
        <dsp:cNvPr id="8" name="左箭头 7"/>
        <dsp:cNvSpPr/>
      </dsp:nvSpPr>
      <dsp:spPr bwMode="white">
        <a:xfrm rot="-2100000">
          <a:off x="2684453" y="959555"/>
          <a:ext cx="714147" cy="265942"/>
        </a:xfrm>
        <a:prstGeom prst="lef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Xfrm rot="-2100000">
        <a:off x="2684453" y="959555"/>
        <a:ext cx="714147" cy="265942"/>
      </dsp:txXfrm>
    </dsp:sp>
    <dsp:sp modelId="{5E0D0BC9-3E91-4623-8C1A-C4A70EB3594B}">
      <dsp:nvSpPr>
        <dsp:cNvPr id="9" name="圆角矩形 8"/>
        <dsp:cNvSpPr/>
      </dsp:nvSpPr>
      <dsp:spPr bwMode="white">
        <a:xfrm>
          <a:off x="2907811" y="521207"/>
          <a:ext cx="886473" cy="709178"/>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vert="horz" wrap="square" lIns="36195" tIns="36195" rIns="36195" bIns="36195" anchor="ctr"/>
        <a:lstStyle>
          <a:lvl1pPr algn="ctr">
            <a:defRPr sz="19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r>
            <a:rPr lang="zh-CN" altLang="en-US"/>
            <a:t>文件</a:t>
          </a:r>
          <a:r>
            <a:rPr lang="zh-CN" altLang="en-US"/>
            <a:t>准备</a:t>
          </a:r>
          <a:endParaRPr lang="zh-CN" altLang="en-US"/>
        </a:p>
      </dsp:txBody>
      <dsp:txXfrm>
        <a:off x="2907811" y="521207"/>
        <a:ext cx="886473" cy="709178"/>
      </dsp:txXfrm>
    </dsp:sp>
  </dsp:spTree>
</dsp:drawing>
</file>

<file path=word/diagrams/layout1.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rSet qsTypeId="urn:microsoft.com/office/officeart/2005/8/quickstyle/simple5"/>
        </dgm:pt>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Sty" val="arr"/>
              <dgm:param type="endSty" val="noArr"/>
              <dgm:param type="begPts" val="auto"/>
              <dgm:param type="endPts" val="ct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2025-08-14T05:13:57Z</dcterms:created>
  <dc:creator>B</dc:creator>
  <cp:lastModifiedBy>$泡沫&amp;海^O^</cp:lastModifiedBy>
  <dcterms:modified xsi:type="dcterms:W3CDTF">2025-08-14T12:10:48Z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eyJoZGlkIjoiMmQ4M2FjOWY3ZjM0NmY4ZmQ4ZTJkMDk3YmIxMmEwNzEiLCJ1c2VySWQiOiI0MTA4ODQyNDkifQ==</vt:lpwstr>
  </property>
  <property fmtid="{D5CDD505-2E9C-101B-9397-08002B2CF9AE}" pid="4" name="ICV">
    <vt:lpwstr>059E5479E62943FB9860304950ABDB08_12</vt:lpwstr>
  </property>
</Properties>
</file>