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970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75"/>
        <w:gridCol w:w="346"/>
        <w:gridCol w:w="188"/>
        <w:gridCol w:w="697"/>
        <w:gridCol w:w="105"/>
        <w:gridCol w:w="818"/>
        <w:gridCol w:w="308"/>
        <w:gridCol w:w="472"/>
        <w:gridCol w:w="759"/>
        <w:gridCol w:w="64"/>
        <w:gridCol w:w="13"/>
        <w:gridCol w:w="877"/>
        <w:gridCol w:w="277"/>
        <w:gridCol w:w="464"/>
        <w:gridCol w:w="767"/>
        <w:gridCol w:w="24"/>
        <w:gridCol w:w="457"/>
        <w:gridCol w:w="368"/>
        <w:gridCol w:w="382"/>
        <w:gridCol w:w="1239"/>
      </w:tblGrid>
      <w:tr w14:paraId="5C99B3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299" w:hRule="atLeast"/>
          <w:jc w:val="center"/>
        </w:trPr>
        <w:tc>
          <w:tcPr>
            <w:tcW w:w="9700" w:type="dxa"/>
            <w:gridSpan w:val="20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2568BCCC">
            <w:pPr>
              <w:spacing w:line="360" w:lineRule="auto"/>
              <w:jc w:val="center"/>
              <w:rPr>
                <w:spacing w:val="20"/>
                <w:lang w:eastAsia="zh-CN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  <w:lang w:eastAsia="zh-CN"/>
              </w:rPr>
              <w:t>沈阳昌兴复材航空科技有限责任公司</w:t>
            </w:r>
          </w:p>
          <w:p w14:paraId="3E1F94BC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160"/>
                <w:sz w:val="36"/>
                <w:szCs w:val="36"/>
              </w:rPr>
              <w:t>制度文件</w:t>
            </w:r>
          </w:p>
        </w:tc>
      </w:tr>
      <w:tr w14:paraId="3F87A6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3" w:hRule="atLeast"/>
          <w:jc w:val="center"/>
        </w:trPr>
        <w:tc>
          <w:tcPr>
            <w:tcW w:w="1421" w:type="dxa"/>
            <w:gridSpan w:val="2"/>
            <w:vMerge w:val="restart"/>
            <w:tcBorders>
              <w:left w:val="single" w:color="auto" w:sz="12" w:space="0"/>
            </w:tcBorders>
            <w:vAlign w:val="center"/>
          </w:tcPr>
          <w:p w14:paraId="0F90F90F">
            <w:pPr>
              <w:spacing w:before="40" w:line="400" w:lineRule="exact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文件名称</w:t>
            </w:r>
          </w:p>
        </w:tc>
        <w:tc>
          <w:tcPr>
            <w:tcW w:w="4301" w:type="dxa"/>
            <w:gridSpan w:val="10"/>
            <w:vMerge w:val="restart"/>
            <w:vAlign w:val="center"/>
          </w:tcPr>
          <w:p w14:paraId="47AF6C0C">
            <w:pPr>
              <w:jc w:val="center"/>
              <w:rPr>
                <w:rFonts w:eastAsiaTheme="minorEastAsia"/>
                <w:sz w:val="28"/>
                <w:szCs w:val="28"/>
                <w:lang w:eastAsia="zh-CN"/>
              </w:rPr>
            </w:pPr>
            <w:r>
              <w:rPr>
                <w:rFonts w:hint="eastAsia" w:ascii="黑体" w:hAnsi="宋体" w:eastAsia="黑体"/>
                <w:sz w:val="28"/>
                <w:szCs w:val="28"/>
                <w:lang w:eastAsia="zh-CN"/>
              </w:rPr>
              <w:t>项目存货管理</w:t>
            </w:r>
            <w:bookmarkStart w:id="0" w:name="_GoBack"/>
            <w:bookmarkEnd w:id="0"/>
            <w:r>
              <w:rPr>
                <w:rFonts w:hint="eastAsia" w:ascii="黑体" w:hAnsi="宋体" w:eastAsia="黑体"/>
                <w:sz w:val="28"/>
                <w:szCs w:val="28"/>
                <w:lang w:eastAsia="zh-CN"/>
              </w:rPr>
              <w:t>程序</w:t>
            </w:r>
          </w:p>
        </w:tc>
        <w:tc>
          <w:tcPr>
            <w:tcW w:w="1989" w:type="dxa"/>
            <w:gridSpan w:val="5"/>
            <w:tcBorders>
              <w:bottom w:val="single" w:color="auto" w:sz="4" w:space="0"/>
            </w:tcBorders>
            <w:vAlign w:val="center"/>
          </w:tcPr>
          <w:p w14:paraId="2FD0D9A8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28"/>
              </w:rPr>
            </w:pPr>
            <w:r>
              <w:rPr>
                <w:rFonts w:hint="eastAsia" w:ascii="黑体" w:hAnsi="宋体" w:eastAsia="黑体"/>
                <w:sz w:val="28"/>
                <w:szCs w:val="28"/>
              </w:rPr>
              <w:t>文件编号</w:t>
            </w:r>
          </w:p>
        </w:tc>
        <w:tc>
          <w:tcPr>
            <w:tcW w:w="1989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7A3ADEF0">
            <w:pPr>
              <w:spacing w:line="40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黑体" w:hAnsi="宋体" w:eastAsia="黑体"/>
                <w:sz w:val="28"/>
                <w:szCs w:val="28"/>
                <w:lang w:eastAsia="zh-CN"/>
              </w:rPr>
              <w:t>GLTX</w:t>
            </w:r>
            <w:r>
              <w:rPr>
                <w:rFonts w:ascii="黑体" w:hAnsi="宋体" w:eastAsia="黑体"/>
                <w:sz w:val="28"/>
                <w:szCs w:val="28"/>
                <w:lang w:eastAsia="zh-CN"/>
              </w:rPr>
              <w:t>-</w:t>
            </w:r>
            <w:r>
              <w:rPr>
                <w:rFonts w:hint="eastAsia" w:ascii="黑体" w:hAnsi="宋体" w:eastAsia="黑体"/>
                <w:sz w:val="28"/>
                <w:szCs w:val="28"/>
                <w:lang w:eastAsia="zh-CN"/>
              </w:rPr>
              <w:t>XM</w:t>
            </w:r>
            <w:r>
              <w:rPr>
                <w:rFonts w:ascii="黑体" w:hAnsi="宋体" w:eastAsia="黑体"/>
                <w:sz w:val="28"/>
                <w:szCs w:val="28"/>
                <w:lang w:eastAsia="zh-CN"/>
              </w:rPr>
              <w:t>-05</w:t>
            </w:r>
          </w:p>
        </w:tc>
      </w:tr>
      <w:tr w14:paraId="6249C9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3" w:hRule="atLeast"/>
          <w:jc w:val="center"/>
        </w:trPr>
        <w:tc>
          <w:tcPr>
            <w:tcW w:w="1421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67B8ADAC">
            <w:pPr>
              <w:spacing w:before="40" w:line="400" w:lineRule="exact"/>
              <w:jc w:val="center"/>
              <w:rPr>
                <w:rFonts w:hint="eastAsia" w:ascii="黑体" w:eastAsia="黑体"/>
                <w:sz w:val="28"/>
                <w:szCs w:val="28"/>
              </w:rPr>
            </w:pPr>
          </w:p>
        </w:tc>
        <w:tc>
          <w:tcPr>
            <w:tcW w:w="4301" w:type="dxa"/>
            <w:gridSpan w:val="10"/>
            <w:vMerge w:val="continue"/>
            <w:vAlign w:val="center"/>
          </w:tcPr>
          <w:p w14:paraId="5B3D7480">
            <w:pPr>
              <w:jc w:val="center"/>
              <w:rPr>
                <w:rFonts w:hint="eastAsia" w:ascii="黑体" w:hAnsi="宋体" w:eastAsia="黑体"/>
                <w:sz w:val="28"/>
                <w:szCs w:val="28"/>
                <w:lang w:eastAsia="zh-CN"/>
              </w:rPr>
            </w:pPr>
          </w:p>
        </w:tc>
        <w:tc>
          <w:tcPr>
            <w:tcW w:w="1989" w:type="dxa"/>
            <w:gridSpan w:val="5"/>
            <w:tcBorders>
              <w:bottom w:val="single" w:color="auto" w:sz="4" w:space="0"/>
            </w:tcBorders>
            <w:vAlign w:val="center"/>
          </w:tcPr>
          <w:p w14:paraId="19FB0E85">
            <w:pPr>
              <w:spacing w:line="400" w:lineRule="exact"/>
              <w:jc w:val="center"/>
              <w:rPr>
                <w:rFonts w:hint="eastAsia" w:ascii="黑体" w:hAnsi="宋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版次</w:t>
            </w:r>
          </w:p>
        </w:tc>
        <w:tc>
          <w:tcPr>
            <w:tcW w:w="1989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7FBD66A4">
            <w:pPr>
              <w:spacing w:line="400" w:lineRule="exact"/>
              <w:jc w:val="center"/>
              <w:rPr>
                <w:rFonts w:hint="eastAsia" w:ascii="黑体" w:hAnsi="宋体" w:eastAsia="黑体"/>
                <w:sz w:val="28"/>
                <w:szCs w:val="28"/>
                <w:lang w:eastAsia="zh-CN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A</w:t>
            </w:r>
          </w:p>
        </w:tc>
      </w:tr>
      <w:tr w14:paraId="1A064E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3" w:hRule="atLeast"/>
          <w:jc w:val="center"/>
        </w:trPr>
        <w:tc>
          <w:tcPr>
            <w:tcW w:w="1421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2D49DAF9">
            <w:pPr>
              <w:spacing w:before="40" w:line="400" w:lineRule="exact"/>
              <w:jc w:val="center"/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4301" w:type="dxa"/>
            <w:gridSpan w:val="10"/>
            <w:vMerge w:val="continue"/>
            <w:vAlign w:val="center"/>
          </w:tcPr>
          <w:p w14:paraId="69227723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28"/>
              </w:rPr>
            </w:pPr>
          </w:p>
        </w:tc>
        <w:tc>
          <w:tcPr>
            <w:tcW w:w="1989" w:type="dxa"/>
            <w:gridSpan w:val="5"/>
            <w:tcBorders>
              <w:top w:val="single" w:color="auto" w:sz="4" w:space="0"/>
            </w:tcBorders>
            <w:vAlign w:val="center"/>
          </w:tcPr>
          <w:p w14:paraId="6A4170C6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28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文件类别</w:t>
            </w:r>
          </w:p>
        </w:tc>
        <w:tc>
          <w:tcPr>
            <w:tcW w:w="1989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6B904DD1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28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管理规定</w:t>
            </w:r>
          </w:p>
        </w:tc>
      </w:tr>
      <w:tr w14:paraId="0A8319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33" w:hRule="atLeast"/>
          <w:jc w:val="center"/>
        </w:trPr>
        <w:tc>
          <w:tcPr>
            <w:tcW w:w="1421" w:type="dxa"/>
            <w:gridSpan w:val="2"/>
            <w:tcBorders>
              <w:left w:val="single" w:color="auto" w:sz="12" w:space="0"/>
            </w:tcBorders>
            <w:vAlign w:val="center"/>
          </w:tcPr>
          <w:p w14:paraId="7F06FC86">
            <w:pPr>
              <w:spacing w:line="400" w:lineRule="exact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发文部门</w:t>
            </w:r>
          </w:p>
        </w:tc>
        <w:tc>
          <w:tcPr>
            <w:tcW w:w="2588" w:type="dxa"/>
            <w:gridSpan w:val="6"/>
            <w:vAlign w:val="center"/>
          </w:tcPr>
          <w:p w14:paraId="4A12A168">
            <w:pPr>
              <w:jc w:val="center"/>
              <w:rPr>
                <w:rFonts w:ascii="黑体" w:hAnsi="宋体" w:eastAsia="黑体"/>
                <w:sz w:val="28"/>
                <w:szCs w:val="28"/>
                <w:lang w:eastAsia="zh-CN"/>
              </w:rPr>
            </w:pPr>
            <w:r>
              <w:rPr>
                <w:rFonts w:hint="eastAsia" w:ascii="黑体" w:hAnsi="宋体" w:eastAsia="黑体"/>
                <w:sz w:val="28"/>
                <w:szCs w:val="28"/>
                <w:lang w:eastAsia="zh-CN"/>
              </w:rPr>
              <w:t>项目管理部</w:t>
            </w:r>
          </w:p>
        </w:tc>
        <w:tc>
          <w:tcPr>
            <w:tcW w:w="1713" w:type="dxa"/>
            <w:gridSpan w:val="4"/>
            <w:vAlign w:val="center"/>
          </w:tcPr>
          <w:p w14:paraId="47C6EF05">
            <w:pPr>
              <w:jc w:val="center"/>
              <w:rPr>
                <w:rFonts w:ascii="黑体" w:hAnsi="宋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 xml:space="preserve">共 </w:t>
            </w:r>
            <w:r>
              <w:rPr>
                <w:rFonts w:hint="eastAsia" w:ascii="黑体" w:eastAsia="黑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黑体" w:eastAsia="黑体"/>
                <w:sz w:val="28"/>
                <w:szCs w:val="28"/>
              </w:rPr>
              <w:t xml:space="preserve"> 页</w:t>
            </w:r>
          </w:p>
        </w:tc>
        <w:tc>
          <w:tcPr>
            <w:tcW w:w="1989" w:type="dxa"/>
            <w:gridSpan w:val="5"/>
            <w:vAlign w:val="center"/>
          </w:tcPr>
          <w:p w14:paraId="35CC5D4C">
            <w:pPr>
              <w:spacing w:line="400" w:lineRule="exact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实施日期</w:t>
            </w:r>
          </w:p>
        </w:tc>
        <w:tc>
          <w:tcPr>
            <w:tcW w:w="1989" w:type="dxa"/>
            <w:gridSpan w:val="3"/>
            <w:tcBorders>
              <w:right w:val="single" w:color="auto" w:sz="12" w:space="0"/>
            </w:tcBorders>
            <w:vAlign w:val="center"/>
          </w:tcPr>
          <w:p w14:paraId="7C23F536">
            <w:pPr>
              <w:spacing w:line="400" w:lineRule="exact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2025-10-16</w:t>
            </w:r>
          </w:p>
        </w:tc>
      </w:tr>
      <w:tr w14:paraId="262425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6" w:hRule="atLeast"/>
          <w:jc w:val="center"/>
        </w:trPr>
        <w:tc>
          <w:tcPr>
            <w:tcW w:w="9700" w:type="dxa"/>
            <w:gridSpan w:val="20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26A6150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更    改    记    录</w:t>
            </w:r>
          </w:p>
        </w:tc>
      </w:tr>
      <w:tr w14:paraId="2DA865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43" w:hRule="atLeast"/>
          <w:jc w:val="center"/>
        </w:trPr>
        <w:tc>
          <w:tcPr>
            <w:tcW w:w="2411" w:type="dxa"/>
            <w:gridSpan w:val="5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53B458B7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页码</w:t>
            </w:r>
          </w:p>
        </w:tc>
        <w:tc>
          <w:tcPr>
            <w:tcW w:w="2421" w:type="dxa"/>
            <w:gridSpan w:val="5"/>
            <w:tcBorders>
              <w:bottom w:val="single" w:color="auto" w:sz="6" w:space="0"/>
            </w:tcBorders>
            <w:vAlign w:val="center"/>
          </w:tcPr>
          <w:p w14:paraId="48BC44FD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更改单号</w:t>
            </w:r>
          </w:p>
        </w:tc>
        <w:tc>
          <w:tcPr>
            <w:tcW w:w="2422" w:type="dxa"/>
            <w:gridSpan w:val="6"/>
            <w:tcBorders>
              <w:bottom w:val="single" w:color="auto" w:sz="6" w:space="0"/>
            </w:tcBorders>
            <w:vAlign w:val="center"/>
          </w:tcPr>
          <w:p w14:paraId="79AF75F3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更改者签字</w:t>
            </w:r>
          </w:p>
        </w:tc>
        <w:tc>
          <w:tcPr>
            <w:tcW w:w="2446" w:type="dxa"/>
            <w:gridSpan w:val="4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5B4CD586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更改日期</w:t>
            </w:r>
          </w:p>
        </w:tc>
      </w:tr>
      <w:tr w14:paraId="229D8F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5" w:hRule="atLeast"/>
          <w:jc w:val="center"/>
        </w:trPr>
        <w:tc>
          <w:tcPr>
            <w:tcW w:w="2411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046CD3A">
            <w:pPr>
              <w:jc w:val="center"/>
              <w:rPr>
                <w:rFonts w:ascii="宋体"/>
              </w:rPr>
            </w:pPr>
          </w:p>
        </w:tc>
        <w:tc>
          <w:tcPr>
            <w:tcW w:w="2421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73BF560">
            <w:pPr>
              <w:jc w:val="center"/>
              <w:rPr>
                <w:rFonts w:ascii="宋体"/>
              </w:rPr>
            </w:pPr>
          </w:p>
        </w:tc>
        <w:tc>
          <w:tcPr>
            <w:tcW w:w="2422" w:type="dxa"/>
            <w:gridSpan w:val="6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2412C68">
            <w:pPr>
              <w:jc w:val="center"/>
              <w:rPr>
                <w:rFonts w:ascii="宋体"/>
              </w:rPr>
            </w:pPr>
          </w:p>
        </w:tc>
        <w:tc>
          <w:tcPr>
            <w:tcW w:w="2446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9516506">
            <w:pPr>
              <w:jc w:val="center"/>
              <w:rPr>
                <w:rFonts w:ascii="宋体"/>
              </w:rPr>
            </w:pPr>
          </w:p>
        </w:tc>
      </w:tr>
      <w:tr w14:paraId="5AB0AD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4" w:hRule="atLeast"/>
          <w:jc w:val="center"/>
        </w:trPr>
        <w:tc>
          <w:tcPr>
            <w:tcW w:w="2411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1A30957">
            <w:pPr>
              <w:jc w:val="center"/>
              <w:rPr>
                <w:rFonts w:ascii="宋体"/>
              </w:rPr>
            </w:pPr>
          </w:p>
        </w:tc>
        <w:tc>
          <w:tcPr>
            <w:tcW w:w="2421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6A9FBDD">
            <w:pPr>
              <w:jc w:val="center"/>
              <w:rPr>
                <w:rFonts w:ascii="宋体"/>
              </w:rPr>
            </w:pPr>
          </w:p>
        </w:tc>
        <w:tc>
          <w:tcPr>
            <w:tcW w:w="2422" w:type="dxa"/>
            <w:gridSpan w:val="6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2301C09">
            <w:pPr>
              <w:jc w:val="center"/>
              <w:rPr>
                <w:rFonts w:ascii="宋体"/>
              </w:rPr>
            </w:pPr>
          </w:p>
        </w:tc>
        <w:tc>
          <w:tcPr>
            <w:tcW w:w="2446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AB05B6F">
            <w:pPr>
              <w:jc w:val="center"/>
              <w:rPr>
                <w:rFonts w:ascii="宋体"/>
              </w:rPr>
            </w:pPr>
          </w:p>
        </w:tc>
      </w:tr>
      <w:tr w14:paraId="03CD68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4" w:hRule="atLeast"/>
          <w:jc w:val="center"/>
        </w:trPr>
        <w:tc>
          <w:tcPr>
            <w:tcW w:w="2411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C2D881E">
            <w:pPr>
              <w:jc w:val="center"/>
              <w:rPr>
                <w:rFonts w:ascii="宋体"/>
              </w:rPr>
            </w:pPr>
          </w:p>
        </w:tc>
        <w:tc>
          <w:tcPr>
            <w:tcW w:w="2421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9CBCCE1">
            <w:pPr>
              <w:jc w:val="center"/>
              <w:rPr>
                <w:rFonts w:ascii="宋体"/>
              </w:rPr>
            </w:pPr>
          </w:p>
        </w:tc>
        <w:tc>
          <w:tcPr>
            <w:tcW w:w="2422" w:type="dxa"/>
            <w:gridSpan w:val="6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A7F8F61">
            <w:pPr>
              <w:jc w:val="center"/>
              <w:rPr>
                <w:rFonts w:ascii="宋体"/>
              </w:rPr>
            </w:pPr>
          </w:p>
        </w:tc>
        <w:tc>
          <w:tcPr>
            <w:tcW w:w="2446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3AAC6C8E">
            <w:pPr>
              <w:jc w:val="center"/>
              <w:rPr>
                <w:rFonts w:ascii="宋体"/>
              </w:rPr>
            </w:pPr>
          </w:p>
        </w:tc>
      </w:tr>
      <w:tr w14:paraId="514CDE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5" w:hRule="atLeast"/>
          <w:jc w:val="center"/>
        </w:trPr>
        <w:tc>
          <w:tcPr>
            <w:tcW w:w="2411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7A20FDC6">
            <w:pPr>
              <w:jc w:val="center"/>
              <w:rPr>
                <w:rFonts w:ascii="宋体"/>
              </w:rPr>
            </w:pPr>
          </w:p>
        </w:tc>
        <w:tc>
          <w:tcPr>
            <w:tcW w:w="2421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EB486D2">
            <w:pPr>
              <w:jc w:val="center"/>
              <w:rPr>
                <w:rFonts w:ascii="宋体"/>
              </w:rPr>
            </w:pPr>
          </w:p>
        </w:tc>
        <w:tc>
          <w:tcPr>
            <w:tcW w:w="2422" w:type="dxa"/>
            <w:gridSpan w:val="6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EA503B9">
            <w:pPr>
              <w:jc w:val="center"/>
              <w:rPr>
                <w:rFonts w:ascii="宋体"/>
              </w:rPr>
            </w:pPr>
          </w:p>
        </w:tc>
        <w:tc>
          <w:tcPr>
            <w:tcW w:w="2446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2B8CBD74">
            <w:pPr>
              <w:jc w:val="center"/>
              <w:rPr>
                <w:rFonts w:ascii="宋体"/>
              </w:rPr>
            </w:pPr>
          </w:p>
        </w:tc>
      </w:tr>
      <w:tr w14:paraId="24F3CB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4" w:hRule="atLeast"/>
          <w:jc w:val="center"/>
        </w:trPr>
        <w:tc>
          <w:tcPr>
            <w:tcW w:w="2411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0D020DFB">
            <w:pPr>
              <w:jc w:val="center"/>
              <w:rPr>
                <w:rFonts w:ascii="宋体"/>
              </w:rPr>
            </w:pPr>
          </w:p>
        </w:tc>
        <w:tc>
          <w:tcPr>
            <w:tcW w:w="2421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2DF125A">
            <w:pPr>
              <w:jc w:val="center"/>
              <w:rPr>
                <w:rFonts w:ascii="宋体"/>
              </w:rPr>
            </w:pPr>
          </w:p>
        </w:tc>
        <w:tc>
          <w:tcPr>
            <w:tcW w:w="2422" w:type="dxa"/>
            <w:gridSpan w:val="6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2CFDB10">
            <w:pPr>
              <w:jc w:val="center"/>
              <w:rPr>
                <w:rFonts w:ascii="宋体"/>
              </w:rPr>
            </w:pPr>
          </w:p>
        </w:tc>
        <w:tc>
          <w:tcPr>
            <w:tcW w:w="2446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B13E2E1">
            <w:pPr>
              <w:jc w:val="center"/>
              <w:rPr>
                <w:rFonts w:ascii="宋体"/>
              </w:rPr>
            </w:pPr>
          </w:p>
        </w:tc>
      </w:tr>
      <w:tr w14:paraId="392453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9" w:hRule="atLeast"/>
          <w:jc w:val="center"/>
        </w:trPr>
        <w:tc>
          <w:tcPr>
            <w:tcW w:w="9700" w:type="dxa"/>
            <w:gridSpan w:val="20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7CFC77A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分发路线</w:t>
            </w:r>
          </w:p>
        </w:tc>
      </w:tr>
      <w:tr w14:paraId="6AD9DE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6" w:hRule="atLeast"/>
          <w:jc w:val="center"/>
        </w:trPr>
        <w:tc>
          <w:tcPr>
            <w:tcW w:w="1075" w:type="dxa"/>
            <w:tcBorders>
              <w:left w:val="single" w:color="auto" w:sz="12" w:space="0"/>
            </w:tcBorders>
            <w:vAlign w:val="center"/>
          </w:tcPr>
          <w:p w14:paraId="41A85BAB">
            <w:pPr>
              <w:jc w:val="center"/>
              <w:rPr>
                <w:rFonts w:ascii="宋体"/>
                <w:spacing w:val="50"/>
              </w:rPr>
            </w:pPr>
            <w:r>
              <w:rPr>
                <w:rFonts w:hint="eastAsia" w:ascii="宋体"/>
                <w:spacing w:val="50"/>
              </w:rPr>
              <w:t>单位</w:t>
            </w:r>
          </w:p>
        </w:tc>
        <w:tc>
          <w:tcPr>
            <w:tcW w:w="1231" w:type="dxa"/>
            <w:gridSpan w:val="3"/>
            <w:vAlign w:val="center"/>
          </w:tcPr>
          <w:p w14:paraId="72D17A59">
            <w:pPr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行政人事部</w:t>
            </w:r>
          </w:p>
        </w:tc>
        <w:tc>
          <w:tcPr>
            <w:tcW w:w="1231" w:type="dxa"/>
            <w:gridSpan w:val="3"/>
            <w:vAlign w:val="center"/>
          </w:tcPr>
          <w:p w14:paraId="694F9041">
            <w:pPr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经营发展部</w:t>
            </w:r>
          </w:p>
        </w:tc>
        <w:tc>
          <w:tcPr>
            <w:tcW w:w="1231" w:type="dxa"/>
            <w:gridSpan w:val="2"/>
            <w:vAlign w:val="center"/>
          </w:tcPr>
          <w:p w14:paraId="2C5E0B6B">
            <w:pPr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质量安环部</w:t>
            </w:r>
          </w:p>
        </w:tc>
        <w:tc>
          <w:tcPr>
            <w:tcW w:w="1231" w:type="dxa"/>
            <w:gridSpan w:val="4"/>
            <w:vAlign w:val="center"/>
          </w:tcPr>
          <w:p w14:paraId="2EE8E0BD">
            <w:pPr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工程技术部</w:t>
            </w:r>
          </w:p>
        </w:tc>
        <w:tc>
          <w:tcPr>
            <w:tcW w:w="1231" w:type="dxa"/>
            <w:gridSpan w:val="2"/>
            <w:vAlign w:val="center"/>
          </w:tcPr>
          <w:p w14:paraId="37027679">
            <w:pPr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财务部</w:t>
            </w:r>
          </w:p>
        </w:tc>
        <w:tc>
          <w:tcPr>
            <w:tcW w:w="1231" w:type="dxa"/>
            <w:gridSpan w:val="4"/>
            <w:vAlign w:val="center"/>
          </w:tcPr>
          <w:p w14:paraId="7487C231">
            <w:pPr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项目管理部</w:t>
            </w:r>
          </w:p>
        </w:tc>
        <w:tc>
          <w:tcPr>
            <w:tcW w:w="1239" w:type="dxa"/>
            <w:tcBorders>
              <w:right w:val="single" w:color="auto" w:sz="12" w:space="0"/>
            </w:tcBorders>
            <w:vAlign w:val="center"/>
          </w:tcPr>
          <w:p w14:paraId="1731C186">
            <w:pPr>
              <w:spacing w:before="20"/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物资保障部</w:t>
            </w:r>
          </w:p>
        </w:tc>
      </w:tr>
      <w:tr w14:paraId="2CA88F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3" w:hRule="atLeast"/>
          <w:jc w:val="center"/>
        </w:trPr>
        <w:tc>
          <w:tcPr>
            <w:tcW w:w="1075" w:type="dxa"/>
            <w:tcBorders>
              <w:left w:val="single" w:color="auto" w:sz="12" w:space="0"/>
            </w:tcBorders>
            <w:vAlign w:val="center"/>
          </w:tcPr>
          <w:p w14:paraId="433C0C95">
            <w:pPr>
              <w:jc w:val="center"/>
              <w:rPr>
                <w:rFonts w:ascii="宋体"/>
                <w:spacing w:val="50"/>
              </w:rPr>
            </w:pPr>
            <w:r>
              <w:rPr>
                <w:rFonts w:hint="eastAsia" w:ascii="宋体"/>
                <w:spacing w:val="50"/>
              </w:rPr>
              <w:t>份数</w:t>
            </w:r>
          </w:p>
        </w:tc>
        <w:tc>
          <w:tcPr>
            <w:tcW w:w="1231" w:type="dxa"/>
            <w:gridSpan w:val="3"/>
            <w:vAlign w:val="center"/>
          </w:tcPr>
          <w:p w14:paraId="71BB9B0D">
            <w:pPr>
              <w:spacing w:line="240" w:lineRule="exact"/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1</w:t>
            </w:r>
          </w:p>
        </w:tc>
        <w:tc>
          <w:tcPr>
            <w:tcW w:w="1231" w:type="dxa"/>
            <w:gridSpan w:val="3"/>
            <w:vAlign w:val="center"/>
          </w:tcPr>
          <w:p w14:paraId="45382348">
            <w:pPr>
              <w:spacing w:line="240" w:lineRule="exact"/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1</w:t>
            </w:r>
          </w:p>
        </w:tc>
        <w:tc>
          <w:tcPr>
            <w:tcW w:w="1231" w:type="dxa"/>
            <w:gridSpan w:val="2"/>
            <w:vAlign w:val="center"/>
          </w:tcPr>
          <w:p w14:paraId="15AE47D1">
            <w:pPr>
              <w:spacing w:line="240" w:lineRule="exact"/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1</w:t>
            </w:r>
          </w:p>
        </w:tc>
        <w:tc>
          <w:tcPr>
            <w:tcW w:w="1231" w:type="dxa"/>
            <w:gridSpan w:val="4"/>
            <w:vAlign w:val="center"/>
          </w:tcPr>
          <w:p w14:paraId="5A05DB6A">
            <w:pPr>
              <w:spacing w:line="240" w:lineRule="exact"/>
              <w:jc w:val="center"/>
              <w:rPr>
                <w:rFonts w:ascii="宋体" w:eastAsiaTheme="minorEastAsia"/>
                <w:w w:val="90"/>
                <w:lang w:eastAsia="zh-CN"/>
              </w:rPr>
            </w:pPr>
            <w:r>
              <w:rPr>
                <w:rFonts w:hint="eastAsia" w:ascii="宋体" w:eastAsiaTheme="minorEastAsia"/>
                <w:w w:val="90"/>
                <w:lang w:eastAsia="zh-CN"/>
              </w:rPr>
              <w:t>1</w:t>
            </w:r>
          </w:p>
        </w:tc>
        <w:tc>
          <w:tcPr>
            <w:tcW w:w="1231" w:type="dxa"/>
            <w:gridSpan w:val="2"/>
            <w:vAlign w:val="center"/>
          </w:tcPr>
          <w:p w14:paraId="2DBF5E15">
            <w:pPr>
              <w:spacing w:line="240" w:lineRule="exact"/>
              <w:jc w:val="center"/>
              <w:rPr>
                <w:rFonts w:ascii="宋体" w:eastAsiaTheme="minorEastAsia"/>
                <w:w w:val="90"/>
                <w:lang w:eastAsia="zh-CN"/>
              </w:rPr>
            </w:pPr>
            <w:r>
              <w:rPr>
                <w:rFonts w:hint="eastAsia" w:ascii="宋体" w:eastAsiaTheme="minorEastAsia"/>
                <w:w w:val="90"/>
                <w:lang w:eastAsia="zh-CN"/>
              </w:rPr>
              <w:t>1</w:t>
            </w:r>
          </w:p>
        </w:tc>
        <w:tc>
          <w:tcPr>
            <w:tcW w:w="1231" w:type="dxa"/>
            <w:gridSpan w:val="4"/>
            <w:vAlign w:val="center"/>
          </w:tcPr>
          <w:p w14:paraId="218906AD">
            <w:pPr>
              <w:spacing w:line="240" w:lineRule="exact"/>
              <w:jc w:val="center"/>
              <w:rPr>
                <w:rFonts w:ascii="宋体" w:eastAsiaTheme="minorEastAsia"/>
                <w:w w:val="90"/>
                <w:lang w:eastAsia="zh-CN"/>
              </w:rPr>
            </w:pPr>
            <w:r>
              <w:rPr>
                <w:rFonts w:hint="eastAsia" w:ascii="宋体" w:eastAsiaTheme="minorEastAsia"/>
                <w:w w:val="90"/>
                <w:lang w:eastAsia="zh-CN"/>
              </w:rPr>
              <w:t>1</w:t>
            </w:r>
          </w:p>
        </w:tc>
        <w:tc>
          <w:tcPr>
            <w:tcW w:w="1239" w:type="dxa"/>
            <w:tcBorders>
              <w:right w:val="single" w:color="auto" w:sz="12" w:space="0"/>
            </w:tcBorders>
            <w:vAlign w:val="center"/>
          </w:tcPr>
          <w:p w14:paraId="20D1D36C">
            <w:pPr>
              <w:spacing w:line="240" w:lineRule="exact"/>
              <w:jc w:val="center"/>
              <w:rPr>
                <w:rFonts w:ascii="宋体"/>
                <w:w w:val="90"/>
              </w:rPr>
            </w:pPr>
          </w:p>
        </w:tc>
      </w:tr>
      <w:tr w14:paraId="3975584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1" w:hRule="atLeast"/>
          <w:jc w:val="center"/>
        </w:trPr>
        <w:tc>
          <w:tcPr>
            <w:tcW w:w="1075" w:type="dxa"/>
            <w:tcBorders>
              <w:left w:val="single" w:color="auto" w:sz="12" w:space="0"/>
            </w:tcBorders>
            <w:vAlign w:val="center"/>
          </w:tcPr>
          <w:p w14:paraId="5983F39B">
            <w:pPr>
              <w:jc w:val="center"/>
              <w:rPr>
                <w:rFonts w:ascii="宋体"/>
                <w:spacing w:val="50"/>
              </w:rPr>
            </w:pPr>
            <w:r>
              <w:rPr>
                <w:rFonts w:hint="eastAsia" w:ascii="宋体"/>
                <w:spacing w:val="50"/>
              </w:rPr>
              <w:t>单位</w:t>
            </w:r>
          </w:p>
        </w:tc>
        <w:tc>
          <w:tcPr>
            <w:tcW w:w="1231" w:type="dxa"/>
            <w:gridSpan w:val="3"/>
            <w:vAlign w:val="center"/>
          </w:tcPr>
          <w:p w14:paraId="36256903">
            <w:pPr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复材车间</w:t>
            </w:r>
          </w:p>
        </w:tc>
        <w:tc>
          <w:tcPr>
            <w:tcW w:w="1231" w:type="dxa"/>
            <w:gridSpan w:val="3"/>
            <w:vAlign w:val="center"/>
          </w:tcPr>
          <w:p w14:paraId="543A5A8D">
            <w:pPr>
              <w:jc w:val="center"/>
              <w:rPr>
                <w:rFonts w:ascii="宋体"/>
                <w:w w:val="90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5DB0B17B">
            <w:pPr>
              <w:jc w:val="center"/>
              <w:rPr>
                <w:rFonts w:ascii="宋体"/>
                <w:w w:val="90"/>
              </w:rPr>
            </w:pPr>
          </w:p>
        </w:tc>
        <w:tc>
          <w:tcPr>
            <w:tcW w:w="1231" w:type="dxa"/>
            <w:gridSpan w:val="4"/>
            <w:vAlign w:val="center"/>
          </w:tcPr>
          <w:p w14:paraId="5E95A8DA">
            <w:pPr>
              <w:jc w:val="center"/>
              <w:rPr>
                <w:rFonts w:ascii="宋体"/>
                <w:w w:val="90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2E7BA5FD">
            <w:pPr>
              <w:jc w:val="center"/>
              <w:rPr>
                <w:rFonts w:ascii="宋体"/>
                <w:w w:val="90"/>
              </w:rPr>
            </w:pPr>
          </w:p>
        </w:tc>
        <w:tc>
          <w:tcPr>
            <w:tcW w:w="1231" w:type="dxa"/>
            <w:gridSpan w:val="4"/>
            <w:vAlign w:val="center"/>
          </w:tcPr>
          <w:p w14:paraId="589B98E0">
            <w:pPr>
              <w:jc w:val="center"/>
              <w:rPr>
                <w:rFonts w:ascii="宋体"/>
                <w:w w:val="90"/>
              </w:rPr>
            </w:pPr>
          </w:p>
        </w:tc>
        <w:tc>
          <w:tcPr>
            <w:tcW w:w="1239" w:type="dxa"/>
            <w:tcBorders>
              <w:right w:val="single" w:color="auto" w:sz="12" w:space="0"/>
            </w:tcBorders>
            <w:vAlign w:val="center"/>
          </w:tcPr>
          <w:p w14:paraId="6444AB87">
            <w:pPr>
              <w:spacing w:before="20"/>
              <w:jc w:val="center"/>
              <w:rPr>
                <w:rFonts w:ascii="宋体"/>
                <w:w w:val="90"/>
              </w:rPr>
            </w:pPr>
          </w:p>
        </w:tc>
      </w:tr>
      <w:tr w14:paraId="6D6F8E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3" w:hRule="atLeast"/>
          <w:jc w:val="center"/>
        </w:trPr>
        <w:tc>
          <w:tcPr>
            <w:tcW w:w="1075" w:type="dxa"/>
            <w:tcBorders>
              <w:left w:val="single" w:color="auto" w:sz="12" w:space="0"/>
            </w:tcBorders>
            <w:vAlign w:val="center"/>
          </w:tcPr>
          <w:p w14:paraId="65C937EB">
            <w:pPr>
              <w:jc w:val="center"/>
              <w:rPr>
                <w:rFonts w:ascii="宋体"/>
                <w:spacing w:val="50"/>
              </w:rPr>
            </w:pPr>
            <w:r>
              <w:rPr>
                <w:rFonts w:hint="eastAsia" w:ascii="宋体"/>
                <w:spacing w:val="50"/>
              </w:rPr>
              <w:t>份数</w:t>
            </w:r>
          </w:p>
        </w:tc>
        <w:tc>
          <w:tcPr>
            <w:tcW w:w="1231" w:type="dxa"/>
            <w:gridSpan w:val="3"/>
            <w:vAlign w:val="center"/>
          </w:tcPr>
          <w:p w14:paraId="73732A2E">
            <w:pPr>
              <w:spacing w:line="240" w:lineRule="exact"/>
              <w:jc w:val="center"/>
              <w:rPr>
                <w:rFonts w:ascii="宋体" w:eastAsia="宋体"/>
                <w:w w:val="90"/>
                <w:lang w:eastAsia="zh-CN"/>
              </w:rPr>
            </w:pPr>
            <w:r>
              <w:rPr>
                <w:rFonts w:hint="eastAsia" w:ascii="宋体" w:eastAsia="宋体"/>
                <w:w w:val="90"/>
                <w:lang w:eastAsia="zh-CN"/>
              </w:rPr>
              <w:t>1</w:t>
            </w:r>
          </w:p>
        </w:tc>
        <w:tc>
          <w:tcPr>
            <w:tcW w:w="1231" w:type="dxa"/>
            <w:gridSpan w:val="3"/>
            <w:vAlign w:val="center"/>
          </w:tcPr>
          <w:p w14:paraId="24261190">
            <w:pPr>
              <w:spacing w:line="240" w:lineRule="exact"/>
              <w:jc w:val="center"/>
              <w:rPr>
                <w:rFonts w:ascii="宋体"/>
                <w:w w:val="90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637C75AF">
            <w:pPr>
              <w:spacing w:line="240" w:lineRule="exact"/>
              <w:jc w:val="center"/>
              <w:rPr>
                <w:rFonts w:ascii="宋体"/>
                <w:w w:val="90"/>
              </w:rPr>
            </w:pPr>
          </w:p>
        </w:tc>
        <w:tc>
          <w:tcPr>
            <w:tcW w:w="1231" w:type="dxa"/>
            <w:gridSpan w:val="4"/>
            <w:vAlign w:val="center"/>
          </w:tcPr>
          <w:p w14:paraId="38BBB981">
            <w:pPr>
              <w:spacing w:line="240" w:lineRule="exact"/>
              <w:jc w:val="center"/>
              <w:rPr>
                <w:rFonts w:ascii="宋体"/>
                <w:w w:val="90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14C8582B">
            <w:pPr>
              <w:spacing w:line="240" w:lineRule="exact"/>
              <w:jc w:val="center"/>
              <w:rPr>
                <w:rFonts w:ascii="宋体"/>
                <w:w w:val="90"/>
              </w:rPr>
            </w:pPr>
          </w:p>
        </w:tc>
        <w:tc>
          <w:tcPr>
            <w:tcW w:w="1231" w:type="dxa"/>
            <w:gridSpan w:val="4"/>
            <w:vAlign w:val="center"/>
          </w:tcPr>
          <w:p w14:paraId="64EB15FA">
            <w:pPr>
              <w:spacing w:line="240" w:lineRule="exact"/>
              <w:jc w:val="center"/>
              <w:rPr>
                <w:rFonts w:ascii="宋体"/>
                <w:w w:val="90"/>
              </w:rPr>
            </w:pPr>
          </w:p>
        </w:tc>
        <w:tc>
          <w:tcPr>
            <w:tcW w:w="1239" w:type="dxa"/>
            <w:tcBorders>
              <w:right w:val="single" w:color="auto" w:sz="12" w:space="0"/>
            </w:tcBorders>
            <w:vAlign w:val="center"/>
          </w:tcPr>
          <w:p w14:paraId="29B7060B">
            <w:pPr>
              <w:spacing w:line="240" w:lineRule="exact"/>
              <w:jc w:val="center"/>
              <w:rPr>
                <w:rFonts w:ascii="宋体"/>
                <w:w w:val="90"/>
              </w:rPr>
            </w:pPr>
          </w:p>
        </w:tc>
      </w:tr>
      <w:tr w14:paraId="327B9A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19" w:hRule="atLeast"/>
          <w:jc w:val="center"/>
        </w:trPr>
        <w:tc>
          <w:tcPr>
            <w:tcW w:w="1609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BC991D3">
            <w:pPr>
              <w:jc w:val="center"/>
              <w:rPr>
                <w:rFonts w:hint="eastAsia" w:ascii="宋体" w:hAnsi="Arial" w:eastAsia="Arial" w:cs="Arial"/>
                <w:snapToGrid w:val="0"/>
                <w:color w:val="000000"/>
                <w:spacing w:val="1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编制</w:t>
            </w:r>
          </w:p>
        </w:tc>
        <w:tc>
          <w:tcPr>
            <w:tcW w:w="16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EEC3321">
            <w:pPr>
              <w:jc w:val="center"/>
              <w:rPr>
                <w:rFonts w:hint="eastAsia" w:ascii="宋体" w:hAnsi="Arial" w:eastAsia="Arial" w:cs="Arial"/>
                <w:snapToGrid w:val="0"/>
                <w:color w:val="000000"/>
                <w:spacing w:val="1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1616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6724CFC">
            <w:pPr>
              <w:jc w:val="center"/>
              <w:rPr>
                <w:rFonts w:ascii="宋体" w:hAnsi="Arial" w:eastAsia="Arial" w:cs="Arial"/>
                <w:snapToGrid w:val="0"/>
                <w:color w:val="000000"/>
                <w:spacing w:val="100"/>
                <w:sz w:val="24"/>
                <w:szCs w:val="21"/>
                <w:lang w:val="en-US" w:eastAsia="en-US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1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A002AC6">
            <w:pPr>
              <w:jc w:val="center"/>
              <w:rPr>
                <w:rFonts w:ascii="宋体" w:hAnsi="Arial" w:eastAsia="Arial" w:cs="Arial"/>
                <w:snapToGrid w:val="0"/>
                <w:color w:val="000000"/>
                <w:sz w:val="24"/>
                <w:szCs w:val="21"/>
                <w:lang w:val="en-US" w:eastAsia="en-US" w:bidi="ar-SA"/>
              </w:rPr>
            </w:pPr>
          </w:p>
        </w:tc>
        <w:tc>
          <w:tcPr>
            <w:tcW w:w="161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375D5DB">
            <w:pPr>
              <w:jc w:val="center"/>
              <w:rPr>
                <w:rFonts w:ascii="宋体" w:hAnsi="Arial" w:eastAsia="Arial" w:cs="Arial"/>
                <w:snapToGrid w:val="0"/>
                <w:color w:val="000000"/>
                <w:spacing w:val="100"/>
                <w:sz w:val="24"/>
                <w:szCs w:val="21"/>
                <w:lang w:val="en-US" w:eastAsia="en-US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162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6A9A09EC">
            <w:pPr>
              <w:jc w:val="center"/>
              <w:rPr>
                <w:rFonts w:ascii="宋体" w:hAnsi="Arial" w:eastAsia="Arial" w:cs="Arial"/>
                <w:snapToGrid w:val="0"/>
                <w:color w:val="000000"/>
                <w:sz w:val="24"/>
                <w:szCs w:val="21"/>
                <w:lang w:val="en-US" w:eastAsia="en-US" w:bidi="ar-SA"/>
              </w:rPr>
            </w:pPr>
          </w:p>
        </w:tc>
      </w:tr>
      <w:tr w14:paraId="78DF01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1609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4AF5F091">
            <w:pPr>
              <w:jc w:val="center"/>
              <w:rPr>
                <w:rFonts w:hint="eastAsia" w:ascii="宋体" w:hAnsi="Arial" w:eastAsia="Arial" w:cs="Arial"/>
                <w:snapToGrid w:val="0"/>
                <w:color w:val="000000"/>
                <w:spacing w:val="10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标准化</w:t>
            </w:r>
          </w:p>
        </w:tc>
        <w:tc>
          <w:tcPr>
            <w:tcW w:w="16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581AD2E6">
            <w:pPr>
              <w:jc w:val="center"/>
              <w:rPr>
                <w:rFonts w:hint="eastAsia" w:ascii="宋体" w:hAnsi="Arial" w:eastAsia="Arial" w:cs="Arial"/>
                <w:snapToGrid w:val="0"/>
                <w:color w:val="000000"/>
                <w:spacing w:val="1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1616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1819B4CC">
            <w:pPr>
              <w:jc w:val="center"/>
              <w:rPr>
                <w:rFonts w:ascii="宋体" w:hAnsi="Arial" w:eastAsia="Arial" w:cs="Arial"/>
                <w:snapToGrid w:val="0"/>
                <w:color w:val="000000"/>
                <w:spacing w:val="100"/>
                <w:sz w:val="24"/>
                <w:szCs w:val="21"/>
                <w:lang w:val="en-US" w:eastAsia="en-US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批准</w:t>
            </w:r>
          </w:p>
        </w:tc>
        <w:tc>
          <w:tcPr>
            <w:tcW w:w="161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2D39B786">
            <w:pPr>
              <w:jc w:val="center"/>
              <w:rPr>
                <w:rFonts w:ascii="宋体" w:hAnsi="Arial" w:eastAsia="Arial" w:cs="Arial"/>
                <w:snapToGrid w:val="0"/>
                <w:color w:val="000000"/>
                <w:sz w:val="24"/>
                <w:szCs w:val="21"/>
                <w:lang w:val="en-US" w:eastAsia="en-US" w:bidi="ar-SA"/>
              </w:rPr>
            </w:pPr>
          </w:p>
        </w:tc>
        <w:tc>
          <w:tcPr>
            <w:tcW w:w="161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1A42591D">
            <w:pPr>
              <w:jc w:val="center"/>
              <w:rPr>
                <w:rFonts w:ascii="宋体" w:hAnsi="Arial" w:eastAsia="Arial" w:cs="Arial"/>
                <w:snapToGrid w:val="0"/>
                <w:color w:val="000000"/>
                <w:spacing w:val="100"/>
                <w:sz w:val="24"/>
                <w:szCs w:val="21"/>
                <w:lang w:val="en-US" w:eastAsia="en-US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归档</w:t>
            </w:r>
          </w:p>
        </w:tc>
        <w:tc>
          <w:tcPr>
            <w:tcW w:w="162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E61614F">
            <w:pPr>
              <w:jc w:val="center"/>
              <w:rPr>
                <w:rFonts w:ascii="宋体" w:hAnsi="Arial" w:eastAsia="Arial" w:cs="Arial"/>
                <w:snapToGrid w:val="0"/>
                <w:color w:val="000000"/>
                <w:sz w:val="24"/>
                <w:szCs w:val="21"/>
                <w:lang w:val="en-US" w:eastAsia="en-US" w:bidi="ar-SA"/>
              </w:rPr>
            </w:pPr>
          </w:p>
        </w:tc>
      </w:tr>
      <w:tr w14:paraId="675CFF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1609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0A512FA2">
            <w:pPr>
              <w:jc w:val="center"/>
              <w:rPr>
                <w:rFonts w:hint="default" w:ascii="宋体"/>
                <w:spacing w:val="100"/>
                <w:sz w:val="24"/>
                <w:lang w:val="en-US" w:eastAsia="zh-CN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会签</w:t>
            </w:r>
          </w:p>
        </w:tc>
        <w:tc>
          <w:tcPr>
            <w:tcW w:w="8091" w:type="dxa"/>
            <w:gridSpan w:val="17"/>
            <w:tcBorders>
              <w:top w:val="single" w:color="auto" w:sz="4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6D113B50">
            <w:pPr>
              <w:jc w:val="center"/>
              <w:rPr>
                <w:rFonts w:ascii="宋体" w:hAnsi="Arial" w:eastAsia="Arial" w:cs="Arial"/>
                <w:snapToGrid w:val="0"/>
                <w:color w:val="000000"/>
                <w:sz w:val="24"/>
                <w:szCs w:val="21"/>
                <w:lang w:val="en-US" w:eastAsia="en-US" w:bidi="ar-SA"/>
              </w:rPr>
            </w:pPr>
          </w:p>
        </w:tc>
      </w:tr>
    </w:tbl>
    <w:p w14:paraId="4210C799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textAlignment w:val="auto"/>
        <w:rPr>
          <w:rFonts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CCFC846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textAlignment w:val="auto"/>
        <w:rPr>
          <w:rFonts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t>1 目的</w:t>
      </w:r>
    </w:p>
    <w:p w14:paraId="2F7A8A27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规范项目管理部项目存货全流程管理，保障存货安全完整、账实相符，优化库存结构，避免积压与短缺，提高资金使用效率，确保科研项目顺利推进和生产任务高效完成，为科研生产活动提供坚实物资保障。</w:t>
      </w:r>
    </w:p>
    <w:p w14:paraId="09A0DCFC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textAlignment w:val="auto"/>
        <w:rPr>
          <w:rFonts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t>2 适用范围</w:t>
      </w:r>
    </w:p>
    <w:p w14:paraId="1BFCDA63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适用于项目管理部所有科研项目、生产项目涉及的原材料、辅助材料、在制品、半成品、产成品、科研试剂、备品备件、低值易耗品等存货的计划、采购、验收、存储、领用、盘点及处置等管理活动。</w:t>
      </w:r>
    </w:p>
    <w:p w14:paraId="37BC845D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textAlignment w:val="auto"/>
        <w:rPr>
          <w:rFonts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t>3 术语和定义</w:t>
      </w:r>
    </w:p>
    <w:p w14:paraId="2C6885AC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无</w:t>
      </w:r>
    </w:p>
    <w:p w14:paraId="68388902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textAlignment w:val="auto"/>
        <w:rPr>
          <w:rFonts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t>4 职责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6879"/>
      </w:tblGrid>
      <w:tr w14:paraId="477C8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643" w:type="dxa"/>
            <w:vAlign w:val="center"/>
          </w:tcPr>
          <w:p w14:paraId="1ED0F29E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en-US"/>
              </w:rPr>
              <w:t>部 门</w:t>
            </w:r>
          </w:p>
        </w:tc>
        <w:tc>
          <w:tcPr>
            <w:tcW w:w="6879" w:type="dxa"/>
            <w:vAlign w:val="center"/>
          </w:tcPr>
          <w:p w14:paraId="4101A4B2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bidi="en-US"/>
              </w:rPr>
              <w:t>主 要 职 责 描 述</w:t>
            </w:r>
          </w:p>
        </w:tc>
      </w:tr>
      <w:tr w14:paraId="426D1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3" w:type="dxa"/>
            <w:shd w:val="clear" w:color="auto" w:fill="auto"/>
            <w:vAlign w:val="center"/>
          </w:tcPr>
          <w:p w14:paraId="5591A638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项目管理部</w:t>
            </w:r>
          </w:p>
        </w:tc>
        <w:tc>
          <w:tcPr>
            <w:tcW w:w="6879" w:type="dxa"/>
            <w:shd w:val="clear" w:color="auto" w:fill="auto"/>
            <w:vAlign w:val="center"/>
          </w:tcPr>
          <w:p w14:paraId="31BD6C13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负责编制项目存货需求计划，明确物资规格、数量、质量要求及需求时间。审批存货管理制度、重大采购计划及存货处置方案。监督各部门存货管理职责履行情况，协调解决跨部门问题。</w:t>
            </w:r>
          </w:p>
        </w:tc>
      </w:tr>
      <w:tr w14:paraId="37272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3" w:type="dxa"/>
            <w:shd w:val="clear" w:color="auto" w:fill="auto"/>
            <w:vAlign w:val="center"/>
          </w:tcPr>
          <w:p w14:paraId="2736A13D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复材车间</w:t>
            </w:r>
          </w:p>
        </w:tc>
        <w:tc>
          <w:tcPr>
            <w:tcW w:w="6879" w:type="dxa"/>
            <w:shd w:val="clear" w:color="auto" w:fill="auto"/>
            <w:vAlign w:val="center"/>
          </w:tcPr>
          <w:p w14:paraId="73F2686E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执行存货领用审批制度，合理使用存货，及时反馈使用异常情况。</w:t>
            </w:r>
          </w:p>
        </w:tc>
      </w:tr>
      <w:tr w14:paraId="07100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643" w:type="dxa"/>
            <w:shd w:val="clear" w:color="auto" w:fill="auto"/>
            <w:vAlign w:val="center"/>
          </w:tcPr>
          <w:p w14:paraId="7B66FA38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物质保障部</w:t>
            </w:r>
          </w:p>
        </w:tc>
        <w:tc>
          <w:tcPr>
            <w:tcW w:w="6879" w:type="dxa"/>
            <w:shd w:val="clear" w:color="auto" w:fill="auto"/>
            <w:vAlign w:val="center"/>
          </w:tcPr>
          <w:p w14:paraId="0567D021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配合完成存货盘点工作，对项目存货使用情况负责。负责存货的验收、入库、存储、保管和出库工作。建立健全存货台账，实时更新库存信息，做到账、物、卡一致。定期对存货进行盘点清查，维护仓库环境及存货安全。</w:t>
            </w:r>
          </w:p>
        </w:tc>
      </w:tr>
      <w:tr w14:paraId="136F2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643" w:type="dxa"/>
            <w:shd w:val="clear" w:color="auto" w:fill="auto"/>
            <w:vAlign w:val="center"/>
          </w:tcPr>
          <w:p w14:paraId="46B204E2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经营发展部</w:t>
            </w:r>
          </w:p>
        </w:tc>
        <w:tc>
          <w:tcPr>
            <w:tcW w:w="6879" w:type="dxa"/>
            <w:shd w:val="clear" w:color="auto" w:fill="auto"/>
            <w:vAlign w:val="center"/>
          </w:tcPr>
          <w:p w14:paraId="6A5FFFB7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根据项目需求计划，结合库存情况制定采购计划并实施采购。选择合格供应商，签订采购合同，确保物资按时、按质、按量供应。处理采购过程中的质量、交货期等问题，跟踪采购订单执行进度。</w:t>
            </w:r>
          </w:p>
        </w:tc>
      </w:tr>
      <w:tr w14:paraId="63A63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643" w:type="dxa"/>
            <w:shd w:val="clear" w:color="auto" w:fill="auto"/>
            <w:vAlign w:val="center"/>
          </w:tcPr>
          <w:p w14:paraId="576E1062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质量安环部</w:t>
            </w:r>
          </w:p>
        </w:tc>
        <w:tc>
          <w:tcPr>
            <w:tcW w:w="6879" w:type="dxa"/>
            <w:shd w:val="clear" w:color="auto" w:fill="auto"/>
            <w:vAlign w:val="center"/>
          </w:tcPr>
          <w:p w14:paraId="6006E3D4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对入库存货进行质量检验，出具检验报告，判定是否合格。对使用过程中出现质量问题的存货进行鉴定和处理。</w:t>
            </w:r>
          </w:p>
        </w:tc>
      </w:tr>
      <w:tr w14:paraId="06B14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643" w:type="dxa"/>
            <w:shd w:val="clear" w:color="auto" w:fill="auto"/>
            <w:vAlign w:val="center"/>
          </w:tcPr>
          <w:p w14:paraId="19F44BA3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财务部</w:t>
            </w:r>
          </w:p>
        </w:tc>
        <w:tc>
          <w:tcPr>
            <w:tcW w:w="6879" w:type="dxa"/>
            <w:shd w:val="clear" w:color="auto" w:fill="auto"/>
            <w:vAlign w:val="center"/>
          </w:tcPr>
          <w:p w14:paraId="66AA20CE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Cs/>
                <w:sz w:val="24"/>
                <w:szCs w:val="22"/>
                <w:lang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eastAsia="zh-CN" w:bidi="en-US"/>
              </w:rPr>
              <w:t>负责存货的账务核算，监督存货出入库单据的合规性。参与存货盘点，对存货的价值进行评估和监控，计提存货跌价准备。审核存货处置的财务流程，确保处置收入及时入账。</w:t>
            </w:r>
          </w:p>
        </w:tc>
      </w:tr>
    </w:tbl>
    <w:p w14:paraId="1B11C222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textAlignment w:val="auto"/>
        <w:rPr>
          <w:rFonts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t>5 规定</w:t>
      </w:r>
    </w:p>
    <w:p w14:paraId="602C663B">
      <w:pPr>
        <w:widowControl w:val="0"/>
        <w:kinsoku/>
        <w:autoSpaceDE/>
        <w:autoSpaceDN/>
        <w:adjustRightInd/>
        <w:snapToGrid/>
        <w:spacing w:before="156" w:beforeLines="50" w:after="156" w:afterLines="50" w:line="440" w:lineRule="exact"/>
        <w:jc w:val="both"/>
        <w:textAlignment w:val="auto"/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</w:pPr>
      <w:r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  <w:t>5.1 计划管理</w:t>
      </w:r>
    </w:p>
    <w:p w14:paraId="225AC951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5.1.1 需求计划编制</w:t>
      </w:r>
    </w:p>
    <w:p w14:paraId="0FE9E0C6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（1）项目启动时，工程技术部依据科研生产任务书、技术方案等资料，结合历史消耗数据，明确各类存货需求明细，经审核后提交经营发展部。</w:t>
      </w:r>
    </w:p>
    <w:p w14:paraId="1A60D630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（2）对于科研项目中不确定性较大的物资需求，工程技术部可制定滚动需求计划，定期更新调整。</w:t>
      </w:r>
    </w:p>
    <w:p w14:paraId="1005A324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5.1.2 采购计划制定</w:t>
      </w:r>
    </w:p>
    <w:p w14:paraId="43505C4B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（1）采购部门汇总各项目需求计划，结合库存台账中现有存货数量、保质期、库存状态等信息，制定采购计划。</w:t>
      </w:r>
    </w:p>
    <w:p w14:paraId="7CF17645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（2）采购计划需综合考虑采购成本、交货周期、供应商产能等因素，优先消化库存积压物资。</w:t>
      </w:r>
    </w:p>
    <w:p w14:paraId="4F9CFBEB">
      <w:pPr>
        <w:widowControl w:val="0"/>
        <w:kinsoku/>
        <w:autoSpaceDE/>
        <w:autoSpaceDN/>
        <w:adjustRightInd/>
        <w:snapToGrid/>
        <w:spacing w:before="156" w:beforeLines="50" w:after="156" w:afterLines="50" w:line="440" w:lineRule="exact"/>
        <w:jc w:val="both"/>
        <w:textAlignment w:val="auto"/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</w:pPr>
      <w:r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  <w:t>5.2 采购管理</w:t>
      </w:r>
    </w:p>
    <w:p w14:paraId="4BD4BB73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5.2.1 供应商选择</w:t>
      </w:r>
    </w:p>
    <w:p w14:paraId="3B281793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（1）采购部门从合格供应商名录中选取供应商，对于新增供应商，需进行资质审核（营业执照、生产许可证、质量认证等）、实地考察及样品测试，审核通过后纳入名录。</w:t>
      </w:r>
    </w:p>
    <w:p w14:paraId="0C1D325B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（2）建立供应商考核机制，定期从质量、价格、交货期、售后服务等维度进行评分，淘汰不合格供应商。</w:t>
      </w:r>
    </w:p>
    <w:p w14:paraId="57217944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5.2.2 合同签订与执行</w:t>
      </w:r>
    </w:p>
    <w:p w14:paraId="3A3605FD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（1）采购人员与供应商签订采购合同，明确物资名称、规格型号、数量、单价、质量标准、交货时间、交货地点、验收方式、付款条款、违约责任等内容。</w:t>
      </w:r>
    </w:p>
    <w:p w14:paraId="45907E0C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（2）采购过程中实时跟踪订单执行情况，出现交货延迟、质量异常等问题时，及时与供应商沟通解决，并向项目组反馈影响进度的风险。</w:t>
      </w:r>
    </w:p>
    <w:p w14:paraId="6813C2C0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5.2.3 验收管理</w:t>
      </w:r>
    </w:p>
    <w:p w14:paraId="1AE97A1B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（1）到货初检：存货到货后，仓储管理员核对送货单与采购订单信息，检查包装是否完好、标识是否清晰，确认无误后填写《到货登记表》，通知质量检验部门进行检验。</w:t>
      </w:r>
    </w:p>
    <w:p w14:paraId="7525F574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（2）质量检验：质量检验人员依据采购合同、技术标准及相关检验规范，对存货的数量、外观、性能、质量证明文件等进行检验。</w:t>
      </w:r>
    </w:p>
    <w:p w14:paraId="4C46546F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（3）检验合格的，出具《质量检验合格单》；不合格的，出具《质量检验不合格单》，并隔离存放，按《不合格品管理程序》处理，通知采购部门退货或协商解决方案。</w:t>
      </w:r>
    </w:p>
    <w:p w14:paraId="4121F260">
      <w:pPr>
        <w:widowControl w:val="0"/>
        <w:kinsoku/>
        <w:autoSpaceDE/>
        <w:autoSpaceDN/>
        <w:adjustRightInd/>
        <w:snapToGrid/>
        <w:spacing w:before="156" w:beforeLines="50" w:after="156" w:afterLines="50" w:line="440" w:lineRule="exact"/>
        <w:jc w:val="both"/>
        <w:textAlignment w:val="auto"/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</w:pPr>
      <w:r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  <w:t>5.3 入库办理</w:t>
      </w:r>
    </w:p>
    <w:p w14:paraId="425F93F8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仓储管理员凭《质量检验合格单》办理入库手续，将存货存放至指定区域，更新库存台账，粘贴库存标识卡，注明物资名称、规格、数量、入库日期等信息。</w:t>
      </w:r>
    </w:p>
    <w:p w14:paraId="67BC671C">
      <w:pPr>
        <w:widowControl w:val="0"/>
        <w:kinsoku/>
        <w:autoSpaceDE/>
        <w:autoSpaceDN/>
        <w:adjustRightInd/>
        <w:snapToGrid/>
        <w:spacing w:before="156" w:beforeLines="50" w:after="156" w:afterLines="50" w:line="440" w:lineRule="exact"/>
        <w:jc w:val="both"/>
        <w:textAlignment w:val="auto"/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</w:pPr>
      <w:r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  <w:t>5.4 存储管理</w:t>
      </w:r>
    </w:p>
    <w:p w14:paraId="5F00DD1A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5.4.1 仓储环境管理</w:t>
      </w:r>
    </w:p>
    <w:p w14:paraId="3F2F0FED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（1）根据存货特性分区分类存放，如普通物资区、危险品区、恒温恒湿区等，确保易燃易爆、有毒有害等特殊物资符合安全存储要求。</w:t>
      </w:r>
    </w:p>
    <w:p w14:paraId="0B82DD01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（2）定期检查仓库温湿度、通风、防火、防潮、防虫等设施设备，保持仓库环境整洁，做好存储环境记录。</w:t>
      </w:r>
    </w:p>
    <w:p w14:paraId="3665240A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5.4.2 库存标识与维护</w:t>
      </w:r>
    </w:p>
    <w:p w14:paraId="612461B5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（1）对存货进行统一标识，实行“一物一卡”管理，标识卡信息应与库存台账一致。</w:t>
      </w:r>
    </w:p>
    <w:p w14:paraId="4BC540EF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（2）定期对存货进行巡检，检查存货状态，对临近保质期、易变质、易损坏的物资重点监控，及时采取措施防止损失。</w:t>
      </w:r>
    </w:p>
    <w:p w14:paraId="6958E50B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5.4.3 库存监控</w:t>
      </w:r>
    </w:p>
    <w:p w14:paraId="1257B722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（1）建立库存预警机制，设定安全库存、最高库存和最低库存水平。当库存低于安全库存时，自动触发补货提醒；库存高于最高库存时，分析原因并提出处理建议。</w:t>
      </w:r>
    </w:p>
    <w:p w14:paraId="470121B6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（2）每月生成《库存分析报告》，内容包括库存结构、周转率、积压物资明细等，供管理层决策参考。</w:t>
      </w:r>
    </w:p>
    <w:p w14:paraId="117730D1">
      <w:pPr>
        <w:widowControl w:val="0"/>
        <w:kinsoku/>
        <w:autoSpaceDE/>
        <w:autoSpaceDN/>
        <w:adjustRightInd/>
        <w:snapToGrid/>
        <w:spacing w:before="156" w:beforeLines="50" w:after="156" w:afterLines="50" w:line="440" w:lineRule="exact"/>
        <w:jc w:val="both"/>
        <w:textAlignment w:val="auto"/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</w:pPr>
      <w:r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  <w:t>5.5 领用管理</w:t>
      </w:r>
    </w:p>
    <w:p w14:paraId="0769C744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5.5.1 领用申请</w:t>
      </w:r>
    </w:p>
    <w:p w14:paraId="000E3A1F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（1）项目组人员填写《领料单》，注明领用项目名称、物资名称、规格、数量、用途等信息，经项目负责人审批后，到仓库办理领用手续。</w:t>
      </w:r>
    </w:p>
    <w:p w14:paraId="3CD87680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（2）对于贵重物资、危险化学品的领用，需额外经项目管理部负责人审批。</w:t>
      </w:r>
    </w:p>
    <w:p w14:paraId="5746F207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z w:val="28"/>
          <w:szCs w:val="28"/>
          <w:lang w:eastAsia="zh-CN"/>
        </w:rPr>
        <w:t>5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.5.2 出库审核与发放</w:t>
      </w:r>
    </w:p>
    <w:p w14:paraId="57BFE2BD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（1）仓储管理员审核《领料单》信息，确认审批流程完整、领用数量合理后，按照“先进先出”原则发放存货，在库存台账和仓储管理系统中同步更新出库信息。</w:t>
      </w:r>
    </w:p>
    <w:p w14:paraId="776A5196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（2）将领料单传递至财务部门，作为项目成本核算的依据。</w:t>
      </w:r>
    </w:p>
    <w:p w14:paraId="68879F57">
      <w:pPr>
        <w:widowControl w:val="0"/>
        <w:kinsoku/>
        <w:autoSpaceDE/>
        <w:autoSpaceDN/>
        <w:adjustRightInd/>
        <w:snapToGrid/>
        <w:spacing w:before="156" w:beforeLines="50" w:after="156" w:afterLines="50" w:line="440" w:lineRule="exact"/>
        <w:jc w:val="both"/>
        <w:textAlignment w:val="auto"/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</w:pPr>
      <w:r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  <w:t>5.6 盘点管理</w:t>
      </w:r>
    </w:p>
    <w:p w14:paraId="21FEB398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5.6.1 日常盘点</w:t>
      </w:r>
    </w:p>
    <w:p w14:paraId="433C8810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仓储管理员每日对存货的出入库情况进行核对，确保账实一致，发现差异及时查找原因并处理。</w:t>
      </w:r>
    </w:p>
    <w:p w14:paraId="043CB059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5.6.2 定期盘点</w:t>
      </w:r>
    </w:p>
    <w:p w14:paraId="2745F457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（1）每月末进行局部抽盘，每季度末进行全面盘点。盘点前成立盘点小组，制定盘点计划，明确盘点范围、时间、方法及人员分工。</w:t>
      </w:r>
    </w:p>
    <w:p w14:paraId="41BB7550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（2）盘点过程中，盘点人员对存货进行逐一清点，记录实际库存数量，与库存台账核对，形成《盘点差异表》。</w:t>
      </w:r>
    </w:p>
    <w:p w14:paraId="4F905162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5.6.3 差异处理</w:t>
      </w:r>
    </w:p>
    <w:p w14:paraId="6E8EF5D7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（1）对盘点差异进行分析，查明原因（如记账错误、收发计量误差、盗窃损失等），明确责任归属。</w:t>
      </w:r>
    </w:p>
    <w:p w14:paraId="5121299F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（2）编制《盘点报告》，提出处理建议，经项目管理部负责人和财务部门审核、公司管理层审批后，进行账务调整和责任追究。</w:t>
      </w:r>
    </w:p>
    <w:p w14:paraId="00469201">
      <w:pPr>
        <w:widowControl w:val="0"/>
        <w:kinsoku/>
        <w:autoSpaceDE/>
        <w:autoSpaceDN/>
        <w:adjustRightInd/>
        <w:snapToGrid/>
        <w:spacing w:before="156" w:beforeLines="50" w:after="156" w:afterLines="50" w:line="440" w:lineRule="exact"/>
        <w:jc w:val="both"/>
        <w:textAlignment w:val="auto"/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</w:pPr>
      <w:r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  <w:t>5.7 处置管理</w:t>
      </w:r>
    </w:p>
    <w:p w14:paraId="182C0AAB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5.7.1 报废处理</w:t>
      </w:r>
    </w:p>
    <w:p w14:paraId="6CA1F55F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（1）对于过期、变质、损坏且无修复使用价值的存货，由仓储管理组填写《存货报废申请单》，附质量检验证明，经质量检验部门、财务部门审核，项目管理部负责人审批后进行报废处理。</w:t>
      </w:r>
    </w:p>
    <w:p w14:paraId="1C4F20A5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（2）报废存货集中存放，通过拍卖、回收等方式处置，处置收入上缴财务部门，进行账务处理。</w:t>
      </w:r>
    </w:p>
    <w:p w14:paraId="22A41968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5.7.2 呆滞存货处理</w:t>
      </w:r>
    </w:p>
    <w:p w14:paraId="0C6F7EDB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对连续[X]个月未使用或使用频率极低的呆滞存货，仓储管理组提出处理方案（如内部调剂、折价销售、捐赠等），经相关部门评审、公司管理层审批后执行。</w:t>
      </w:r>
    </w:p>
    <w:p w14:paraId="51AB88AE">
      <w:pPr>
        <w:widowControl w:val="0"/>
        <w:kinsoku/>
        <w:autoSpaceDE/>
        <w:autoSpaceDN/>
        <w:adjustRightInd/>
        <w:snapToGrid/>
        <w:spacing w:before="156" w:beforeLines="50" w:after="156" w:afterLines="50" w:line="440" w:lineRule="exact"/>
        <w:jc w:val="both"/>
        <w:textAlignment w:val="auto"/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</w:pPr>
      <w:r>
        <w:rPr>
          <w:rFonts w:hint="eastAsia" w:ascii="黑体" w:hAnsi="黑体" w:eastAsia="黑体" w:cs="黑体"/>
          <w:snapToGrid/>
          <w:kern w:val="2"/>
          <w:sz w:val="28"/>
          <w:szCs w:val="24"/>
          <w:lang w:eastAsia="zh-CN"/>
        </w:rPr>
        <w:t>5.8 监督与考核</w:t>
      </w:r>
    </w:p>
    <w:p w14:paraId="6A6F4388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（1）项目管理部定期组织对存货管理工作进行检查，检查内容包括制度执行情况、流程合规性、账实相符率、库存周转率、积压物资处理进度等。</w:t>
      </w:r>
    </w:p>
    <w:p w14:paraId="497E9C23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（2）建立考核机制，将存货管理指标纳入相关部门和人员的绩效考核体系。对管理规范、表现突出的部门和个人给予奖励；对出现管理漏洞、造成存货损失的，追究相关人员责任并进行处罚。</w:t>
      </w:r>
    </w:p>
    <w:p w14:paraId="7538B6C1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textAlignment w:val="auto"/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t>6 流程</w:t>
      </w:r>
    </w:p>
    <w:p w14:paraId="76BAC9A2">
      <w:pPr>
        <w:bidi w:val="0"/>
        <w:jc w:val="center"/>
      </w:pPr>
      <w:r>
        <w:drawing>
          <wp:inline distT="0" distB="0" distL="114300" distR="114300">
            <wp:extent cx="5219700" cy="1569720"/>
            <wp:effectExtent l="0" t="0" r="0" b="1143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569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86E7BE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textAlignment w:val="auto"/>
        <w:rPr>
          <w:rFonts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t>7 规定表格</w:t>
      </w:r>
    </w:p>
    <w:p w14:paraId="6885CCDF">
      <w:pPr>
        <w:spacing w:line="440" w:lineRule="exact"/>
        <w:ind w:firstLine="560" w:firstLineChars="200"/>
        <w:jc w:val="both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无</w:t>
      </w:r>
    </w:p>
    <w:p w14:paraId="576B0DF0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textAlignment w:val="auto"/>
        <w:rPr>
          <w:rFonts w:ascii="Times New Roman" w:hAnsi="Times New Roman" w:eastAsia="黑体" w:cs="Times New Roman"/>
          <w:snapToGrid/>
          <w:kern w:val="2"/>
          <w:sz w:val="28"/>
          <w:szCs w:val="22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28"/>
          <w:szCs w:val="22"/>
          <w:lang w:eastAsia="zh-CN"/>
        </w:rPr>
        <w:t>8 记录控制</w:t>
      </w:r>
    </w:p>
    <w:p w14:paraId="61CE9C9A">
      <w:pPr>
        <w:spacing w:line="440" w:lineRule="exact"/>
        <w:ind w:firstLine="560" w:firstLineChars="200"/>
        <w:jc w:val="both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（1）本程序由项目管理部负责解释和修订，根据实际执行情况及公司管理要求适时更新。</w:t>
      </w:r>
    </w:p>
    <w:p w14:paraId="593552B2">
      <w:pPr>
        <w:spacing w:line="440" w:lineRule="exact"/>
        <w:ind w:firstLine="560" w:firstLineChars="200"/>
        <w:jc w:val="both"/>
        <w:rPr>
          <w:rFonts w:asciiTheme="majorEastAsia" w:hAnsiTheme="majorEastAsia" w:eastAsiaTheme="majorEastAsia" w:cstheme="majorEastAsia"/>
          <w:sz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（2）本程序自发布之日起施行，原有相关规定与本程序不一致的，以本程序为准。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291BE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D4BEDD">
                          <w:pPr>
                            <w:pStyle w:val="11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D4BEDD">
                    <w:pPr>
                      <w:pStyle w:val="11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2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8279FE"/>
    <w:multiLevelType w:val="multilevel"/>
    <w:tmpl w:val="488279FE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 w:ascii="黑体" w:eastAsia="黑体"/>
        <w:b w:val="0"/>
        <w:i w:val="0"/>
        <w:sz w:val="28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680"/>
        </w:tabs>
        <w:ind w:left="680" w:hanging="680"/>
      </w:pPr>
      <w:rPr>
        <w:rFonts w:hint="eastAsia" w:ascii="黑体" w:eastAsia="黑体"/>
        <w:b w:val="0"/>
        <w:i w:val="0"/>
        <w:sz w:val="28"/>
        <w:szCs w:val="24"/>
      </w:rPr>
    </w:lvl>
    <w:lvl w:ilvl="2" w:tentative="0">
      <w:start w:val="1"/>
      <w:numFmt w:val="decimal"/>
      <w:lvlText w:val="%1.%2.%3"/>
      <w:lvlJc w:val="left"/>
      <w:pPr>
        <w:tabs>
          <w:tab w:val="left" w:pos="1741"/>
        </w:tabs>
        <w:ind w:left="1741" w:hanging="1021"/>
      </w:pPr>
      <w:rPr>
        <w:rFonts w:hint="eastAsia" w:ascii="黑体" w:eastAsia="黑体"/>
        <w:b w:val="0"/>
        <w:i w:val="0"/>
        <w:sz w:val="24"/>
        <w:szCs w:val="24"/>
      </w:rPr>
    </w:lvl>
    <w:lvl w:ilvl="3" w:tentative="0">
      <w:start w:val="1"/>
      <w:numFmt w:val="decimal"/>
      <w:pStyle w:val="4"/>
      <w:lvlText w:val="%1.%2.%3.%4"/>
      <w:lvlJc w:val="left"/>
      <w:pPr>
        <w:tabs>
          <w:tab w:val="left" w:pos="1080"/>
        </w:tabs>
        <w:ind w:left="864" w:hanging="864"/>
      </w:pPr>
      <w:rPr>
        <w:rFonts w:hint="eastAsia" w:ascii="黑体" w:eastAsia="黑体"/>
        <w:b w:val="0"/>
        <w:i w:val="0"/>
        <w:sz w:val="28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440"/>
        </w:tabs>
        <w:ind w:left="0" w:firstLine="0"/>
      </w:pPr>
      <w:rPr>
        <w:rFonts w:hint="eastAsia" w:ascii="黑体" w:eastAsia="黑体"/>
        <w:b w:val="0"/>
        <w:i w:val="0"/>
        <w:sz w:val="28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DEB"/>
    <w:rsid w:val="00077671"/>
    <w:rsid w:val="001236CA"/>
    <w:rsid w:val="00142907"/>
    <w:rsid w:val="001E6B6E"/>
    <w:rsid w:val="00244A01"/>
    <w:rsid w:val="00253EF9"/>
    <w:rsid w:val="0027056D"/>
    <w:rsid w:val="00291D8E"/>
    <w:rsid w:val="002B3D8D"/>
    <w:rsid w:val="002B6FE5"/>
    <w:rsid w:val="002E008C"/>
    <w:rsid w:val="003471A2"/>
    <w:rsid w:val="003D26B8"/>
    <w:rsid w:val="003F4566"/>
    <w:rsid w:val="00413B5A"/>
    <w:rsid w:val="0041509D"/>
    <w:rsid w:val="004E3654"/>
    <w:rsid w:val="005359A2"/>
    <w:rsid w:val="00543874"/>
    <w:rsid w:val="005E5D12"/>
    <w:rsid w:val="00605620"/>
    <w:rsid w:val="00630399"/>
    <w:rsid w:val="006340D9"/>
    <w:rsid w:val="00640202"/>
    <w:rsid w:val="006466B8"/>
    <w:rsid w:val="006511B3"/>
    <w:rsid w:val="006C3580"/>
    <w:rsid w:val="00710AE9"/>
    <w:rsid w:val="00746D05"/>
    <w:rsid w:val="00754337"/>
    <w:rsid w:val="00770D79"/>
    <w:rsid w:val="007A2FC3"/>
    <w:rsid w:val="007A4879"/>
    <w:rsid w:val="007A61CB"/>
    <w:rsid w:val="007E14F4"/>
    <w:rsid w:val="00806852"/>
    <w:rsid w:val="00811F04"/>
    <w:rsid w:val="00871C2D"/>
    <w:rsid w:val="00887D74"/>
    <w:rsid w:val="008970A7"/>
    <w:rsid w:val="00917CF8"/>
    <w:rsid w:val="00974B2C"/>
    <w:rsid w:val="009C63F8"/>
    <w:rsid w:val="009C6650"/>
    <w:rsid w:val="00A03C0E"/>
    <w:rsid w:val="00A41A52"/>
    <w:rsid w:val="00A63DEB"/>
    <w:rsid w:val="00AB61B2"/>
    <w:rsid w:val="00AF1613"/>
    <w:rsid w:val="00B61107"/>
    <w:rsid w:val="00B93858"/>
    <w:rsid w:val="00CC79FC"/>
    <w:rsid w:val="00CE2FE2"/>
    <w:rsid w:val="00D57457"/>
    <w:rsid w:val="00D86494"/>
    <w:rsid w:val="00D937AB"/>
    <w:rsid w:val="00DD036B"/>
    <w:rsid w:val="00DD63F0"/>
    <w:rsid w:val="00DF522B"/>
    <w:rsid w:val="00E933A6"/>
    <w:rsid w:val="00F12C80"/>
    <w:rsid w:val="00F61D4E"/>
    <w:rsid w:val="00FE5A29"/>
    <w:rsid w:val="01CE127E"/>
    <w:rsid w:val="076D15CF"/>
    <w:rsid w:val="0C3A7C05"/>
    <w:rsid w:val="0C6611B3"/>
    <w:rsid w:val="2F594874"/>
    <w:rsid w:val="3CF96E86"/>
    <w:rsid w:val="3D0A7846"/>
    <w:rsid w:val="3F474C20"/>
    <w:rsid w:val="40FB7E0C"/>
    <w:rsid w:val="431163E4"/>
    <w:rsid w:val="45E564AE"/>
    <w:rsid w:val="51FE1CAC"/>
    <w:rsid w:val="5A2760E8"/>
    <w:rsid w:val="5B395E9F"/>
    <w:rsid w:val="68D370A0"/>
    <w:rsid w:val="71FE17F9"/>
    <w:rsid w:val="73D43285"/>
    <w:rsid w:val="783D22FA"/>
    <w:rsid w:val="7A4B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widowControl w:val="0"/>
      <w:numPr>
        <w:ilvl w:val="0"/>
        <w:numId w:val="1"/>
      </w:numPr>
      <w:kinsoku/>
      <w:autoSpaceDE/>
      <w:autoSpaceDN/>
      <w:adjustRightInd/>
      <w:snapToGrid/>
      <w:spacing w:before="440" w:after="440" w:line="440" w:lineRule="exact"/>
      <w:jc w:val="both"/>
      <w:textAlignment w:val="auto"/>
      <w:outlineLvl w:val="0"/>
    </w:pPr>
    <w:rPr>
      <w:rFonts w:ascii="黑体" w:hAnsi="Times New Roman" w:eastAsia="黑体" w:cs="Times New Roman"/>
      <w:bCs/>
      <w:snapToGrid/>
      <w:color w:val="auto"/>
      <w:kern w:val="44"/>
      <w:sz w:val="28"/>
      <w:szCs w:val="44"/>
      <w:lang w:eastAsia="zh-CN"/>
    </w:rPr>
  </w:style>
  <w:style w:type="paragraph" w:styleId="3">
    <w:name w:val="heading 2"/>
    <w:basedOn w:val="1"/>
    <w:next w:val="1"/>
    <w:link w:val="19"/>
    <w:qFormat/>
    <w:uiPriority w:val="0"/>
    <w:pPr>
      <w:widowControl w:val="0"/>
      <w:numPr>
        <w:ilvl w:val="1"/>
        <w:numId w:val="1"/>
      </w:numPr>
      <w:kinsoku/>
      <w:autoSpaceDE/>
      <w:autoSpaceDN/>
      <w:adjustRightInd/>
      <w:snapToGrid/>
      <w:spacing w:line="440" w:lineRule="exact"/>
      <w:textAlignment w:val="auto"/>
      <w:outlineLvl w:val="1"/>
    </w:pPr>
    <w:rPr>
      <w:rFonts w:ascii="黑体" w:hAnsi="宋体" w:eastAsia="黑体" w:cs="Times New Roman"/>
      <w:bCs/>
      <w:snapToGrid/>
      <w:color w:val="auto"/>
      <w:kern w:val="2"/>
      <w:sz w:val="28"/>
      <w:szCs w:val="32"/>
      <w:lang w:eastAsia="zh-CN"/>
    </w:rPr>
  </w:style>
  <w:style w:type="paragraph" w:styleId="4">
    <w:name w:val="heading 4"/>
    <w:basedOn w:val="5"/>
    <w:link w:val="20"/>
    <w:autoRedefine/>
    <w:qFormat/>
    <w:uiPriority w:val="0"/>
    <w:pPr>
      <w:keepNext/>
      <w:keepLines/>
      <w:widowControl w:val="0"/>
      <w:numPr>
        <w:ilvl w:val="3"/>
        <w:numId w:val="1"/>
      </w:numPr>
      <w:tabs>
        <w:tab w:val="left" w:pos="1316"/>
        <w:tab w:val="clear" w:pos="1080"/>
      </w:tabs>
      <w:kinsoku/>
      <w:autoSpaceDE/>
      <w:autoSpaceDN/>
      <w:adjustRightInd/>
      <w:snapToGrid/>
      <w:spacing w:before="0" w:after="0" w:line="440" w:lineRule="exact"/>
      <w:ind w:left="0" w:firstLine="0"/>
      <w:jc w:val="both"/>
      <w:textAlignment w:val="auto"/>
      <w:outlineLvl w:val="3"/>
    </w:pPr>
    <w:rPr>
      <w:rFonts w:ascii="宋体" w:hAnsi="宋体" w:eastAsia="宋体" w:cs="Arial"/>
      <w:b w:val="0"/>
      <w:bCs w:val="0"/>
      <w:snapToGrid/>
      <w:color w:val="auto"/>
      <w:kern w:val="2"/>
      <w:sz w:val="28"/>
      <w:szCs w:val="28"/>
      <w:lang w:eastAsia="zh-CN"/>
    </w:rPr>
  </w:style>
  <w:style w:type="paragraph" w:styleId="6">
    <w:name w:val="heading 5"/>
    <w:basedOn w:val="5"/>
    <w:next w:val="5"/>
    <w:link w:val="21"/>
    <w:autoRedefine/>
    <w:qFormat/>
    <w:uiPriority w:val="0"/>
    <w:pPr>
      <w:widowControl w:val="0"/>
      <w:numPr>
        <w:ilvl w:val="4"/>
        <w:numId w:val="1"/>
      </w:numPr>
      <w:tabs>
        <w:tab w:val="left" w:pos="1596"/>
        <w:tab w:val="clear" w:pos="1440"/>
      </w:tabs>
      <w:kinsoku/>
      <w:autoSpaceDE/>
      <w:autoSpaceDN/>
      <w:adjustRightInd/>
      <w:snapToGrid/>
      <w:spacing w:before="0" w:after="0" w:line="440" w:lineRule="exact"/>
      <w:jc w:val="both"/>
      <w:textAlignment w:val="auto"/>
      <w:outlineLvl w:val="4"/>
    </w:pPr>
    <w:rPr>
      <w:rFonts w:ascii="宋体" w:hAnsi="宋体" w:eastAsia="宋体" w:cs="Arial"/>
      <w:b w:val="0"/>
      <w:bCs w:val="0"/>
      <w:snapToGrid/>
      <w:color w:val="auto"/>
      <w:kern w:val="2"/>
      <w:sz w:val="28"/>
      <w:lang w:eastAsia="zh-CN"/>
    </w:rPr>
  </w:style>
  <w:style w:type="paragraph" w:styleId="7">
    <w:name w:val="heading 6"/>
    <w:basedOn w:val="1"/>
    <w:next w:val="1"/>
    <w:link w:val="22"/>
    <w:qFormat/>
    <w:uiPriority w:val="0"/>
    <w:pPr>
      <w:keepNext/>
      <w:keepLines/>
      <w:widowControl w:val="0"/>
      <w:numPr>
        <w:ilvl w:val="5"/>
        <w:numId w:val="1"/>
      </w:numPr>
      <w:kinsoku/>
      <w:autoSpaceDE/>
      <w:autoSpaceDN/>
      <w:adjustRightInd/>
      <w:snapToGrid/>
      <w:spacing w:before="240" w:after="64" w:line="320" w:lineRule="auto"/>
      <w:jc w:val="both"/>
      <w:textAlignment w:val="auto"/>
      <w:outlineLvl w:val="5"/>
    </w:pPr>
    <w:rPr>
      <w:rFonts w:eastAsia="黑体" w:cs="Times New Roman"/>
      <w:b/>
      <w:bCs/>
      <w:snapToGrid/>
      <w:color w:val="auto"/>
      <w:kern w:val="2"/>
      <w:sz w:val="24"/>
      <w:szCs w:val="24"/>
      <w:lang w:eastAsia="zh-CN"/>
    </w:rPr>
  </w:style>
  <w:style w:type="paragraph" w:styleId="8">
    <w:name w:val="heading 7"/>
    <w:basedOn w:val="1"/>
    <w:next w:val="1"/>
    <w:link w:val="23"/>
    <w:qFormat/>
    <w:uiPriority w:val="0"/>
    <w:pPr>
      <w:keepNext/>
      <w:keepLines/>
      <w:widowControl w:val="0"/>
      <w:numPr>
        <w:ilvl w:val="6"/>
        <w:numId w:val="1"/>
      </w:numPr>
      <w:kinsoku/>
      <w:autoSpaceDE/>
      <w:autoSpaceDN/>
      <w:adjustRightInd/>
      <w:snapToGrid/>
      <w:spacing w:before="240" w:after="64" w:line="320" w:lineRule="auto"/>
      <w:jc w:val="both"/>
      <w:textAlignment w:val="auto"/>
      <w:outlineLvl w:val="6"/>
    </w:pPr>
    <w:rPr>
      <w:rFonts w:ascii="Times New Roman" w:hAnsi="Times New Roman" w:eastAsia="宋体" w:cs="Times New Roman"/>
      <w:b/>
      <w:bCs/>
      <w:snapToGrid/>
      <w:color w:val="auto"/>
      <w:kern w:val="2"/>
      <w:sz w:val="24"/>
      <w:szCs w:val="24"/>
      <w:lang w:eastAsia="zh-CN"/>
    </w:rPr>
  </w:style>
  <w:style w:type="paragraph" w:styleId="9">
    <w:name w:val="heading 8"/>
    <w:basedOn w:val="1"/>
    <w:next w:val="1"/>
    <w:link w:val="24"/>
    <w:qFormat/>
    <w:uiPriority w:val="0"/>
    <w:pPr>
      <w:keepNext/>
      <w:keepLines/>
      <w:widowControl w:val="0"/>
      <w:numPr>
        <w:ilvl w:val="7"/>
        <w:numId w:val="1"/>
      </w:numPr>
      <w:kinsoku/>
      <w:autoSpaceDE/>
      <w:autoSpaceDN/>
      <w:adjustRightInd/>
      <w:snapToGrid/>
      <w:spacing w:before="240" w:after="64" w:line="320" w:lineRule="auto"/>
      <w:jc w:val="both"/>
      <w:textAlignment w:val="auto"/>
      <w:outlineLvl w:val="7"/>
    </w:pPr>
    <w:rPr>
      <w:rFonts w:eastAsia="黑体" w:cs="Times New Roman"/>
      <w:snapToGrid/>
      <w:color w:val="auto"/>
      <w:kern w:val="2"/>
      <w:sz w:val="24"/>
      <w:szCs w:val="24"/>
      <w:lang w:eastAsia="zh-CN"/>
    </w:rPr>
  </w:style>
  <w:style w:type="paragraph" w:styleId="10">
    <w:name w:val="heading 9"/>
    <w:basedOn w:val="1"/>
    <w:next w:val="1"/>
    <w:link w:val="25"/>
    <w:qFormat/>
    <w:uiPriority w:val="0"/>
    <w:pPr>
      <w:keepNext/>
      <w:keepLines/>
      <w:widowControl w:val="0"/>
      <w:numPr>
        <w:ilvl w:val="8"/>
        <w:numId w:val="1"/>
      </w:numPr>
      <w:kinsoku/>
      <w:autoSpaceDE/>
      <w:autoSpaceDN/>
      <w:adjustRightInd/>
      <w:snapToGrid/>
      <w:spacing w:before="240" w:after="64" w:line="320" w:lineRule="auto"/>
      <w:jc w:val="both"/>
      <w:textAlignment w:val="auto"/>
      <w:outlineLvl w:val="8"/>
    </w:pPr>
    <w:rPr>
      <w:rFonts w:eastAsia="黑体" w:cs="Times New Roman"/>
      <w:snapToGrid/>
      <w:color w:val="auto"/>
      <w:kern w:val="2"/>
      <w:lang w:eastAsia="zh-CN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next w:val="1"/>
    <w:link w:val="26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2">
    <w:name w:val="header"/>
    <w:basedOn w:val="1"/>
    <w:link w:val="2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标题 1 字符"/>
    <w:basedOn w:val="16"/>
    <w:link w:val="2"/>
    <w:qFormat/>
    <w:uiPriority w:val="0"/>
    <w:rPr>
      <w:rFonts w:ascii="黑体" w:hAnsi="Times New Roman" w:eastAsia="黑体" w:cs="Times New Roman"/>
      <w:bCs/>
      <w:kern w:val="44"/>
      <w:sz w:val="28"/>
      <w:szCs w:val="44"/>
    </w:rPr>
  </w:style>
  <w:style w:type="character" w:customStyle="1" w:styleId="19">
    <w:name w:val="标题 2 字符"/>
    <w:basedOn w:val="16"/>
    <w:link w:val="3"/>
    <w:qFormat/>
    <w:uiPriority w:val="0"/>
    <w:rPr>
      <w:rFonts w:ascii="黑体" w:hAnsi="宋体" w:eastAsia="黑体" w:cs="Times New Roman"/>
      <w:bCs/>
      <w:kern w:val="2"/>
      <w:sz w:val="28"/>
      <w:szCs w:val="32"/>
    </w:rPr>
  </w:style>
  <w:style w:type="character" w:customStyle="1" w:styleId="20">
    <w:name w:val="标题 4 字符"/>
    <w:basedOn w:val="16"/>
    <w:link w:val="4"/>
    <w:qFormat/>
    <w:uiPriority w:val="0"/>
    <w:rPr>
      <w:rFonts w:ascii="宋体" w:hAnsi="宋体" w:eastAsia="宋体" w:cs="Arial"/>
      <w:kern w:val="2"/>
      <w:sz w:val="28"/>
      <w:szCs w:val="28"/>
    </w:rPr>
  </w:style>
  <w:style w:type="character" w:customStyle="1" w:styleId="21">
    <w:name w:val="标题 5 字符"/>
    <w:basedOn w:val="16"/>
    <w:link w:val="6"/>
    <w:qFormat/>
    <w:uiPriority w:val="0"/>
    <w:rPr>
      <w:rFonts w:ascii="宋体" w:hAnsi="宋体" w:eastAsia="宋体" w:cs="Arial"/>
      <w:kern w:val="2"/>
      <w:sz w:val="28"/>
      <w:szCs w:val="32"/>
    </w:rPr>
  </w:style>
  <w:style w:type="character" w:customStyle="1" w:styleId="22">
    <w:name w:val="标题 6 字符"/>
    <w:basedOn w:val="16"/>
    <w:link w:val="7"/>
    <w:qFormat/>
    <w:uiPriority w:val="0"/>
    <w:rPr>
      <w:rFonts w:ascii="Arial" w:hAnsi="Arial" w:eastAsia="黑体" w:cs="Times New Roman"/>
      <w:b/>
      <w:bCs/>
      <w:kern w:val="2"/>
      <w:sz w:val="24"/>
      <w:szCs w:val="24"/>
    </w:rPr>
  </w:style>
  <w:style w:type="character" w:customStyle="1" w:styleId="23">
    <w:name w:val="标题 7 字符"/>
    <w:basedOn w:val="16"/>
    <w:link w:val="8"/>
    <w:qFormat/>
    <w:uiPriority w:val="0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24">
    <w:name w:val="标题 8 字符"/>
    <w:basedOn w:val="16"/>
    <w:link w:val="9"/>
    <w:qFormat/>
    <w:uiPriority w:val="0"/>
    <w:rPr>
      <w:rFonts w:ascii="Arial" w:hAnsi="Arial" w:eastAsia="黑体" w:cs="Times New Roman"/>
      <w:kern w:val="2"/>
      <w:sz w:val="24"/>
      <w:szCs w:val="24"/>
    </w:rPr>
  </w:style>
  <w:style w:type="character" w:customStyle="1" w:styleId="25">
    <w:name w:val="标题 9 字符"/>
    <w:basedOn w:val="16"/>
    <w:link w:val="10"/>
    <w:qFormat/>
    <w:uiPriority w:val="0"/>
    <w:rPr>
      <w:rFonts w:ascii="Arial" w:hAnsi="Arial" w:eastAsia="黑体" w:cs="Times New Roman"/>
      <w:kern w:val="2"/>
      <w:sz w:val="21"/>
      <w:szCs w:val="21"/>
    </w:rPr>
  </w:style>
  <w:style w:type="character" w:customStyle="1" w:styleId="26">
    <w:name w:val="标题 字符"/>
    <w:basedOn w:val="16"/>
    <w:link w:val="5"/>
    <w:qFormat/>
    <w:uiPriority w:val="0"/>
    <w:rPr>
      <w:rFonts w:asciiTheme="majorHAnsi" w:hAnsiTheme="majorHAnsi" w:eastAsiaTheme="majorEastAsia" w:cstheme="majorBidi"/>
      <w:b/>
      <w:bCs/>
      <w:snapToGrid w:val="0"/>
      <w:color w:val="000000"/>
      <w:sz w:val="32"/>
      <w:szCs w:val="32"/>
      <w:lang w:eastAsia="en-US"/>
    </w:rPr>
  </w:style>
  <w:style w:type="character" w:customStyle="1" w:styleId="27">
    <w:name w:val="页眉 字符"/>
    <w:basedOn w:val="16"/>
    <w:link w:val="12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2874</Words>
  <Characters>2963</Characters>
  <Lines>22</Lines>
  <Paragraphs>6</Paragraphs>
  <TotalTime>1</TotalTime>
  <ScaleCrop>false</ScaleCrop>
  <LinksUpToDate>false</LinksUpToDate>
  <CharactersWithSpaces>3014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2025-05-22T11:19:00Z</dcterms:created>
  <dc:creator>Administrator</dc:creator>
  <cp:lastModifiedBy>Administrator</cp:lastModifiedBy>
  <cp:lastPrinted>2025-10-16T03:51:55Z</cp:lastPrinted>
  <dcterms:modified xsi:type="dcterms:W3CDTF">2025-10-16T04:52:44Z</dcterms:modified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eyJoZGlkIjoiYjNmMzNmNzE3MDlmMDUyNGVkMzAxYzhkNDcwZDE1NzIifQ==</vt:lpwstr>
  </property>
  <property fmtid="{D5CDD505-2E9C-101B-9397-08002B2CF9AE}" pid="4" name="ICV">
    <vt:lpwstr>7C95DC8A379543069956D5FBA0B755B0_13</vt:lpwstr>
  </property>
</Properties>
</file>