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0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5"/>
        <w:gridCol w:w="346"/>
        <w:gridCol w:w="188"/>
        <w:gridCol w:w="697"/>
        <w:gridCol w:w="105"/>
        <w:gridCol w:w="818"/>
        <w:gridCol w:w="308"/>
        <w:gridCol w:w="472"/>
        <w:gridCol w:w="759"/>
        <w:gridCol w:w="64"/>
        <w:gridCol w:w="13"/>
        <w:gridCol w:w="877"/>
        <w:gridCol w:w="277"/>
        <w:gridCol w:w="464"/>
        <w:gridCol w:w="767"/>
        <w:gridCol w:w="24"/>
        <w:gridCol w:w="457"/>
        <w:gridCol w:w="368"/>
        <w:gridCol w:w="382"/>
        <w:gridCol w:w="1239"/>
      </w:tblGrid>
      <w:tr w14:paraId="5C99B3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299" w:hRule="atLeast"/>
          <w:jc w:val="center"/>
        </w:trPr>
        <w:tc>
          <w:tcPr>
            <w:tcW w:w="9700" w:type="dxa"/>
            <w:gridSpan w:val="20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568BCCC">
            <w:pPr>
              <w:spacing w:line="360" w:lineRule="auto"/>
              <w:jc w:val="center"/>
              <w:rPr>
                <w:spacing w:val="20"/>
                <w:lang w:eastAsia="zh-CN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  <w:lang w:eastAsia="zh-CN"/>
              </w:rPr>
              <w:t>沈阳昌兴复材航空科技有限责任公司</w:t>
            </w:r>
          </w:p>
          <w:p w14:paraId="3E1F94BC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制度文件</w:t>
            </w:r>
          </w:p>
        </w:tc>
      </w:tr>
      <w:tr w14:paraId="3F87A6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3" w:hRule="atLeast"/>
          <w:jc w:val="center"/>
        </w:trPr>
        <w:tc>
          <w:tcPr>
            <w:tcW w:w="1421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0F90F90F">
            <w:pPr>
              <w:spacing w:before="40"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文件名称</w:t>
            </w:r>
          </w:p>
        </w:tc>
        <w:tc>
          <w:tcPr>
            <w:tcW w:w="4301" w:type="dxa"/>
            <w:gridSpan w:val="10"/>
            <w:vMerge w:val="restart"/>
            <w:vAlign w:val="center"/>
          </w:tcPr>
          <w:p w14:paraId="47AF6C0C">
            <w:pPr>
              <w:jc w:val="center"/>
              <w:rPr>
                <w:rFonts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="黑体" w:hAnsi="宋体" w:eastAsia="黑体"/>
                <w:sz w:val="28"/>
                <w:szCs w:val="28"/>
                <w:lang w:eastAsia="zh-CN"/>
              </w:rPr>
              <w:t>项目风险管理程序</w:t>
            </w:r>
          </w:p>
        </w:tc>
        <w:tc>
          <w:tcPr>
            <w:tcW w:w="1989" w:type="dxa"/>
            <w:gridSpan w:val="5"/>
            <w:tcBorders>
              <w:bottom w:val="single" w:color="auto" w:sz="4" w:space="0"/>
            </w:tcBorders>
            <w:vAlign w:val="center"/>
          </w:tcPr>
          <w:p w14:paraId="2FD0D9A8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28"/>
              </w:rPr>
              <w:t>文件编号</w:t>
            </w:r>
          </w:p>
        </w:tc>
        <w:tc>
          <w:tcPr>
            <w:tcW w:w="1989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7A3ADEF0">
            <w:pPr>
              <w:spacing w:line="4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28"/>
                <w:lang w:eastAsia="zh-CN"/>
              </w:rPr>
              <w:t>GLTX</w:t>
            </w:r>
            <w:r>
              <w:rPr>
                <w:rFonts w:ascii="黑体" w:hAnsi="宋体" w:eastAsia="黑体"/>
                <w:sz w:val="28"/>
                <w:szCs w:val="28"/>
                <w:lang w:eastAsia="zh-CN"/>
              </w:rPr>
              <w:t>-</w:t>
            </w:r>
            <w:r>
              <w:rPr>
                <w:rFonts w:hint="eastAsia" w:ascii="黑体" w:hAnsi="宋体" w:eastAsia="黑体"/>
                <w:sz w:val="28"/>
                <w:szCs w:val="28"/>
                <w:lang w:eastAsia="zh-CN"/>
              </w:rPr>
              <w:t>XM</w:t>
            </w:r>
            <w:r>
              <w:rPr>
                <w:rFonts w:ascii="黑体" w:hAnsi="宋体" w:eastAsia="黑体"/>
                <w:sz w:val="28"/>
                <w:szCs w:val="28"/>
                <w:lang w:eastAsia="zh-CN"/>
              </w:rPr>
              <w:t>-06</w:t>
            </w:r>
          </w:p>
        </w:tc>
      </w:tr>
      <w:tr w14:paraId="4F411A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3" w:hRule="atLeast"/>
          <w:jc w:val="center"/>
        </w:trPr>
        <w:tc>
          <w:tcPr>
            <w:tcW w:w="1421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E6CB27D">
            <w:pPr>
              <w:spacing w:before="40" w:line="400" w:lineRule="exact"/>
              <w:jc w:val="center"/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4301" w:type="dxa"/>
            <w:gridSpan w:val="10"/>
            <w:vMerge w:val="continue"/>
            <w:vAlign w:val="center"/>
          </w:tcPr>
          <w:p w14:paraId="41E375F9">
            <w:pPr>
              <w:jc w:val="center"/>
              <w:rPr>
                <w:rFonts w:hint="eastAsia" w:ascii="黑体" w:hAnsi="宋体" w:eastAsia="黑体"/>
                <w:sz w:val="28"/>
                <w:szCs w:val="28"/>
                <w:lang w:eastAsia="zh-CN"/>
              </w:rPr>
            </w:pPr>
          </w:p>
        </w:tc>
        <w:tc>
          <w:tcPr>
            <w:tcW w:w="1989" w:type="dxa"/>
            <w:gridSpan w:val="5"/>
            <w:tcBorders>
              <w:bottom w:val="single" w:color="auto" w:sz="4" w:space="0"/>
            </w:tcBorders>
            <w:vAlign w:val="center"/>
          </w:tcPr>
          <w:p w14:paraId="2A577BF4">
            <w:pPr>
              <w:spacing w:line="400" w:lineRule="exact"/>
              <w:jc w:val="center"/>
              <w:rPr>
                <w:rFonts w:hint="eastAsia" w:ascii="黑体" w:hAnsi="宋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版次</w:t>
            </w:r>
          </w:p>
        </w:tc>
        <w:tc>
          <w:tcPr>
            <w:tcW w:w="1989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310AB00A">
            <w:pPr>
              <w:spacing w:line="400" w:lineRule="exact"/>
              <w:jc w:val="center"/>
              <w:rPr>
                <w:rFonts w:hint="eastAsia" w:ascii="黑体" w:hAnsi="宋体" w:eastAsia="黑体"/>
                <w:sz w:val="28"/>
                <w:szCs w:val="28"/>
                <w:lang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A</w:t>
            </w:r>
          </w:p>
        </w:tc>
      </w:tr>
      <w:tr w14:paraId="1A064E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3" w:hRule="atLeast"/>
          <w:jc w:val="center"/>
        </w:trPr>
        <w:tc>
          <w:tcPr>
            <w:tcW w:w="1421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7E425D20">
            <w:pPr>
              <w:spacing w:before="40"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4301" w:type="dxa"/>
            <w:gridSpan w:val="10"/>
            <w:vMerge w:val="continue"/>
            <w:vAlign w:val="center"/>
          </w:tcPr>
          <w:p w14:paraId="69227723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28"/>
              </w:rPr>
            </w:pPr>
          </w:p>
        </w:tc>
        <w:tc>
          <w:tcPr>
            <w:tcW w:w="1989" w:type="dxa"/>
            <w:gridSpan w:val="5"/>
            <w:tcBorders>
              <w:top w:val="single" w:color="auto" w:sz="4" w:space="0"/>
            </w:tcBorders>
            <w:vAlign w:val="center"/>
          </w:tcPr>
          <w:p w14:paraId="6A4170C6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89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6B904DD1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0A8319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3" w:hRule="atLeast"/>
          <w:jc w:val="center"/>
        </w:trPr>
        <w:tc>
          <w:tcPr>
            <w:tcW w:w="1421" w:type="dxa"/>
            <w:gridSpan w:val="2"/>
            <w:tcBorders>
              <w:left w:val="single" w:color="auto" w:sz="12" w:space="0"/>
            </w:tcBorders>
            <w:vAlign w:val="center"/>
          </w:tcPr>
          <w:p w14:paraId="7F06FC86">
            <w:pPr>
              <w:spacing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发文部门</w:t>
            </w:r>
          </w:p>
        </w:tc>
        <w:tc>
          <w:tcPr>
            <w:tcW w:w="2588" w:type="dxa"/>
            <w:gridSpan w:val="6"/>
            <w:vAlign w:val="center"/>
          </w:tcPr>
          <w:p w14:paraId="4A12A168">
            <w:pPr>
              <w:jc w:val="center"/>
              <w:rPr>
                <w:rFonts w:ascii="黑体" w:hAnsi="宋体" w:eastAsia="黑体"/>
                <w:sz w:val="28"/>
                <w:szCs w:val="28"/>
                <w:lang w:eastAsia="zh-CN"/>
              </w:rPr>
            </w:pPr>
            <w:r>
              <w:rPr>
                <w:rFonts w:hint="eastAsia" w:ascii="黑体" w:hAnsi="宋体" w:eastAsia="黑体"/>
                <w:sz w:val="28"/>
                <w:szCs w:val="28"/>
                <w:lang w:eastAsia="zh-CN"/>
              </w:rPr>
              <w:t>项目管理部</w:t>
            </w:r>
          </w:p>
        </w:tc>
        <w:tc>
          <w:tcPr>
            <w:tcW w:w="1713" w:type="dxa"/>
            <w:gridSpan w:val="4"/>
            <w:vAlign w:val="center"/>
          </w:tcPr>
          <w:p w14:paraId="47C6EF05">
            <w:pPr>
              <w:jc w:val="center"/>
              <w:rPr>
                <w:rFonts w:ascii="黑体" w:hAnsi="宋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 xml:space="preserve">共 </w:t>
            </w:r>
            <w:r>
              <w:rPr>
                <w:rFonts w:ascii="黑体" w:eastAsia="黑体"/>
                <w:sz w:val="28"/>
                <w:szCs w:val="28"/>
              </w:rPr>
              <w:t>4</w:t>
            </w:r>
            <w:r>
              <w:rPr>
                <w:rFonts w:hint="eastAsia" w:ascii="黑体" w:eastAsia="黑体"/>
                <w:sz w:val="28"/>
                <w:szCs w:val="28"/>
              </w:rPr>
              <w:t xml:space="preserve"> 页</w:t>
            </w:r>
          </w:p>
        </w:tc>
        <w:tc>
          <w:tcPr>
            <w:tcW w:w="1989" w:type="dxa"/>
            <w:gridSpan w:val="5"/>
            <w:vAlign w:val="center"/>
          </w:tcPr>
          <w:p w14:paraId="35CC5D4C">
            <w:pPr>
              <w:spacing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实施日期</w:t>
            </w:r>
          </w:p>
        </w:tc>
        <w:tc>
          <w:tcPr>
            <w:tcW w:w="1989" w:type="dxa"/>
            <w:gridSpan w:val="3"/>
            <w:tcBorders>
              <w:right w:val="single" w:color="auto" w:sz="12" w:space="0"/>
            </w:tcBorders>
            <w:vAlign w:val="center"/>
          </w:tcPr>
          <w:p w14:paraId="7C23F536">
            <w:pPr>
              <w:spacing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2025-10-16</w:t>
            </w:r>
          </w:p>
        </w:tc>
      </w:tr>
      <w:tr w14:paraId="262425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700" w:type="dxa"/>
            <w:gridSpan w:val="20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26A6150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    改    记    录</w:t>
            </w:r>
          </w:p>
        </w:tc>
      </w:tr>
      <w:tr w14:paraId="2DA865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3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3B458B7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页码</w:t>
            </w:r>
          </w:p>
        </w:tc>
        <w:tc>
          <w:tcPr>
            <w:tcW w:w="2421" w:type="dxa"/>
            <w:gridSpan w:val="5"/>
            <w:tcBorders>
              <w:bottom w:val="single" w:color="auto" w:sz="6" w:space="0"/>
            </w:tcBorders>
            <w:vAlign w:val="center"/>
          </w:tcPr>
          <w:p w14:paraId="48BC44FD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更改单号</w:t>
            </w:r>
          </w:p>
        </w:tc>
        <w:tc>
          <w:tcPr>
            <w:tcW w:w="2422" w:type="dxa"/>
            <w:gridSpan w:val="6"/>
            <w:tcBorders>
              <w:bottom w:val="single" w:color="auto" w:sz="6" w:space="0"/>
            </w:tcBorders>
            <w:vAlign w:val="center"/>
          </w:tcPr>
          <w:p w14:paraId="79AF75F3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更改者签字</w:t>
            </w:r>
          </w:p>
        </w:tc>
        <w:tc>
          <w:tcPr>
            <w:tcW w:w="2446" w:type="dxa"/>
            <w:gridSpan w:val="4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5B4CD586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更改日期</w:t>
            </w:r>
          </w:p>
        </w:tc>
      </w:tr>
      <w:tr w14:paraId="229D8F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5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046CD3A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73BF560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2412C68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9516506">
            <w:pPr>
              <w:jc w:val="center"/>
              <w:rPr>
                <w:rFonts w:ascii="宋体"/>
              </w:rPr>
            </w:pPr>
          </w:p>
        </w:tc>
      </w:tr>
      <w:tr w14:paraId="5AB0AD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4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1A30957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6A9FBDD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2301C09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AB05B6F">
            <w:pPr>
              <w:jc w:val="center"/>
              <w:rPr>
                <w:rFonts w:ascii="宋体"/>
              </w:rPr>
            </w:pPr>
          </w:p>
        </w:tc>
      </w:tr>
      <w:tr w14:paraId="03CD68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4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C2D881E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9CBCCE1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A7F8F61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AAC6C8E">
            <w:pPr>
              <w:jc w:val="center"/>
              <w:rPr>
                <w:rFonts w:ascii="宋体"/>
              </w:rPr>
            </w:pPr>
          </w:p>
        </w:tc>
      </w:tr>
      <w:tr w14:paraId="514CDE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5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A20FDC6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EB486D2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EA503B9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2B8CBD74">
            <w:pPr>
              <w:jc w:val="center"/>
              <w:rPr>
                <w:rFonts w:ascii="宋体"/>
              </w:rPr>
            </w:pPr>
          </w:p>
        </w:tc>
      </w:tr>
      <w:tr w14:paraId="24F3CB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4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D020DFB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2DF125A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2CFDB10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B13E2E1">
            <w:pPr>
              <w:jc w:val="center"/>
              <w:rPr>
                <w:rFonts w:ascii="宋体"/>
              </w:rPr>
            </w:pPr>
          </w:p>
        </w:tc>
      </w:tr>
      <w:tr w14:paraId="392453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9" w:hRule="atLeast"/>
          <w:jc w:val="center"/>
        </w:trPr>
        <w:tc>
          <w:tcPr>
            <w:tcW w:w="9700" w:type="dxa"/>
            <w:gridSpan w:val="20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7CFC77A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 w14:paraId="6AD9DE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6" w:hRule="atLeast"/>
          <w:jc w:val="center"/>
        </w:trPr>
        <w:tc>
          <w:tcPr>
            <w:tcW w:w="1075" w:type="dxa"/>
            <w:tcBorders>
              <w:left w:val="single" w:color="auto" w:sz="12" w:space="0"/>
            </w:tcBorders>
            <w:vAlign w:val="center"/>
          </w:tcPr>
          <w:p w14:paraId="41A85BAB">
            <w:pPr>
              <w:jc w:val="center"/>
              <w:rPr>
                <w:rFonts w:ascii="宋体"/>
                <w:spacing w:val="50"/>
              </w:rPr>
            </w:pPr>
            <w:r>
              <w:rPr>
                <w:rFonts w:hint="eastAsia" w:ascii="宋体"/>
                <w:spacing w:val="50"/>
              </w:rPr>
              <w:t>单位</w:t>
            </w:r>
          </w:p>
        </w:tc>
        <w:tc>
          <w:tcPr>
            <w:tcW w:w="1231" w:type="dxa"/>
            <w:gridSpan w:val="3"/>
            <w:vAlign w:val="center"/>
          </w:tcPr>
          <w:p w14:paraId="72D17A59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行政人事部</w:t>
            </w:r>
          </w:p>
        </w:tc>
        <w:tc>
          <w:tcPr>
            <w:tcW w:w="1231" w:type="dxa"/>
            <w:gridSpan w:val="3"/>
            <w:vAlign w:val="center"/>
          </w:tcPr>
          <w:p w14:paraId="694F9041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经营发展部</w:t>
            </w:r>
          </w:p>
        </w:tc>
        <w:tc>
          <w:tcPr>
            <w:tcW w:w="1231" w:type="dxa"/>
            <w:gridSpan w:val="2"/>
            <w:vAlign w:val="center"/>
          </w:tcPr>
          <w:p w14:paraId="2C5E0B6B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质量安环部</w:t>
            </w:r>
          </w:p>
        </w:tc>
        <w:tc>
          <w:tcPr>
            <w:tcW w:w="1231" w:type="dxa"/>
            <w:gridSpan w:val="4"/>
            <w:vAlign w:val="center"/>
          </w:tcPr>
          <w:p w14:paraId="2EE8E0BD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工程技术部</w:t>
            </w:r>
          </w:p>
        </w:tc>
        <w:tc>
          <w:tcPr>
            <w:tcW w:w="1231" w:type="dxa"/>
            <w:gridSpan w:val="2"/>
            <w:vAlign w:val="center"/>
          </w:tcPr>
          <w:p w14:paraId="37027679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财务部</w:t>
            </w:r>
          </w:p>
        </w:tc>
        <w:tc>
          <w:tcPr>
            <w:tcW w:w="1231" w:type="dxa"/>
            <w:gridSpan w:val="4"/>
            <w:vAlign w:val="center"/>
          </w:tcPr>
          <w:p w14:paraId="7487C231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项目管理部</w:t>
            </w:r>
          </w:p>
        </w:tc>
        <w:tc>
          <w:tcPr>
            <w:tcW w:w="1239" w:type="dxa"/>
            <w:tcBorders>
              <w:right w:val="single" w:color="auto" w:sz="12" w:space="0"/>
            </w:tcBorders>
            <w:vAlign w:val="center"/>
          </w:tcPr>
          <w:p w14:paraId="1731C186">
            <w:pPr>
              <w:spacing w:before="20"/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物资保障部</w:t>
            </w:r>
          </w:p>
        </w:tc>
      </w:tr>
      <w:tr w14:paraId="2CA88F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3" w:hRule="atLeast"/>
          <w:jc w:val="center"/>
        </w:trPr>
        <w:tc>
          <w:tcPr>
            <w:tcW w:w="1075" w:type="dxa"/>
            <w:tcBorders>
              <w:left w:val="single" w:color="auto" w:sz="12" w:space="0"/>
            </w:tcBorders>
            <w:vAlign w:val="center"/>
          </w:tcPr>
          <w:p w14:paraId="433C0C95">
            <w:pPr>
              <w:jc w:val="center"/>
              <w:rPr>
                <w:rFonts w:ascii="宋体"/>
                <w:spacing w:val="50"/>
              </w:rPr>
            </w:pPr>
            <w:r>
              <w:rPr>
                <w:rFonts w:hint="eastAsia" w:ascii="宋体"/>
                <w:spacing w:val="50"/>
              </w:rPr>
              <w:t>份数</w:t>
            </w:r>
          </w:p>
        </w:tc>
        <w:tc>
          <w:tcPr>
            <w:tcW w:w="1231" w:type="dxa"/>
            <w:gridSpan w:val="3"/>
            <w:vAlign w:val="center"/>
          </w:tcPr>
          <w:p w14:paraId="71BB9B0D">
            <w:pPr>
              <w:spacing w:line="240" w:lineRule="exact"/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3"/>
            <w:vAlign w:val="center"/>
          </w:tcPr>
          <w:p w14:paraId="45382348">
            <w:pPr>
              <w:spacing w:line="240" w:lineRule="exact"/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2"/>
            <w:vAlign w:val="center"/>
          </w:tcPr>
          <w:p w14:paraId="15AE47D1">
            <w:pPr>
              <w:spacing w:line="240" w:lineRule="exact"/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4"/>
            <w:vAlign w:val="center"/>
          </w:tcPr>
          <w:p w14:paraId="5A05DB6A">
            <w:pPr>
              <w:spacing w:line="240" w:lineRule="exact"/>
              <w:jc w:val="center"/>
              <w:rPr>
                <w:rFonts w:ascii="宋体" w:eastAsiaTheme="minorEastAsia"/>
                <w:w w:val="90"/>
                <w:lang w:eastAsia="zh-CN"/>
              </w:rPr>
            </w:pPr>
            <w:r>
              <w:rPr>
                <w:rFonts w:hint="eastAsia" w:ascii="宋体" w:eastAsiaTheme="minorEastAsia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2"/>
            <w:vAlign w:val="center"/>
          </w:tcPr>
          <w:p w14:paraId="2DBF5E15">
            <w:pPr>
              <w:spacing w:line="240" w:lineRule="exact"/>
              <w:jc w:val="center"/>
              <w:rPr>
                <w:rFonts w:ascii="宋体" w:eastAsiaTheme="minorEastAsia"/>
                <w:w w:val="90"/>
                <w:lang w:eastAsia="zh-CN"/>
              </w:rPr>
            </w:pPr>
            <w:r>
              <w:rPr>
                <w:rFonts w:hint="eastAsia" w:ascii="宋体" w:eastAsiaTheme="minorEastAsia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4"/>
            <w:vAlign w:val="center"/>
          </w:tcPr>
          <w:p w14:paraId="218906AD">
            <w:pPr>
              <w:spacing w:line="240" w:lineRule="exact"/>
              <w:jc w:val="center"/>
              <w:rPr>
                <w:rFonts w:ascii="宋体" w:eastAsiaTheme="minorEastAsia"/>
                <w:w w:val="90"/>
                <w:lang w:eastAsia="zh-CN"/>
              </w:rPr>
            </w:pPr>
            <w:r>
              <w:rPr>
                <w:rFonts w:hint="eastAsia" w:ascii="宋体" w:eastAsiaTheme="minorEastAsia"/>
                <w:w w:val="90"/>
                <w:lang w:eastAsia="zh-CN"/>
              </w:rPr>
              <w:t>1</w:t>
            </w:r>
          </w:p>
        </w:tc>
        <w:tc>
          <w:tcPr>
            <w:tcW w:w="1239" w:type="dxa"/>
            <w:tcBorders>
              <w:right w:val="single" w:color="auto" w:sz="12" w:space="0"/>
            </w:tcBorders>
            <w:vAlign w:val="center"/>
          </w:tcPr>
          <w:p w14:paraId="20D1D36C">
            <w:pPr>
              <w:spacing w:line="240" w:lineRule="exact"/>
              <w:jc w:val="center"/>
              <w:rPr>
                <w:rFonts w:ascii="宋体" w:eastAsiaTheme="minorEastAsia"/>
                <w:w w:val="90"/>
                <w:lang w:eastAsia="zh-CN"/>
              </w:rPr>
            </w:pPr>
            <w:r>
              <w:rPr>
                <w:rFonts w:hint="eastAsia" w:ascii="宋体" w:eastAsiaTheme="minorEastAsia"/>
                <w:w w:val="90"/>
                <w:lang w:eastAsia="zh-CN"/>
              </w:rPr>
              <w:t>1</w:t>
            </w:r>
          </w:p>
        </w:tc>
      </w:tr>
      <w:tr w14:paraId="397558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1" w:hRule="atLeast"/>
          <w:jc w:val="center"/>
        </w:trPr>
        <w:tc>
          <w:tcPr>
            <w:tcW w:w="1075" w:type="dxa"/>
            <w:tcBorders>
              <w:left w:val="single" w:color="auto" w:sz="12" w:space="0"/>
            </w:tcBorders>
            <w:vAlign w:val="center"/>
          </w:tcPr>
          <w:p w14:paraId="5983F39B">
            <w:pPr>
              <w:jc w:val="center"/>
              <w:rPr>
                <w:rFonts w:ascii="宋体"/>
                <w:spacing w:val="50"/>
              </w:rPr>
            </w:pPr>
            <w:r>
              <w:rPr>
                <w:rFonts w:hint="eastAsia" w:ascii="宋体"/>
                <w:spacing w:val="50"/>
              </w:rPr>
              <w:t>单位</w:t>
            </w:r>
          </w:p>
        </w:tc>
        <w:tc>
          <w:tcPr>
            <w:tcW w:w="1231" w:type="dxa"/>
            <w:gridSpan w:val="3"/>
            <w:vAlign w:val="center"/>
          </w:tcPr>
          <w:p w14:paraId="36256903">
            <w:pPr>
              <w:jc w:val="center"/>
              <w:rPr>
                <w:rFonts w:hint="eastAsia" w:ascii="宋体" w:eastAsia="宋体"/>
                <w:w w:val="90"/>
                <w:lang w:val="en-US" w:eastAsia="zh-CN"/>
              </w:rPr>
            </w:pPr>
            <w:r>
              <w:rPr>
                <w:rFonts w:hint="eastAsia" w:ascii="宋体" w:eastAsia="宋体"/>
                <w:w w:val="90"/>
                <w:lang w:val="en-US" w:eastAsia="zh-CN"/>
              </w:rPr>
              <w:t>复材车间</w:t>
            </w:r>
          </w:p>
        </w:tc>
        <w:tc>
          <w:tcPr>
            <w:tcW w:w="1231" w:type="dxa"/>
            <w:gridSpan w:val="3"/>
            <w:vAlign w:val="center"/>
          </w:tcPr>
          <w:p w14:paraId="543A5A8D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5DB0B17B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5E95A8DA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2E7BA5FD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589B98E0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9" w:type="dxa"/>
            <w:tcBorders>
              <w:right w:val="single" w:color="auto" w:sz="12" w:space="0"/>
            </w:tcBorders>
            <w:vAlign w:val="center"/>
          </w:tcPr>
          <w:p w14:paraId="6444AB87">
            <w:pPr>
              <w:spacing w:before="20"/>
              <w:jc w:val="center"/>
              <w:rPr>
                <w:rFonts w:ascii="宋体"/>
                <w:w w:val="90"/>
              </w:rPr>
            </w:pPr>
          </w:p>
        </w:tc>
      </w:tr>
      <w:tr w14:paraId="6D6F8E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3" w:hRule="atLeast"/>
          <w:jc w:val="center"/>
        </w:trPr>
        <w:tc>
          <w:tcPr>
            <w:tcW w:w="1075" w:type="dxa"/>
            <w:tcBorders>
              <w:left w:val="single" w:color="auto" w:sz="12" w:space="0"/>
            </w:tcBorders>
            <w:vAlign w:val="center"/>
          </w:tcPr>
          <w:p w14:paraId="65C937EB">
            <w:pPr>
              <w:jc w:val="center"/>
              <w:rPr>
                <w:rFonts w:ascii="宋体"/>
                <w:spacing w:val="50"/>
              </w:rPr>
            </w:pPr>
            <w:r>
              <w:rPr>
                <w:rFonts w:hint="eastAsia" w:ascii="宋体"/>
                <w:spacing w:val="50"/>
              </w:rPr>
              <w:t>份数</w:t>
            </w:r>
          </w:p>
        </w:tc>
        <w:tc>
          <w:tcPr>
            <w:tcW w:w="1231" w:type="dxa"/>
            <w:gridSpan w:val="3"/>
            <w:vAlign w:val="center"/>
          </w:tcPr>
          <w:p w14:paraId="73732A2E">
            <w:pPr>
              <w:spacing w:line="240" w:lineRule="exact"/>
              <w:jc w:val="center"/>
              <w:rPr>
                <w:rFonts w:hint="eastAsia" w:ascii="宋体" w:eastAsia="宋体"/>
                <w:w w:val="90"/>
                <w:lang w:val="en-US" w:eastAsia="zh-CN"/>
              </w:rPr>
            </w:pPr>
            <w:r>
              <w:rPr>
                <w:rFonts w:hint="eastAsia" w:ascii="宋体" w:eastAsia="宋体"/>
                <w:w w:val="90"/>
                <w:lang w:val="en-US" w:eastAsia="zh-CN"/>
              </w:rPr>
              <w:t>1</w:t>
            </w:r>
          </w:p>
        </w:tc>
        <w:tc>
          <w:tcPr>
            <w:tcW w:w="1231" w:type="dxa"/>
            <w:gridSpan w:val="3"/>
            <w:vAlign w:val="center"/>
          </w:tcPr>
          <w:p w14:paraId="24261190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637C75AF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38BBB981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14C8582B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64EB15FA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9" w:type="dxa"/>
            <w:tcBorders>
              <w:right w:val="single" w:color="auto" w:sz="12" w:space="0"/>
            </w:tcBorders>
            <w:vAlign w:val="center"/>
          </w:tcPr>
          <w:p w14:paraId="29B7060B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</w:tr>
      <w:tr w14:paraId="327B9A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19" w:hRule="atLeast"/>
          <w:jc w:val="center"/>
        </w:trPr>
        <w:tc>
          <w:tcPr>
            <w:tcW w:w="1609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C991D3">
            <w:pPr>
              <w:jc w:val="center"/>
              <w:rPr>
                <w:rFonts w:hint="eastAsia"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编制</w:t>
            </w:r>
          </w:p>
        </w:tc>
        <w:tc>
          <w:tcPr>
            <w:tcW w:w="16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EEC3321">
            <w:pPr>
              <w:jc w:val="center"/>
              <w:rPr>
                <w:rFonts w:hint="eastAsia"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161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6724CFC">
            <w:pPr>
              <w:jc w:val="center"/>
              <w:rPr>
                <w:rFonts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1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002AC6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  <w:tc>
          <w:tcPr>
            <w:tcW w:w="16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75D5DB">
            <w:pPr>
              <w:jc w:val="center"/>
              <w:rPr>
                <w:rFonts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6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6A9A09EC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</w:tr>
      <w:tr w14:paraId="78DF01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1609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AF5F091">
            <w:pPr>
              <w:jc w:val="center"/>
              <w:rPr>
                <w:rFonts w:hint="eastAsia"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标准化</w:t>
            </w:r>
          </w:p>
        </w:tc>
        <w:tc>
          <w:tcPr>
            <w:tcW w:w="16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81AD2E6">
            <w:pPr>
              <w:jc w:val="center"/>
              <w:rPr>
                <w:rFonts w:hint="eastAsia"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161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819B4CC">
            <w:pPr>
              <w:jc w:val="center"/>
              <w:rPr>
                <w:rFonts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批准</w:t>
            </w:r>
          </w:p>
        </w:tc>
        <w:tc>
          <w:tcPr>
            <w:tcW w:w="161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2D39B786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  <w:tc>
          <w:tcPr>
            <w:tcW w:w="16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A42591D">
            <w:pPr>
              <w:jc w:val="center"/>
              <w:rPr>
                <w:rFonts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归档</w:t>
            </w:r>
          </w:p>
        </w:tc>
        <w:tc>
          <w:tcPr>
            <w:tcW w:w="16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E61614F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</w:tr>
      <w:tr w14:paraId="448469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1609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71EF6AAA">
            <w:pPr>
              <w:jc w:val="center"/>
              <w:rPr>
                <w:rFonts w:hint="default" w:ascii="宋体"/>
                <w:spacing w:val="100"/>
                <w:sz w:val="24"/>
                <w:lang w:val="en-US" w:eastAsia="zh-CN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会签</w:t>
            </w:r>
          </w:p>
        </w:tc>
        <w:tc>
          <w:tcPr>
            <w:tcW w:w="8091" w:type="dxa"/>
            <w:gridSpan w:val="17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1EE5FA2D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</w:tr>
    </w:tbl>
    <w:p w14:paraId="53BB2A2A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CCFC846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1 目的</w:t>
      </w:r>
    </w:p>
    <w:p w14:paraId="63657526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建立系统化、规范化的项目风险管理体系，识别、评估科研生产项目全周期中潜在风险，制定并实施有效应对措施，降低风险对项目进度、质量、成本及安全的影响，保障科研成果顺利转化、生产任务高效完成，实现公司科研生产目标。</w:t>
      </w:r>
    </w:p>
    <w:p w14:paraId="09A0DCFC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2 适用范围</w:t>
      </w:r>
    </w:p>
    <w:p w14:paraId="53A0AB98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适用于项目管理部所有科研项目（如新产品研发、技术攻关）、生产项目（如批量生产、工艺改进）及相关配套项目的风险识别、评估、应对与监控全过程管理。</w:t>
      </w:r>
    </w:p>
    <w:p w14:paraId="1A82DBBD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3 术语和定义</w:t>
      </w:r>
    </w:p>
    <w:p w14:paraId="29349117">
      <w:pPr>
        <w:spacing w:line="360" w:lineRule="auto"/>
        <w:ind w:firstLine="480" w:firstLineChars="200"/>
        <w:jc w:val="both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无</w:t>
      </w:r>
    </w:p>
    <w:p w14:paraId="67831DD2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4 职责分工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6879"/>
      </w:tblGrid>
      <w:tr w14:paraId="477C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643" w:type="dxa"/>
            <w:vAlign w:val="center"/>
          </w:tcPr>
          <w:p w14:paraId="1ED0F29E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en-US"/>
              </w:rPr>
              <w:t>部 门</w:t>
            </w:r>
          </w:p>
        </w:tc>
        <w:tc>
          <w:tcPr>
            <w:tcW w:w="6879" w:type="dxa"/>
            <w:vAlign w:val="center"/>
          </w:tcPr>
          <w:p w14:paraId="4101A4B2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en-US"/>
              </w:rPr>
              <w:t>主 要 职 责 描 述</w:t>
            </w:r>
          </w:p>
        </w:tc>
      </w:tr>
      <w:tr w14:paraId="426D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  <w:shd w:val="clear" w:color="auto" w:fill="auto"/>
            <w:vAlign w:val="center"/>
          </w:tcPr>
          <w:p w14:paraId="5591A638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项目管理部</w:t>
            </w:r>
          </w:p>
        </w:tc>
        <w:tc>
          <w:tcPr>
            <w:tcW w:w="6879" w:type="dxa"/>
            <w:shd w:val="clear" w:color="auto" w:fill="auto"/>
            <w:vAlign w:val="center"/>
          </w:tcPr>
          <w:p w14:paraId="720A4901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项目助理：负责项目全周期风险的初步识别、分析，编制项目风险清单。制定风险应对预案，落实应对措施，实时监控项目风险变化并及时上报。</w:t>
            </w:r>
          </w:p>
          <w:p w14:paraId="16C3BC99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项目管理部部长：由项目助理编制，部长审批项目风险管理计划及重大风险应对方案。</w:t>
            </w:r>
          </w:p>
          <w:p w14:paraId="7388FB27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（2）协调跨部门资源，指导项目组处理重大风险事件。</w:t>
            </w:r>
          </w:p>
        </w:tc>
      </w:tr>
      <w:tr w14:paraId="37272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  <w:shd w:val="clear" w:color="auto" w:fill="auto"/>
            <w:vAlign w:val="center"/>
          </w:tcPr>
          <w:p w14:paraId="2736A13D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风险管理小组</w:t>
            </w:r>
          </w:p>
        </w:tc>
        <w:tc>
          <w:tcPr>
            <w:tcW w:w="6879" w:type="dxa"/>
            <w:shd w:val="clear" w:color="auto" w:fill="auto"/>
            <w:vAlign w:val="center"/>
          </w:tcPr>
          <w:p w14:paraId="7322420E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由技术专家、生产主管、质量管理人员等组成，负责组织风险评估，审核项目风险应对预案。</w:t>
            </w:r>
          </w:p>
          <w:p w14:paraId="73F2686E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（2）每月检查项目风险监控与应对措施执行情况，提出改进建议。。</w:t>
            </w:r>
          </w:p>
        </w:tc>
      </w:tr>
      <w:tr w14:paraId="07100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643" w:type="dxa"/>
            <w:shd w:val="clear" w:color="auto" w:fill="auto"/>
            <w:vAlign w:val="center"/>
          </w:tcPr>
          <w:p w14:paraId="7B66FA38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其他部门</w:t>
            </w:r>
          </w:p>
        </w:tc>
        <w:tc>
          <w:tcPr>
            <w:tcW w:w="6879" w:type="dxa"/>
            <w:shd w:val="clear" w:color="auto" w:fill="auto"/>
            <w:vAlign w:val="center"/>
          </w:tcPr>
          <w:p w14:paraId="29662B1D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技术工程部、经营发展部、物资保障部、质量安环部等，配合提供风险分析所需数据，协助项目组实施风险应对措施。</w:t>
            </w:r>
          </w:p>
        </w:tc>
      </w:tr>
    </w:tbl>
    <w:p w14:paraId="06BC89B0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5 规定</w:t>
      </w:r>
    </w:p>
    <w:p w14:paraId="76673686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5.1 风险识别</w:t>
      </w:r>
    </w:p>
    <w:p w14:paraId="50AB3586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（1）识别方法</w:t>
      </w:r>
    </w:p>
    <w:p w14:paraId="533135A9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专家判断法：组织行业专家、技术骨干、质量骨干对项目技术路线、工艺难点等进行分析，预判潜在风险。</w:t>
      </w:r>
    </w:p>
    <w:p w14:paraId="21E48863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历史数据法：参考过往类似项目风险记录，梳理常见风险类型。</w:t>
      </w:r>
    </w:p>
    <w:p w14:paraId="5750F855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头脑风暴法：项目团队成员集中讨论，从项目立项、执行到结题各环节，挖掘可能存在的风险因素。</w:t>
      </w:r>
    </w:p>
    <w:p w14:paraId="5853C1D3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（2）识别范围</w:t>
      </w:r>
    </w:p>
    <w:p w14:paraId="203F998A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技术风险：技术方案可行性不足、关键技术难题无法突破、实验结果不稳定等。</w:t>
      </w:r>
    </w:p>
    <w:p w14:paraId="42F20D76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生产风险：设备故障、原材料供应中断、生产工艺不达标、产能不足等。</w:t>
      </w:r>
    </w:p>
    <w:p w14:paraId="5AFB48E6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进度风险：任务分配不合理、外部协作延迟、人员短缺导致项目延期。</w:t>
      </w:r>
    </w:p>
    <w:p w14:paraId="75288202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质量风险：产品质量不达标、检验标准变更、质量控制体系不完善。</w:t>
      </w:r>
    </w:p>
    <w:p w14:paraId="2E107A7E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成本风险：预算估算偏差、原材料价格波动、人力成本超支。</w:t>
      </w:r>
    </w:p>
    <w:p w14:paraId="4937FFAD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安全风险：实验操作违规、生产安全事故、危险化学品泄漏。</w:t>
      </w:r>
    </w:p>
    <w:p w14:paraId="4EDE367B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外部风险：政策法规变化、市场需求波动、供应商违约。</w:t>
      </w:r>
    </w:p>
    <w:p w14:paraId="3DDCE1F4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5.2 风险评估</w:t>
      </w:r>
    </w:p>
    <w:p w14:paraId="53A93EC1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（1）风险分析</w:t>
      </w:r>
    </w:p>
    <w:p w14:paraId="1ED94FDA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定性分析：评估风险发生的可能性（高、中、低）和影响程度（严重、中等、轻微），如技术难题攻克失败可能性高，将严重影响项目进度。</w:t>
      </w:r>
    </w:p>
    <w:p w14:paraId="11D91A97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定量分析：对可量化的风险（如质量问题、工期延误、），通过数据建模、概率计算等方法，确定风险发生概率及损失数值。</w:t>
      </w:r>
    </w:p>
    <w:p w14:paraId="50DDD5C4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（2）风险等级划分</w:t>
      </w:r>
    </w:p>
    <w:p w14:paraId="695EA1E8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高风险：发生可能性高且影响严重，需立即制定应对措施。</w:t>
      </w:r>
    </w:p>
    <w:p w14:paraId="6E763C16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中风险：发生可能性或影响程度为中等，需密切关注并制定预防方案。</w:t>
      </w:r>
    </w:p>
    <w:p w14:paraId="22BCBB42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低风险：发生可能性低且影响轻微，纳入日常监控范围。</w:t>
      </w:r>
    </w:p>
    <w:p w14:paraId="3D68942A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（3）风险应对</w:t>
      </w:r>
    </w:p>
    <w:p w14:paraId="210B73F2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a）应对策略制定</w:t>
      </w:r>
    </w:p>
    <w:p w14:paraId="4F6BD0F9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规避风险：对于高风险且无法控制的因素，调整项目方案或优化技术方案，如技术路线不成熟时更换方案。</w:t>
      </w:r>
    </w:p>
    <w:p w14:paraId="763CB3ED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降低风险：采取措施减少风险发生概率或降低影响，如增加设备维护频次降低故障风险、建立拉条挂账风险识别清单。</w:t>
      </w:r>
    </w:p>
    <w:p w14:paraId="11CF7247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转移风险：经营发展部通过签订分包合同等方式，将风险转移给第三方。</w:t>
      </w:r>
    </w:p>
    <w:p w14:paraId="5E5FC5EA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接受风险：对低风险且应对成本过高的情况，财务部提前准备应急资金或资源，如少量原材料价格波动自行承担。</w:t>
      </w:r>
    </w:p>
    <w:p w14:paraId="1B387DB9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b）应对预案编制</w:t>
      </w:r>
    </w:p>
    <w:p w14:paraId="51645685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针对高、中风险制定详细应对预案，明确责任人员、具体措施、资源需求及时间节点，如设备故障时2小时内启动备用设备，48小时内完成维修。</w:t>
      </w:r>
    </w:p>
    <w:p w14:paraId="115803E9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（4）风险监控</w:t>
      </w:r>
    </w:p>
    <w:p w14:paraId="6414818F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a）监控机制</w:t>
      </w:r>
    </w:p>
    <w:p w14:paraId="01BB3461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日常监控：项目助理通过日例会、周例会、进度报告等方式，跟踪风险应对措施执行情况及风险状态变化。</w:t>
      </w:r>
    </w:p>
    <w:p w14:paraId="05D51029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定期评审：风险管理小组每季度对项目风险进行全面评审，并由项目管理部更新风险清单和应对预案。</w:t>
      </w:r>
    </w:p>
    <w:p w14:paraId="59D99ABC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b）预警与响应</w:t>
      </w:r>
    </w:p>
    <w:p w14:paraId="2A4BB6A6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由各部门反馈，项目管理部建立风险预警指标（如成本超支10%、工期延误5天触发预警），一旦达到阈值，立即启动应急响应程序，上报管理层并调整应对措施。</w:t>
      </w:r>
    </w:p>
    <w:p w14:paraId="35AAD3CC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（5）风险记录与复盘</w:t>
      </w:r>
    </w:p>
    <w:p w14:paraId="1B329545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记录存档：项目组全程记录风险识别、评估、应对过程，形成《项目风险档案》，作为后续项目参考。</w:t>
      </w:r>
    </w:p>
    <w:p w14:paraId="3C77BC60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复盘总结：项目结束后，组织相关人员复盘风险管理工作，分析成功经验与不足，优化风险管理程序。</w:t>
      </w:r>
    </w:p>
    <w:p w14:paraId="4035760C">
      <w:pPr>
        <w:spacing w:line="440" w:lineRule="exact"/>
        <w:jc w:val="both"/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</w:p>
    <w:p w14:paraId="2C03C900">
      <w:pPr>
        <w:spacing w:line="440" w:lineRule="exact"/>
        <w:jc w:val="both"/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</w:p>
    <w:p w14:paraId="19D7DF77">
      <w:pPr>
        <w:spacing w:line="440" w:lineRule="exact"/>
        <w:jc w:val="both"/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</w:p>
    <w:p w14:paraId="6666DD33">
      <w:pPr>
        <w:spacing w:line="440" w:lineRule="exact"/>
        <w:jc w:val="both"/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</w:p>
    <w:p w14:paraId="3ED0FE3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after="313" w:afterLines="100" w:line="440" w:lineRule="exact"/>
        <w:jc w:val="both"/>
        <w:textAlignment w:val="baseline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6 流程</w:t>
      </w:r>
    </w:p>
    <w:p w14:paraId="0602A8CF">
      <w:pPr>
        <w:bidi w:val="0"/>
        <w:jc w:val="center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bookmarkStart w:id="0" w:name="_GoBack"/>
      <w:r>
        <w:drawing>
          <wp:inline distT="0" distB="0" distL="114300" distR="114300">
            <wp:extent cx="4526915" cy="1682750"/>
            <wp:effectExtent l="0" t="0" r="698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B3FA46F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7 规定表格</w:t>
      </w:r>
    </w:p>
    <w:p w14:paraId="7D6C939B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无</w:t>
      </w:r>
    </w:p>
    <w:p w14:paraId="595965A2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8 记录控制</w:t>
      </w:r>
    </w:p>
    <w:p w14:paraId="559CD42A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（1）本程序由项目管理部负责解释与修订，根据公司战略、行业变化及项目管理需求动态调整。</w:t>
      </w:r>
    </w:p>
    <w:p w14:paraId="7C8420B4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（2）本程序自发布之日起施行，原有相关规定与本程序不一致的，以本程序为准。</w:t>
      </w:r>
    </w:p>
    <w:p w14:paraId="3EA2469B">
      <w:pPr>
        <w:spacing w:line="360" w:lineRule="auto"/>
        <w:jc w:val="both"/>
        <w:rPr>
          <w:rFonts w:ascii="宋体" w:hAnsi="宋体" w:eastAsia="宋体" w:cs="宋体"/>
          <w:sz w:val="28"/>
          <w:szCs w:val="28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D8E82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E82AC2">
                          <w:pPr>
                            <w:pStyle w:val="2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E82AC2">
                    <w:pPr>
                      <w:pStyle w:val="2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DEB"/>
    <w:rsid w:val="00024B73"/>
    <w:rsid w:val="000B0714"/>
    <w:rsid w:val="00106C68"/>
    <w:rsid w:val="00142907"/>
    <w:rsid w:val="001E6B6E"/>
    <w:rsid w:val="00244A01"/>
    <w:rsid w:val="00253EF9"/>
    <w:rsid w:val="002B6FE5"/>
    <w:rsid w:val="003471A2"/>
    <w:rsid w:val="003F4566"/>
    <w:rsid w:val="0041509D"/>
    <w:rsid w:val="004440C1"/>
    <w:rsid w:val="004E390E"/>
    <w:rsid w:val="005359A2"/>
    <w:rsid w:val="005E5D12"/>
    <w:rsid w:val="00630399"/>
    <w:rsid w:val="006340D9"/>
    <w:rsid w:val="00640202"/>
    <w:rsid w:val="006511B3"/>
    <w:rsid w:val="00710AE9"/>
    <w:rsid w:val="00746D05"/>
    <w:rsid w:val="007A2FC3"/>
    <w:rsid w:val="007A4879"/>
    <w:rsid w:val="007E14F4"/>
    <w:rsid w:val="00806852"/>
    <w:rsid w:val="00811F04"/>
    <w:rsid w:val="00887D74"/>
    <w:rsid w:val="00917CF8"/>
    <w:rsid w:val="00A03C0E"/>
    <w:rsid w:val="00A1644F"/>
    <w:rsid w:val="00A41A52"/>
    <w:rsid w:val="00A63DEB"/>
    <w:rsid w:val="00AE140A"/>
    <w:rsid w:val="00CE2FE2"/>
    <w:rsid w:val="00CF6BFD"/>
    <w:rsid w:val="00D57457"/>
    <w:rsid w:val="00D648EF"/>
    <w:rsid w:val="00D86494"/>
    <w:rsid w:val="00DD036B"/>
    <w:rsid w:val="00DF522B"/>
    <w:rsid w:val="00E7026F"/>
    <w:rsid w:val="00E933A6"/>
    <w:rsid w:val="00F61D4E"/>
    <w:rsid w:val="01CE127E"/>
    <w:rsid w:val="056A7553"/>
    <w:rsid w:val="0C3A7C05"/>
    <w:rsid w:val="0C6611B3"/>
    <w:rsid w:val="2F594874"/>
    <w:rsid w:val="3F474C20"/>
    <w:rsid w:val="431163E4"/>
    <w:rsid w:val="45E564AE"/>
    <w:rsid w:val="5A2760E8"/>
    <w:rsid w:val="6098510C"/>
    <w:rsid w:val="71FE17F9"/>
    <w:rsid w:val="783D22FA"/>
    <w:rsid w:val="7A4B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1829</Words>
  <Characters>1847</Characters>
  <Lines>14</Lines>
  <Paragraphs>4</Paragraphs>
  <TotalTime>2</TotalTime>
  <ScaleCrop>false</ScaleCrop>
  <LinksUpToDate>false</LinksUpToDate>
  <CharactersWithSpaces>1877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2025-05-22T11:19:00Z</dcterms:created>
  <dc:creator>Administrator</dc:creator>
  <cp:lastModifiedBy>Administrator</cp:lastModifiedBy>
  <dcterms:modified xsi:type="dcterms:W3CDTF">2025-10-16T03:36:14Z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eyJoZGlkIjoiYjNmMzNmNzE3MDlmMDUyNGVkMzAxYzhkNDcwZDE1NzIifQ==</vt:lpwstr>
  </property>
  <property fmtid="{D5CDD505-2E9C-101B-9397-08002B2CF9AE}" pid="4" name="ICV">
    <vt:lpwstr>F6A0D838A3184069980A1464413293E4_13</vt:lpwstr>
  </property>
</Properties>
</file>