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09315" w14:textId="77777777" w:rsidR="00876B00" w:rsidRDefault="00000000">
      <w:pPr>
        <w:jc w:val="center"/>
        <w:rPr>
          <w:rFonts w:ascii="宋体" w:eastAsia="宋体" w:hAnsi="宋体" w:cs="宋体" w:hint="eastAsia"/>
          <w:sz w:val="40"/>
          <w:szCs w:val="40"/>
        </w:rPr>
      </w:pPr>
      <w:r>
        <w:rPr>
          <w:rFonts w:ascii="宋体" w:eastAsia="宋体" w:hAnsi="宋体" w:cs="宋体" w:hint="eastAsia"/>
          <w:sz w:val="40"/>
          <w:szCs w:val="40"/>
        </w:rPr>
        <w:t>新厂区接入非密园区网实施方案</w:t>
      </w:r>
    </w:p>
    <w:p w14:paraId="07FACF45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一、项目背景</w:t>
      </w:r>
    </w:p>
    <w:p w14:paraId="7C0B1D33" w14:textId="77777777" w:rsidR="00876B00" w:rsidRDefault="00000000">
      <w:pPr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沈阳昌兴复材航空科技有限责任公司新厂区为非密生产园区。为满足公司生产经营、业务协同及信息化系统运行需求，需接入民机公司非密园区网（以下简称“内网”），实现与现有信息系统的互联互通。</w:t>
      </w:r>
    </w:p>
    <w:p w14:paraId="7B1FA702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为避免重复建设与二次投入，本次接入方案遵循“统一规划、一次实施、适度超前”的原则，对网络接入、系统应用、安全体系及接口需求进行整体规划。</w:t>
      </w:r>
    </w:p>
    <w:p w14:paraId="0FC9F5E6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二、建设目标</w:t>
      </w:r>
    </w:p>
    <w:p w14:paraId="653FF1B0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1.实现新厂区与民机公司非密园区网安全互联</w:t>
      </w:r>
    </w:p>
    <w:p w14:paraId="70C7BC67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2.满足生产经营相关信息系统稳定运行需求</w:t>
      </w:r>
    </w:p>
    <w:p w14:paraId="68617897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3.建立符合国家等级保护要求的网络安全体系</w:t>
      </w:r>
    </w:p>
    <w:p w14:paraId="59E273AA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4.预留后续信息化系统扩展与接口能力</w:t>
      </w:r>
    </w:p>
    <w:p w14:paraId="07D80C02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5.避免重复建设，降低长期运维成本</w:t>
      </w:r>
    </w:p>
    <w:p w14:paraId="2968932F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三、接入需求分析</w:t>
      </w:r>
    </w:p>
    <w:p w14:paraId="121754C2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（一）业务场景需求</w:t>
      </w:r>
    </w:p>
    <w:p w14:paraId="5DE77CE1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新厂区接入内网主要用于以下业务场景：</w:t>
      </w:r>
    </w:p>
    <w:p w14:paraId="14A8CADE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食堂刷卡及考勤管理系统</w:t>
      </w:r>
    </w:p>
    <w:p w14:paraId="6B825531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OA办公系统（流程审批、行政管理等）</w:t>
      </w:r>
    </w:p>
    <w:p w14:paraId="6862D898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ERP系统（采购、库存、财务等）</w:t>
      </w:r>
    </w:p>
    <w:p w14:paraId="1A69CD0C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MES系统（生产执行管理）</w:t>
      </w:r>
    </w:p>
    <w:p w14:paraId="29A4CF0C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PDM系统（产品数据管理）</w:t>
      </w:r>
    </w:p>
    <w:p w14:paraId="42DFC229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各部门日常业务协同</w:t>
      </w:r>
    </w:p>
    <w:p w14:paraId="47A571F2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（二）系统功能需求</w:t>
      </w:r>
    </w:p>
    <w:p w14:paraId="40DB9925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系统功能原则上对标A06现有运行模式，主要包括：</w:t>
      </w:r>
    </w:p>
    <w:p w14:paraId="18B1DE9F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OA：流程审批、公文流转、行政管理</w:t>
      </w:r>
    </w:p>
    <w:p w14:paraId="3458ECEA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ERP：采购、库存、财务管理</w:t>
      </w:r>
    </w:p>
    <w:p w14:paraId="7329D828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MES：生产过程管理、工序跟踪</w:t>
      </w:r>
    </w:p>
    <w:p w14:paraId="4543F5AA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PDM：技术数据管理</w:t>
      </w:r>
    </w:p>
    <w:p w14:paraId="1B58B14F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具体功能模块由民机公司统一规划配置。</w:t>
      </w:r>
    </w:p>
    <w:p w14:paraId="3AEACB0E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（三）用户规模及使用情况</w:t>
      </w:r>
    </w:p>
    <w:p w14:paraId="024C31F4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人员规模</w:t>
      </w:r>
    </w:p>
    <w:p w14:paraId="02F5B18A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新厂区额定编制：约400人</w:t>
      </w:r>
    </w:p>
    <w:p w14:paraId="316EB7A7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二线人员占比约30%</w:t>
      </w:r>
    </w:p>
    <w:p w14:paraId="447AE7F9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接入用户数量</w:t>
      </w:r>
    </w:p>
    <w:p w14:paraId="46675446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本次申请内网接入点位：120个</w:t>
      </w:r>
    </w:p>
    <w:p w14:paraId="1A739FA7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使用频率</w:t>
      </w:r>
    </w:p>
    <w:p w14:paraId="5F028137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高频用户：约30台设备（每日使用）</w:t>
      </w:r>
    </w:p>
    <w:p w14:paraId="5080B5F0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中频用户：约50台设备</w:t>
      </w:r>
    </w:p>
    <w:p w14:paraId="4C9D3ACB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低频用户：约40台设备</w:t>
      </w:r>
    </w:p>
    <w:p w14:paraId="2B2C7116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四、网络建设方案</w:t>
      </w:r>
    </w:p>
    <w:p w14:paraId="35D634AF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（一）总体架构</w:t>
      </w:r>
    </w:p>
    <w:p w14:paraId="1C8174D7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新厂区网络采用“内外网物理隔离”架构：</w:t>
      </w:r>
    </w:p>
    <w:p w14:paraId="39F638CA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内网：接入民机非密园区网</w:t>
      </w:r>
    </w:p>
    <w:p w14:paraId="348FDED1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外网：独立互联网出口</w:t>
      </w:r>
    </w:p>
    <w:p w14:paraId="2EB5EB06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内外网之间物理隔离，确保安全合规</w:t>
      </w:r>
    </w:p>
    <w:p w14:paraId="14967877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（二）网络接入方式</w:t>
      </w:r>
    </w:p>
    <w:p w14:paraId="29BB4507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通过专线接入民机非密园区网</w:t>
      </w:r>
    </w:p>
    <w:p w14:paraId="055D3E49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配置边界防火墙，实现访问控制与安全防护</w:t>
      </w:r>
    </w:p>
    <w:p w14:paraId="794B8D5D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网络结构支持后续扩展及系统接入</w:t>
      </w:r>
    </w:p>
    <w:p w14:paraId="3951A2A3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（三）网络安全配置</w:t>
      </w:r>
    </w:p>
    <w:p w14:paraId="5422E0AB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建设内容包括：</w:t>
      </w:r>
    </w:p>
    <w:p w14:paraId="3BFD5628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防火墙部署（边界防护）</w:t>
      </w:r>
    </w:p>
    <w:p w14:paraId="32578688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网络访问控制策略</w:t>
      </w:r>
    </w:p>
    <w:p w14:paraId="5335FADC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安全日志及审计机制</w:t>
      </w:r>
    </w:p>
    <w:p w14:paraId="4E3AAC1B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病毒防护与入侵检测能力</w:t>
      </w:r>
    </w:p>
    <w:p w14:paraId="6DD9EABC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（四）网络拓扑</w:t>
      </w:r>
    </w:p>
    <w:p w14:paraId="510ED589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本项目需补充完整网络拓扑结构，包括：</w:t>
      </w:r>
    </w:p>
    <w:p w14:paraId="30B34034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内外网划分结构</w:t>
      </w:r>
    </w:p>
    <w:p w14:paraId="38ADF1AA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防火墙部署位置</w:t>
      </w:r>
    </w:p>
    <w:p w14:paraId="7B4885B0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各网络节点连接关系</w:t>
      </w:r>
    </w:p>
    <w:p w14:paraId="5F0C2D59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系统访问路径</w:t>
      </w:r>
    </w:p>
    <w:p w14:paraId="7E4B858C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（注：网络拓扑图作为方案附件提供）</w:t>
      </w:r>
    </w:p>
    <w:p w14:paraId="72FE6CA5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五、信息安全与合规要求</w:t>
      </w:r>
    </w:p>
    <w:p w14:paraId="64C9316E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（一）等级保护建设</w:t>
      </w:r>
    </w:p>
    <w:p w14:paraId="0CAE5FE1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本项目按照国家网络安全等级保护要求实施：</w:t>
      </w:r>
    </w:p>
    <w:p w14:paraId="7CA3BCE4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等级：三级（等保三级）</w:t>
      </w:r>
    </w:p>
    <w:p w14:paraId="4A8768EA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建设内容：</w:t>
      </w:r>
    </w:p>
    <w:p w14:paraId="43B0CAFE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网络安全体系建设</w:t>
      </w:r>
    </w:p>
    <w:p w14:paraId="46FEECA2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主机及系统安全加固</w:t>
      </w:r>
    </w:p>
    <w:p w14:paraId="0031E686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数据安全保护</w:t>
      </w:r>
    </w:p>
    <w:p w14:paraId="5E5A2152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安全管理制度建设</w:t>
      </w:r>
    </w:p>
    <w:p w14:paraId="4DDCFEF9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（二）实施路径</w:t>
      </w:r>
    </w:p>
    <w:p w14:paraId="5FDD2693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完成内外网物理隔离建设</w:t>
      </w:r>
    </w:p>
    <w:p w14:paraId="4CF14A40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开展等级保护测评</w:t>
      </w:r>
    </w:p>
    <w:p w14:paraId="66DC0474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获取等保三级备案/认证</w:t>
      </w:r>
    </w:p>
    <w:p w14:paraId="20E587DD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在合规基础上开展系统对接</w:t>
      </w:r>
    </w:p>
    <w:p w14:paraId="63F3CD0C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六、系统接口及扩展规划</w:t>
      </w:r>
    </w:p>
    <w:p w14:paraId="69EA6383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为避免后续重复开发及费用增加，本次统一规划接口需求：</w:t>
      </w:r>
    </w:p>
    <w:p w14:paraId="13E68664" w14:textId="3D4612FB" w:rsidR="00876B00" w:rsidRPr="002F5520" w:rsidRDefault="00000000" w:rsidP="002F5520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sz w:val="28"/>
          <w:szCs w:val="28"/>
        </w:rPr>
      </w:pPr>
      <w:r w:rsidRPr="002F5520">
        <w:rPr>
          <w:rFonts w:ascii="宋体" w:eastAsia="宋体" w:hAnsi="宋体" w:cs="宋体" w:hint="eastAsia"/>
          <w:sz w:val="28"/>
          <w:szCs w:val="28"/>
        </w:rPr>
        <w:t>已明确接口需求</w:t>
      </w:r>
    </w:p>
    <w:p w14:paraId="7C2F4A66" w14:textId="38FDA0D7" w:rsidR="002F5520" w:rsidRPr="002F5520" w:rsidRDefault="00BD0F9E" w:rsidP="002F552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继承现有的民机OA（及其作为入口跳转的其它系统）、PDM、QMS、WMS、MES上的RBAC</w:t>
      </w:r>
      <w:r w:rsidR="0021759C">
        <w:rPr>
          <w:rFonts w:ascii="宋体" w:eastAsia="宋体" w:hAnsi="宋体" w:cs="宋体" w:hint="eastAsia"/>
          <w:sz w:val="28"/>
          <w:szCs w:val="28"/>
        </w:rPr>
        <w:t>。</w:t>
      </w:r>
    </w:p>
    <w:p w14:paraId="5099EB5B" w14:textId="77777777" w:rsidR="00876B00" w:rsidRDefault="00000000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（二）预留接口能力</w:t>
      </w:r>
    </w:p>
    <w:p w14:paraId="0B6928A6" w14:textId="75102B0C" w:rsidR="00876B00" w:rsidRDefault="002F552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协同平台</w:t>
      </w:r>
      <w:r w:rsidR="00BD0F9E">
        <w:rPr>
          <w:rFonts w:ascii="宋体" w:eastAsia="宋体" w:hAnsi="宋体" w:cs="宋体" w:hint="eastAsia"/>
          <w:sz w:val="28"/>
          <w:szCs w:val="28"/>
        </w:rPr>
        <w:t>、数据中台、</w:t>
      </w:r>
      <w:r w:rsidR="00000000">
        <w:rPr>
          <w:rFonts w:ascii="宋体" w:eastAsia="宋体" w:hAnsi="宋体" w:cs="宋体" w:hint="eastAsia"/>
          <w:sz w:val="28"/>
          <w:szCs w:val="28"/>
        </w:rPr>
        <w:t>未来质量系统及投标系统接口</w:t>
      </w:r>
      <w:r w:rsidR="0021759C">
        <w:rPr>
          <w:rFonts w:ascii="宋体" w:eastAsia="宋体" w:hAnsi="宋体" w:cs="宋体" w:hint="eastAsia"/>
          <w:sz w:val="28"/>
          <w:szCs w:val="28"/>
        </w:rPr>
        <w:t>。</w:t>
      </w:r>
    </w:p>
    <w:p w14:paraId="64485958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移动终端（Pad）接入能力</w:t>
      </w:r>
    </w:p>
    <w:p w14:paraId="558011B3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（三）接口建设原则</w:t>
      </w:r>
    </w:p>
    <w:p w14:paraId="20ED7B4A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统一规划、集中实施</w:t>
      </w:r>
    </w:p>
    <w:p w14:paraId="39A4C376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明确接口功能及数据流向</w:t>
      </w:r>
    </w:p>
    <w:p w14:paraId="06121E0C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避免后期重复收费</w:t>
      </w:r>
    </w:p>
    <w:p w14:paraId="0350C119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七、终端及设备规划</w:t>
      </w:r>
    </w:p>
    <w:p w14:paraId="1BA88F03" w14:textId="3405A519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接入终端：约120台</w:t>
      </w:r>
      <w:r w:rsidR="008245D7">
        <w:rPr>
          <w:rFonts w:ascii="宋体" w:eastAsia="宋体" w:hAnsi="宋体" w:cs="宋体" w:hint="eastAsia"/>
          <w:sz w:val="28"/>
          <w:szCs w:val="28"/>
        </w:rPr>
        <w:t>PC及若干</w:t>
      </w:r>
      <w:r w:rsidR="00440FCF">
        <w:rPr>
          <w:rFonts w:ascii="宋体" w:eastAsia="宋体" w:hAnsi="宋体" w:cs="宋体" w:hint="eastAsia"/>
          <w:sz w:val="28"/>
          <w:szCs w:val="28"/>
        </w:rPr>
        <w:t>手持</w:t>
      </w:r>
      <w:r w:rsidR="008245D7">
        <w:rPr>
          <w:rFonts w:ascii="宋体" w:eastAsia="宋体" w:hAnsi="宋体" w:cs="宋体" w:hint="eastAsia"/>
          <w:sz w:val="28"/>
          <w:szCs w:val="28"/>
        </w:rPr>
        <w:t>上位机。</w:t>
      </w:r>
    </w:p>
    <w:p w14:paraId="1468596D" w14:textId="3F4889FA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终端类型：</w:t>
      </w:r>
    </w:p>
    <w:p w14:paraId="6596E296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办公电脑</w:t>
      </w:r>
    </w:p>
    <w:p w14:paraId="49EB80C3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生产辅助终端</w:t>
      </w:r>
    </w:p>
    <w:p w14:paraId="55A5D60C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未来移动终端（Pad）</w:t>
      </w:r>
    </w:p>
    <w:p w14:paraId="551B5B2D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使用方式：</w:t>
      </w:r>
    </w:p>
    <w:p w14:paraId="468621F6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一人一机为主</w:t>
      </w:r>
    </w:p>
    <w:p w14:paraId="5AFC69F4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不支持账号共享登录</w:t>
      </w:r>
    </w:p>
    <w:p w14:paraId="0067E93F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八、费用测算及承担建议</w:t>
      </w:r>
    </w:p>
    <w:p w14:paraId="4BA72896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（一）费用构成</w:t>
      </w:r>
    </w:p>
    <w:p w14:paraId="42974263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基础设施费用（昌兴承担）</w:t>
      </w:r>
    </w:p>
    <w:p w14:paraId="6AB6A66E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专线建设费用</w:t>
      </w:r>
    </w:p>
    <w:p w14:paraId="55AD86CB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防火墙及网络设备</w:t>
      </w:r>
    </w:p>
    <w:p w14:paraId="4B0DE003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网络建设费用</w:t>
      </w:r>
    </w:p>
    <w:p w14:paraId="77C228FD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系统接入费用</w:t>
      </w:r>
    </w:p>
    <w:p w14:paraId="641D1114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内网接入点位费用（约990元/点）</w:t>
      </w:r>
    </w:p>
    <w:p w14:paraId="2131011C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民机侧系统配置及实施费用</w:t>
      </w:r>
    </w:p>
    <w:p w14:paraId="6DC1447A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安全建设费用</w:t>
      </w:r>
    </w:p>
    <w:p w14:paraId="0EFB5B4B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等保测评费用</w:t>
      </w:r>
    </w:p>
    <w:p w14:paraId="61BE7257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安全整改费用</w:t>
      </w:r>
    </w:p>
    <w:p w14:paraId="55C4D8E3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（二）费用承担建议</w:t>
      </w:r>
    </w:p>
    <w:p w14:paraId="6FF90A18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昌兴承担本地网络及安全建设费用</w:t>
      </w:r>
    </w:p>
    <w:p w14:paraId="29214125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涉及民机公司系统扩展、点位增加等费用，建议由民机公司统一承担或协调解决</w:t>
      </w:r>
    </w:p>
    <w:p w14:paraId="286D0CFA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九、实施计划</w:t>
      </w:r>
    </w:p>
    <w:p w14:paraId="5818DA9A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明确需求并完成方案报批</w:t>
      </w:r>
    </w:p>
    <w:p w14:paraId="6F598793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完成网络及安全架构设计</w:t>
      </w:r>
    </w:p>
    <w:p w14:paraId="2BE95DF3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实施网络建设及设备部署</w:t>
      </w:r>
    </w:p>
    <w:p w14:paraId="1CD45023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开展等保测评</w:t>
      </w:r>
    </w:p>
    <w:p w14:paraId="3A0434D1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完成系统接入与调试</w:t>
      </w:r>
    </w:p>
    <w:p w14:paraId="533D77DF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正式上线运行</w:t>
      </w:r>
    </w:p>
    <w:p w14:paraId="5F328A91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十、其他说明</w:t>
      </w:r>
    </w:p>
    <w:p w14:paraId="785EB87E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本方案为整体规划方案，后续实施可根据实际情况优化调整</w:t>
      </w:r>
    </w:p>
    <w:p w14:paraId="39766DB5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所有系统及接口需求原则上一次性申报完成</w:t>
      </w:r>
    </w:p>
    <w:p w14:paraId="2146120D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后续新增需求可能涉及额外费用</w:t>
      </w:r>
    </w:p>
    <w:p w14:paraId="601B0F3D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十一、结论</w:t>
      </w:r>
    </w:p>
    <w:p w14:paraId="32210C39" w14:textId="77777777" w:rsidR="00876B00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通过本方案实施，可实现新厂区安全、稳定接入民机非密园区网，满足生产经营需要，同时具备良好的扩展能力和合规基础，为公司信息化发展提供支撑。</w:t>
      </w:r>
    </w:p>
    <w:sectPr w:rsidR="00876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D3B00"/>
    <w:multiLevelType w:val="hybridMultilevel"/>
    <w:tmpl w:val="5796ADF6"/>
    <w:lvl w:ilvl="0" w:tplc="F126FB10">
      <w:start w:val="1"/>
      <w:numFmt w:val="japaneseCounting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069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00"/>
    <w:rsid w:val="0021759C"/>
    <w:rsid w:val="002F5520"/>
    <w:rsid w:val="00440FCF"/>
    <w:rsid w:val="00783F84"/>
    <w:rsid w:val="008245D7"/>
    <w:rsid w:val="00876B00"/>
    <w:rsid w:val="00A17119"/>
    <w:rsid w:val="00BD0F9E"/>
    <w:rsid w:val="098D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671804"/>
  <w15:docId w15:val="{7D300CBA-D14A-42C6-B78B-9B47DFA8A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2F552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料峭</dc:creator>
  <cp:lastModifiedBy>Charles Archer</cp:lastModifiedBy>
  <cp:revision>6</cp:revision>
  <dcterms:created xsi:type="dcterms:W3CDTF">2026-05-17T02:39:00Z</dcterms:created>
  <dcterms:modified xsi:type="dcterms:W3CDTF">2026-05-17T02:47:00Z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eyJoZGlkIjoiOGI4NjI5OTBmMDM1ODFlMDkzNDFlZTFiMWNhZWU5ZTMiLCJ1c2VySWQiOiIyNDc2ODcxNzgifQ==</vt:lpwstr>
  </property>
  <property fmtid="{D5CDD505-2E9C-101B-9397-08002B2CF9AE}" pid="4" name="ICV">
    <vt:lpwstr>73C603D214EE4282AEFDBB217D3A51D0_13</vt:lpwstr>
  </property>
</Properties>
</file>