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022" w:rsidRPr="00BF5022" w:rsidRDefault="00BF5022" w:rsidP="00BF5022">
      <w:pPr>
        <w:spacing w:after="240" w:line="440" w:lineRule="exact"/>
        <w:jc w:val="center"/>
        <w:rPr>
          <w:rFonts w:ascii="Times New Roman" w:hAnsi="Times New Roman" w:cs="Times New Roman"/>
          <w:b/>
        </w:rPr>
      </w:pPr>
      <w:r w:rsidRPr="00BF5022">
        <w:rPr>
          <w:rFonts w:ascii="Times New Roman" w:hAnsi="Times New Roman" w:cs="Times New Roman"/>
          <w:b/>
        </w:rPr>
        <w:t>Foreword</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This system is a supporting management </w:t>
      </w:r>
      <w:proofErr w:type="spellStart"/>
      <w:r w:rsidRPr="00BF5022">
        <w:rPr>
          <w:rFonts w:ascii="Times New Roman" w:hAnsi="Times New Roman" w:cs="Times New Roman"/>
        </w:rPr>
        <w:t>regulation.Proposed</w:t>
      </w:r>
      <w:proofErr w:type="spellEnd"/>
      <w:r w:rsidRPr="00BF5022">
        <w:rPr>
          <w:rFonts w:ascii="Times New Roman" w:hAnsi="Times New Roman" w:cs="Times New Roman"/>
        </w:rPr>
        <w:t xml:space="preserve"> by the Department of Science and Technology Innovation, this system is drafted with the participation of the Department of Science and Technology </w:t>
      </w:r>
      <w:proofErr w:type="spellStart"/>
      <w:r w:rsidRPr="00BF5022">
        <w:rPr>
          <w:rFonts w:ascii="Times New Roman" w:hAnsi="Times New Roman" w:cs="Times New Roman"/>
        </w:rPr>
        <w:t>Innovation.The</w:t>
      </w:r>
      <w:proofErr w:type="spellEnd"/>
      <w:r w:rsidRPr="00BF5022">
        <w:rPr>
          <w:rFonts w:ascii="Times New Roman" w:hAnsi="Times New Roman" w:cs="Times New Roman"/>
        </w:rPr>
        <w:t xml:space="preserve"> Department of Science and Technology Innovation is responsible for the interpretation of this system.</w:t>
      </w:r>
    </w:p>
    <w:p w:rsidR="00BF5022" w:rsidRP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hint="eastAsia"/>
        </w:rPr>
      </w:pPr>
    </w:p>
    <w:p w:rsidR="00BF5022" w:rsidRP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p>
    <w:p w:rsidR="00BF5022" w:rsidRDefault="00BF5022" w:rsidP="00BF5022">
      <w:pPr>
        <w:spacing w:line="440" w:lineRule="exact"/>
        <w:jc w:val="center"/>
        <w:rPr>
          <w:rFonts w:ascii="Times New Roman" w:hAnsi="Times New Roman" w:cs="Times New Roman"/>
          <w:b/>
        </w:rPr>
      </w:pPr>
      <w:r w:rsidRPr="00BF5022">
        <w:rPr>
          <w:rFonts w:ascii="Times New Roman" w:hAnsi="Times New Roman" w:cs="Times New Roman"/>
          <w:b/>
        </w:rPr>
        <w:lastRenderedPageBreak/>
        <w:t>Tooling Usage Management Standard for COMAC Projects</w:t>
      </w:r>
    </w:p>
    <w:p w:rsidR="00BF5022" w:rsidRPr="00BF5022" w:rsidRDefault="00BF5022" w:rsidP="00BF5022">
      <w:pPr>
        <w:spacing w:line="440" w:lineRule="exact"/>
        <w:jc w:val="center"/>
        <w:rPr>
          <w:rFonts w:ascii="Times New Roman" w:hAnsi="Times New Roman" w:cs="Times New Roman"/>
          <w:b/>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1 Scope</w:t>
      </w:r>
    </w:p>
    <w:p w:rsidR="00BF5022" w:rsidRPr="00BF5022" w:rsidRDefault="00BF5022" w:rsidP="00BF5022">
      <w:pPr>
        <w:spacing w:line="440" w:lineRule="exact"/>
        <w:rPr>
          <w:rFonts w:ascii="Times New Roman" w:hAnsi="Times New Roman" w:cs="Times New Roman"/>
        </w:rPr>
      </w:pPr>
    </w:p>
    <w:p w:rsid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This document specifies the requirements for the management and maintenance of COMAC </w:t>
      </w:r>
      <w:proofErr w:type="spellStart"/>
      <w:r w:rsidRPr="00BF5022">
        <w:rPr>
          <w:rFonts w:ascii="Times New Roman" w:hAnsi="Times New Roman" w:cs="Times New Roman"/>
        </w:rPr>
        <w:t>tooling.This</w:t>
      </w:r>
      <w:proofErr w:type="spellEnd"/>
      <w:r w:rsidRPr="00BF5022">
        <w:rPr>
          <w:rFonts w:ascii="Times New Roman" w:hAnsi="Times New Roman" w:cs="Times New Roman"/>
        </w:rPr>
        <w:t xml:space="preserve"> document applies to the implementation of tooling business for COMAC </w:t>
      </w:r>
      <w:proofErr w:type="spellStart"/>
      <w:r w:rsidRPr="00BF5022">
        <w:rPr>
          <w:rFonts w:ascii="Times New Roman" w:hAnsi="Times New Roman" w:cs="Times New Roman"/>
        </w:rPr>
        <w:t>projects.This</w:t>
      </w:r>
      <w:proofErr w:type="spellEnd"/>
      <w:r w:rsidRPr="00BF5022">
        <w:rPr>
          <w:rFonts w:ascii="Times New Roman" w:hAnsi="Times New Roman" w:cs="Times New Roman"/>
        </w:rPr>
        <w:t xml:space="preserve"> document is formulated in accordance with GLC14070301 and SR0006.</w:t>
      </w:r>
    </w:p>
    <w:p w:rsidR="00BF5022" w:rsidRP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2 Normative References</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The following documents are indispensable for the application of this document. For dated and/or versioned referenced documents, only the edition with the indicated date and/or version applies to this document. For undated and/or </w:t>
      </w:r>
      <w:proofErr w:type="spellStart"/>
      <w:r w:rsidRPr="00BF5022">
        <w:rPr>
          <w:rFonts w:ascii="Times New Roman" w:hAnsi="Times New Roman" w:cs="Times New Roman"/>
        </w:rPr>
        <w:t>unversioned</w:t>
      </w:r>
      <w:proofErr w:type="spellEnd"/>
      <w:r w:rsidRPr="00BF5022">
        <w:rPr>
          <w:rFonts w:ascii="Times New Roman" w:hAnsi="Times New Roman" w:cs="Times New Roman"/>
        </w:rPr>
        <w:t xml:space="preserve"> referenced documents, the latest edition (including all amendments) applies to this document.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SR0006 Regulations on the Design, Manufacturing, Acceptance and Management of Process Equipment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Q/CTS 0030 Numbering and Coding of Process Equipment Drawings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Q/CTS 0039 Process Equipment Identification</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Q/C TS 0040 Surface Coating of Process Equipment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GLC14070301 Procedure for the Use and Management of Process Equipment</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3 Forms</w:t>
      </w:r>
    </w:p>
    <w:p w:rsidR="00BF5022" w:rsidRPr="00BF5022" w:rsidRDefault="00BF5022" w:rsidP="00BF5022">
      <w:pPr>
        <w:spacing w:line="440" w:lineRule="exact"/>
        <w:rPr>
          <w:rFonts w:ascii="Times New Roman" w:hAnsi="Times New Roman" w:cs="Times New Roman"/>
          <w:b/>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3.1 Prescribed Forms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None</w:t>
      </w: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3.2 Referenced Forms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COMAC Controlled Tooling Project List (see Appendix A)</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Supplier Tooling List (see Appendix B)</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Supplier Tooling Asset List (see Appendix 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SAMC 05-50 Periodic Inspection (see Appendix D)</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lastRenderedPageBreak/>
        <w:t>Tooling Serial Number (Appendix E)</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 Terms and Definitions</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4.1 Supplier Tooling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A document containing tooling information (including tooling serial number, tooling drawing number, tooling name, etc.) for all tooling (including decommissioned, scrapped, retained, etc.).</w:t>
      </w: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4.2 Qualified Supplier Tooling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A document containing tooling information (including tooling serial number, tooling drawing number, tooling name, etc.) for tooling that has passed inspection and is used for normal production.</w:t>
      </w: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4.3 COMAC Controlled Tooling Project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A document selected by COMAC from the Supplier Tooling List based on relevant tooling control principles, containing tooling information (including tooling serial number, tooling drawing number, tooling name, etc.) for tooling that requires COMAC control.</w:t>
      </w: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4.4 Supplier Tooling Asset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A document containing asset information (ownership belongs to COMAC) of tooling that has been manufactured and warehoused, including tooling serial number, tooling drawing number, tooling name, etc.</w:t>
      </w: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4.5 Qualified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Tooling that meets the usage requirements.</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5 Provisions</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 Tooling Project Approval</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5.1.1 Tooling Numbering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Unless otherwise specified, the numbering of tooling drawings shall be implemented in accordance with the requirements of Procedure GLB1407020203. However, the corresponding tooling code (implemented in accordance with Q/CTS 0030) shall be </w:t>
      </w:r>
      <w:r w:rsidRPr="00BF5022">
        <w:rPr>
          <w:rFonts w:ascii="Times New Roman" w:hAnsi="Times New Roman" w:cs="Times New Roman"/>
        </w:rPr>
        <w:lastRenderedPageBreak/>
        <w:t>listed in the "Supplier Tooling List" (see Appendix B).The tooling serial number shall be implemented in accordance with Appendix E.</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5.1.2 Tooling Selection</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5.1.2.1 Determination of COMAC Controlled Tooling Projects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(1) Determination </w:t>
      </w:r>
      <w:proofErr w:type="spellStart"/>
      <w:r w:rsidRPr="00BF5022">
        <w:rPr>
          <w:rFonts w:ascii="Times New Roman" w:hAnsi="Times New Roman" w:cs="Times New Roman"/>
        </w:rPr>
        <w:t>Principles</w:t>
      </w:r>
      <w:proofErr w:type="gramStart"/>
      <w:r w:rsidRPr="00BF5022">
        <w:rPr>
          <w:rFonts w:ascii="Times New Roman" w:hAnsi="Times New Roman" w:cs="Times New Roman"/>
        </w:rPr>
        <w:t>:a</w:t>
      </w:r>
      <w:proofErr w:type="spellEnd"/>
      <w:proofErr w:type="gramEnd"/>
      <w:r w:rsidRPr="00BF5022">
        <w:rPr>
          <w:rFonts w:ascii="Times New Roman" w:hAnsi="Times New Roman" w:cs="Times New Roman"/>
        </w:rPr>
        <w:t xml:space="preserve">) Type I and Type II tooling (excluding those provided by COMAC);b) Part inspection tooling for key parts/important </w:t>
      </w:r>
      <w:proofErr w:type="spellStart"/>
      <w:r w:rsidRPr="00BF5022">
        <w:rPr>
          <w:rFonts w:ascii="Times New Roman" w:hAnsi="Times New Roman" w:cs="Times New Roman"/>
        </w:rPr>
        <w:t>parts;c</w:t>
      </w:r>
      <w:proofErr w:type="spellEnd"/>
      <w:r w:rsidRPr="00BF5022">
        <w:rPr>
          <w:rFonts w:ascii="Times New Roman" w:hAnsi="Times New Roman" w:cs="Times New Roman"/>
        </w:rPr>
        <w:t>) Other tooling that COMAC deems necessary to control.</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(2) Within ten working days after the Project Management Department submits the component assembly coordination plan to COMAC and obtains approval, it shall submit the electronic version (EXCEL format) and paper version (signed by the project manager) of the Supplier Tooling List (Appendix B) required for the manufactured components to COMAC;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(3) The Project Management Department shall organize COMAC to select COMAC controlled tooling projects from the provided Supplier Tooling List (Appendix B) and compile the electronic version (PDF format) of the COMAC Controlled Tooling Project List (Appendix A);</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(4) If there is a change to the tooling project, the Process Equipment Office shall update the Supplier Tooling List. The Project Management Department shall submit the updated Supplier Tooling List (Appendix B, with explanations in the remarks column, such as: new addition, duplication, deletion, controlled, etc.) to COMAC within ten working days after confirming the change. The Project Management Department shall coordinate with COMAC to decide whether to update the COMAC Controlled Tooling Project List (Appendix A) based on the content of the change.</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5.1.2.2 The Process Equipment Office shall establish and maintain the "Qualified Supplier Tooling List" for each project.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5.1.2.3 Within one month after the delivery of the first component, the Project Management Department shall provide the updated Supplier Tooling List (Appendix B) (as of the component delivery date) to COMAC. At the same time, it shall be updated in a timely manner in accordance with configuration control requirements until the delivery of COMAC's first aircraft, and organize COMAC to compile it into the project tooling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lastRenderedPageBreak/>
        <w:t>5.2 Tooling Management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5.2.1 Tooling Asset Management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5.2.1.1 At the end of each year, summarize the information of tooling completed and warehoused in the current year into the "Supplier Tooling Asset List" (Appendix C), and submit the electronic version (EXCEL format) and paper version (signed by the project manager) to COMAC.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5.2.1.2 The Project Management Department is responsible for handling COMAC's regular (first half of each year) or irregular tooling asset inspection and inventory work for tooling assets (ownership belongs to COMAC).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5.2.1.3 After the Process Equipment Office organizes the completion of the tooling asset inspection and inventory work, the Project Management Department and COMAC shall sign and confirm the results. If there are shortages, surpluses, or other situations during the tooling asset inspection and inventory process, the Project Management Department shall formulate rectification measures and notify COMAC in writing of the implementation status, which shall be verified by COMAC.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 Management and Maintenance</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5.2.2.1 Unless otherwise specified, the Process Equipment Office shall implement the requirements of Procedure GLC14050403 to ensure effective control of tooling management and maintenance.</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5.2.2.2 The management requirements for standard tooling shall be implemented in accordance with GLB14050403-06.</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5.2.2.3 The tooling user unit shall conduct daily maintenance work such as visual inspection, rust removal, oiling, and cleaning of inter-factory shared tooling in accordance with the requirements of Procedure GLC14050403 and form records. If any faults or damages are found during the use of inter-factory shared tooling, the specific situation shall be reported to the Process Equipment Office in a timely manner. After verification and confirmation by the Process Equipment Office, it shall be reported to the Domestic Project Office, which shall then report to COMAC.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5.2.2.4 The regular inspection of inter-factory shared tooling shall be coordinated by the Project Management Department and undertaken by COMAC, or entrusted to the Process Equipment Office for regular inspection (when the tooling is at AVIC </w:t>
      </w:r>
      <w:r w:rsidRPr="00BF5022">
        <w:rPr>
          <w:rFonts w:ascii="Times New Roman" w:hAnsi="Times New Roman" w:cs="Times New Roman"/>
        </w:rPr>
        <w:lastRenderedPageBreak/>
        <w:t>Shenyang Aircraft Industry (Group) Civil Aircraft) in accordance with GLC140508. The Project Management Department shall coordinate with COMAC's quality representative to participate in the acceptance. For tooling subject to periodic inspection by "aircraft unit", the Department of Science and Technology Innovation shall cooperate with COMAC (quality representative) to complete the relevant regular inspection procedures and information filling, that is, fill in the specific aircraft unit information used by the tooling in the Periodic Inspection (SAMC 05-50, Appendix D).</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5.2.2.5 The tooling user unit shall conduct daily work such as visual inspection, rust removal, oiling, and cleaning of all tooling on-site or in the warehouse and form records. If problems such as missing tooling components, rust, poor lubrication, missing nameplates, damaged nameplates, damaged electrical circuits, hydraulic/pneumatic leakage, and potential safety hazards are found, they shall be reported to the Process Equipment Office for handling in a timely manner.</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5.2.2.6 In addition to daily maintenance work, the tooling user unit shall perform tooling maintenance in accordance with the specific requirements of the tooling drawings, including ensuring the completeness of tooling components, good usable condition, clear nameplates/identification, clean surface, no obvious appearance defects, no visually visible potential safety hazards, smoothness inspection of sliding parts, repair and replacement of special components, and elimination of potential safety hazards.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5.2.2.7 During the tooling acceptance process, the tooling manufacturing unit shall mark the tooling serial number in the delivery documents, and the user unit shall check this requirement during the acceptance process.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5.2.2.8 COMAC has the right to assign representatives to inspect any relevant tooling and related data of the supplier.</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5.2.3 COMAC Controlled Tooling Project List</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The Process Equipment Office shall establish and maintain the COMAC Controlled Tooling Project List, which shall include at least the following information: tooling drawing number (tooling category code, sequence number), copy number, name, regular inspection cycle, next regular inspection date, etc.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5.2.4 Tooling Duplication, Scrapping and Decommissioning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lastRenderedPageBreak/>
        <w:t>5.2.4.1 Duplicated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(1) Duplication: Existing tooling projects may be applied for duplication to expand production capacity, but different tooling serial numbers and copy numbers shall be assigned for distinction. After the completion of manufacturing, the tooling can be put into use only after passing inspection by quality personnel (including production verification);(2) Duplication of Scrapped Tooling: Tooling that cannot be repaired due to normal wear and tear or modifications shall be scrapped and duplicated. All scrapped and duplicated tooling shall retain the original tooling number/copy number and use a new tooling serial number. After the completion of manufacturing, the tooling can be put into use only after passing inspection by quality personnel (including production verification).</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5.2.4.2 Scrapped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The scrapping process of tooling used for COMAC projects shall be implemented in accordance with GLC14050303. The special requirements involving COMAC are as </w:t>
      </w:r>
      <w:proofErr w:type="spellStart"/>
      <w:r w:rsidRPr="00BF5022">
        <w:rPr>
          <w:rFonts w:ascii="Times New Roman" w:hAnsi="Times New Roman" w:cs="Times New Roman"/>
        </w:rPr>
        <w:t>follows:The</w:t>
      </w:r>
      <w:proofErr w:type="spellEnd"/>
      <w:r w:rsidRPr="00BF5022">
        <w:rPr>
          <w:rFonts w:ascii="Times New Roman" w:hAnsi="Times New Roman" w:cs="Times New Roman"/>
        </w:rPr>
        <w:t xml:space="preserve"> approval for the scrapping of tooling (ownership belongs to COMAC) shall be implemented in accordance with the following requirements:(1) For the scrapping of tooling projects owned by COMAC, the tooling asset unit shall submit a written application with physical photos of the tooling to be scrapped as an attachment (confirmed by the chief engineer) to COMAC for approval;(2) Without written authorization from COMAC, the Financial Management Department shall not dispose of the residual value of the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5.2.4.3 Decommissioning of COMAC Controlled Tooling Projects</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The decommissioning of tooling used for COMAC projects shall be implemented in accordance with the relevant processes for tooling sealing specified in GLC14050403. The specific requirements involving COMAC are as follows:(1) If tooling is decommissioned due to process changes, it shall be implemented in accordance with the provisions of the internal procedures, but the change shall be reported to COMAC for the record;(2) If tooling is decommissioned due to engineering configuration changes, the Project Management Department may submit a written application to COMAC, and COMAC shall issue handling opinions on the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 COMAC Inter-factory Shared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lastRenderedPageBreak/>
        <w:t>5.3.1 Design</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The Project Management Department shall coordinate with COMAC to be responsible for the design and change control of all inter-factory shared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5.3.2 Manufacturing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5.3.2.1 Inter-factory shared tooling shall be manufactured by COMAC coordinated by the Project Management Department in accordance with COMAC's tooling drawings/data, or may be entrusted to suppliers for manufacturing, but shall be included in COMAC's tooling control system.</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5.3.2.2 The identification and surface coating of inter-factory shared tooling shall be implemented in accordance with the requirements of Q/CTS 0039 and Q/C TS 0040 respectively.</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5.3.3 Loan and Return</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5.3.3.1 Tooling borrowed with products (or separately) shall be accompanied by complete tooling identification, tooling quality documents, tooling packing list, and other data. The shipping party shall retain verifiable documents for the tooling.</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5.3.3.2 The shipping/receiving party shall complete the written handover procedures for the tooling in accordance with the tooling certification data, etc.</w:t>
      </w: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5.3.3.3 Before using the inter-factory tooling and before returning it for shipment (including shipment with products), a status inspection shall be conducted (such as: regular inspection cycle, consistency between the physical version of the tooling and the latest effective tooling version required by SPS, etc.), and any problematic items (including those found during use) shall be reported in writing to the on-site quality representative. Subsequent work shall not be continued until the disposal opinions on the problematic items are obtained from COMAC's Procurement and Supply Department. Before using the inter-factory tooling, the tooling drawing number, name, version, and its consistency with the latest effective tooling version required by SPS shall be recorded in the assembly process documents/manufacturing process documents. The inter-factory tooling shall be returned to COMAC for regular inspection three months before the expiration of the regular inspection cycle, unless it is in use.</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6 Explanation of Standard Diagrams</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None</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b/>
        </w:rPr>
      </w:pPr>
      <w:r w:rsidRPr="00BF5022">
        <w:rPr>
          <w:rFonts w:ascii="Times New Roman" w:hAnsi="Times New Roman" w:cs="Times New Roman"/>
          <w:b/>
        </w:rPr>
        <w:t>7 Record Control</w:t>
      </w:r>
    </w:p>
    <w:p w:rsidR="00BF5022" w:rsidRDefault="00BF5022" w:rsidP="00BF5022">
      <w:pPr>
        <w:spacing w:line="440" w:lineRule="exact"/>
        <w:rPr>
          <w:rFonts w:ascii="Times New Roman" w:hAnsi="Times New Roman" w:cs="Times New Roman"/>
        </w:rPr>
      </w:pPr>
    </w:p>
    <w:p w:rsidR="00BF5022" w:rsidRPr="00BF5022" w:rsidRDefault="00BF5022" w:rsidP="00BF5022">
      <w:pPr>
        <w:spacing w:line="440" w:lineRule="exact"/>
        <w:rPr>
          <w:rFonts w:ascii="Times New Roman" w:hAnsi="Times New Roman" w:cs="Times New Roman"/>
        </w:rPr>
      </w:pPr>
      <w:r w:rsidRPr="00BF5022">
        <w:rPr>
          <w:rFonts w:ascii="Times New Roman" w:hAnsi="Times New Roman" w:cs="Times New Roman"/>
        </w:rPr>
        <w:t xml:space="preserve">7.1 The filling and maintenance of relevant records shall be implemented in accordance </w:t>
      </w:r>
      <w:proofErr w:type="gramStart"/>
      <w:r w:rsidRPr="00BF5022">
        <w:rPr>
          <w:rFonts w:ascii="Times New Roman" w:hAnsi="Times New Roman" w:cs="Times New Roman"/>
        </w:rPr>
        <w:t>with</w:t>
      </w:r>
      <w:proofErr w:type="gramEnd"/>
      <w:r w:rsidRPr="00BF5022">
        <w:rPr>
          <w:rFonts w:ascii="Times New Roman" w:hAnsi="Times New Roman" w:cs="Times New Roman"/>
        </w:rPr>
        <w:t xml:space="preserve"> the requirements of the procedure document GLC231008.</w:t>
      </w: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Default="00BF5022" w:rsidP="00BF5022">
      <w:pPr>
        <w:spacing w:line="440" w:lineRule="exact"/>
        <w:rPr>
          <w:rFonts w:ascii="Times New Roman" w:hAnsi="Times New Roman" w:cs="Times New Roman"/>
          <w:b/>
        </w:rPr>
      </w:pPr>
    </w:p>
    <w:p w:rsidR="00BF5022" w:rsidRPr="00BF5022" w:rsidRDefault="00BF5022" w:rsidP="00BF5022">
      <w:pPr>
        <w:spacing w:line="440" w:lineRule="exact"/>
        <w:jc w:val="center"/>
        <w:rPr>
          <w:rFonts w:ascii="Times New Roman" w:hAnsi="Times New Roman" w:cs="Times New Roman"/>
          <w:b/>
        </w:rPr>
      </w:pPr>
      <w:bookmarkStart w:id="0" w:name="_GoBack"/>
      <w:r w:rsidRPr="00BF5022">
        <w:rPr>
          <w:rFonts w:ascii="Times New Roman" w:hAnsi="Times New Roman" w:cs="Times New Roman"/>
          <w:b/>
        </w:rPr>
        <w:lastRenderedPageBreak/>
        <w:t>Appendix A</w:t>
      </w:r>
    </w:p>
    <w:p w:rsidR="00BF5022" w:rsidRDefault="00BF5022" w:rsidP="00BF5022">
      <w:pPr>
        <w:spacing w:line="440" w:lineRule="exact"/>
        <w:jc w:val="center"/>
        <w:rPr>
          <w:rFonts w:ascii="Times New Roman" w:hAnsi="Times New Roman" w:cs="Times New Roman"/>
        </w:rPr>
      </w:pPr>
      <w:r w:rsidRPr="00BF5022">
        <w:rPr>
          <w:rFonts w:ascii="Times New Roman" w:hAnsi="Times New Roman" w:cs="Times New Roman"/>
        </w:rPr>
        <w:t>(Informative)</w:t>
      </w:r>
    </w:p>
    <w:p w:rsidR="00EB2732" w:rsidRPr="00BF5022" w:rsidRDefault="00BF5022" w:rsidP="00BF5022">
      <w:pPr>
        <w:spacing w:line="440" w:lineRule="exact"/>
        <w:jc w:val="center"/>
        <w:rPr>
          <w:rFonts w:ascii="Times New Roman" w:hAnsi="Times New Roman" w:cs="Times New Roman"/>
        </w:rPr>
      </w:pPr>
      <w:r w:rsidRPr="00BF5022">
        <w:rPr>
          <w:rFonts w:ascii="Times New Roman" w:hAnsi="Times New Roman" w:cs="Times New Roman"/>
        </w:rPr>
        <w:t>See attached documents</w:t>
      </w:r>
      <w:bookmarkEnd w:id="0"/>
    </w:p>
    <w:sectPr w:rsidR="00EB2732" w:rsidRPr="00BF5022">
      <w:headerReference w:type="default" r:id="rId7"/>
      <w:footerReference w:type="default" r:id="rId8"/>
      <w:pgSz w:w="11906" w:h="16838"/>
      <w:pgMar w:top="1440" w:right="1802" w:bottom="1440" w:left="1802" w:header="708" w:footer="708" w:gutter="0"/>
      <w:pgNumType w:start="9"/>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A42" w:rsidRDefault="00146A42">
      <w:r>
        <w:separator/>
      </w:r>
    </w:p>
  </w:endnote>
  <w:endnote w:type="continuationSeparator" w:id="0">
    <w:p w:rsidR="00146A42" w:rsidRDefault="0014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732" w:rsidRDefault="00146A42">
    <w:pPr>
      <w:jc w:val="center"/>
    </w:pPr>
    <w:r>
      <w:t xml:space="preserve"> </w:t>
    </w:r>
    <w:r>
      <w:t>第</w:t>
    </w:r>
    <w:r>
      <w:t xml:space="preserve"> </w:t>
    </w:r>
    <w:r>
      <w:fldChar w:fldCharType="begin"/>
    </w:r>
    <w:r>
      <w:instrText>PAGE</w:instrText>
    </w:r>
    <w:r w:rsidR="00BF5022">
      <w:fldChar w:fldCharType="separate"/>
    </w:r>
    <w:r w:rsidR="00BF5022">
      <w:rPr>
        <w:noProof/>
      </w:rPr>
      <w:t>18</w:t>
    </w:r>
    <w:r>
      <w:fldChar w:fldCharType="end"/>
    </w:r>
    <w:r>
      <w:t xml:space="preserve"> </w:t>
    </w:r>
    <w:r>
      <w:t>页</w:t>
    </w:r>
    <w:r>
      <w:t xml:space="preserve"> / </w:t>
    </w:r>
    <w:r>
      <w:t>共</w:t>
    </w:r>
    <w:r>
      <w:t xml:space="preserve"> </w:t>
    </w:r>
    <w:r>
      <w:fldChar w:fldCharType="begin"/>
    </w:r>
    <w:r>
      <w:instrText>NUMPAGES</w:instrText>
    </w:r>
    <w:r w:rsidR="00BF5022">
      <w:fldChar w:fldCharType="separate"/>
    </w:r>
    <w:r w:rsidR="00BF5022">
      <w:rPr>
        <w:noProof/>
      </w:rPr>
      <w:t>10</w:t>
    </w:r>
    <w:r>
      <w:fldChar w:fldCharType="end"/>
    </w:r>
    <w:r>
      <w:t xml:space="preserve"> </w:t>
    </w:r>
    <w:r>
      <w:t>页</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A42" w:rsidRDefault="00146A42">
      <w:r>
        <w:separator/>
      </w:r>
    </w:p>
  </w:footnote>
  <w:footnote w:type="continuationSeparator" w:id="0">
    <w:p w:rsidR="00146A42" w:rsidRDefault="00146A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732" w:rsidRDefault="00146A42">
    <w:pPr>
      <w:tabs>
        <w:tab w:val="right" w:pos="14464"/>
      </w:tabs>
      <w:jc w:val="right"/>
    </w:pPr>
    <w:r>
      <w:t>GLB14070301-02-A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F122B8"/>
    <w:multiLevelType w:val="hybridMultilevel"/>
    <w:tmpl w:val="4086BEBA"/>
    <w:lvl w:ilvl="0" w:tplc="9CF86734">
      <w:start w:val="1"/>
      <w:numFmt w:val="bullet"/>
      <w:lvlText w:val="●"/>
      <w:lvlJc w:val="left"/>
      <w:pPr>
        <w:ind w:left="720" w:hanging="360"/>
      </w:pPr>
    </w:lvl>
    <w:lvl w:ilvl="1" w:tplc="BFD842EA">
      <w:start w:val="1"/>
      <w:numFmt w:val="bullet"/>
      <w:lvlText w:val="○"/>
      <w:lvlJc w:val="left"/>
      <w:pPr>
        <w:ind w:left="1440" w:hanging="360"/>
      </w:pPr>
    </w:lvl>
    <w:lvl w:ilvl="2" w:tplc="58E8285E">
      <w:start w:val="1"/>
      <w:numFmt w:val="bullet"/>
      <w:lvlText w:val="■"/>
      <w:lvlJc w:val="left"/>
      <w:pPr>
        <w:ind w:left="2160" w:hanging="360"/>
      </w:pPr>
    </w:lvl>
    <w:lvl w:ilvl="3" w:tplc="E8B4E2E4">
      <w:start w:val="1"/>
      <w:numFmt w:val="bullet"/>
      <w:lvlText w:val="●"/>
      <w:lvlJc w:val="left"/>
      <w:pPr>
        <w:ind w:left="2880" w:hanging="360"/>
      </w:pPr>
    </w:lvl>
    <w:lvl w:ilvl="4" w:tplc="F126DA46">
      <w:start w:val="1"/>
      <w:numFmt w:val="bullet"/>
      <w:lvlText w:val="○"/>
      <w:lvlJc w:val="left"/>
      <w:pPr>
        <w:ind w:left="3600" w:hanging="360"/>
      </w:pPr>
    </w:lvl>
    <w:lvl w:ilvl="5" w:tplc="37BEF4E0">
      <w:start w:val="1"/>
      <w:numFmt w:val="bullet"/>
      <w:lvlText w:val="■"/>
      <w:lvlJc w:val="left"/>
      <w:pPr>
        <w:ind w:left="4320" w:hanging="360"/>
      </w:pPr>
    </w:lvl>
    <w:lvl w:ilvl="6" w:tplc="F43E81AE">
      <w:start w:val="1"/>
      <w:numFmt w:val="bullet"/>
      <w:lvlText w:val="●"/>
      <w:lvlJc w:val="left"/>
      <w:pPr>
        <w:ind w:left="5040" w:hanging="360"/>
      </w:pPr>
    </w:lvl>
    <w:lvl w:ilvl="7" w:tplc="6922D5A0">
      <w:start w:val="1"/>
      <w:numFmt w:val="bullet"/>
      <w:lvlText w:val="●"/>
      <w:lvlJc w:val="left"/>
      <w:pPr>
        <w:ind w:left="5760" w:hanging="360"/>
      </w:pPr>
    </w:lvl>
    <w:lvl w:ilvl="8" w:tplc="DB5C11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732"/>
    <w:rsid w:val="00146A42"/>
    <w:rsid w:val="00BF5022"/>
    <w:rsid w:val="00EB2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EEE2A7-3CCB-41DF-B016-8386D4ED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spacing w:before="340" w:after="330"/>
      <w:outlineLvl w:val="0"/>
    </w:pPr>
    <w:rPr>
      <w:b/>
      <w:bCs/>
      <w:color w:val="000000"/>
      <w:sz w:val="44"/>
      <w:szCs w:val="44"/>
    </w:rPr>
  </w:style>
  <w:style w:type="paragraph" w:styleId="2">
    <w:name w:val="heading 2"/>
    <w:qFormat/>
    <w:pPr>
      <w:spacing w:before="260" w:after="260"/>
      <w:outlineLvl w:val="1"/>
    </w:pPr>
    <w:rPr>
      <w:b/>
      <w:bCs/>
      <w:color w:val="000000"/>
      <w:sz w:val="32"/>
      <w:szCs w:val="32"/>
    </w:rPr>
  </w:style>
  <w:style w:type="paragraph" w:styleId="3">
    <w:name w:val="heading 3"/>
    <w:qFormat/>
    <w:pPr>
      <w:spacing w:before="260" w:after="260"/>
      <w:outlineLvl w:val="2"/>
    </w:pPr>
    <w:rPr>
      <w:b/>
      <w:bCs/>
      <w:color w:val="000000"/>
      <w:sz w:val="32"/>
      <w:szCs w:val="32"/>
    </w:rPr>
  </w:style>
  <w:style w:type="paragraph" w:styleId="4">
    <w:name w:val="heading 4"/>
    <w:qFormat/>
    <w:pPr>
      <w:spacing w:before="280" w:after="290"/>
      <w:outlineLvl w:val="3"/>
    </w:pPr>
    <w:rPr>
      <w:b/>
      <w:bCs/>
      <w:color w:val="000000"/>
      <w:sz w:val="28"/>
      <w:szCs w:val="28"/>
    </w:rPr>
  </w:style>
  <w:style w:type="paragraph" w:styleId="5">
    <w:name w:val="heading 5"/>
    <w:qFormat/>
    <w:pPr>
      <w:spacing w:before="280" w:after="290"/>
      <w:outlineLvl w:val="4"/>
    </w:pPr>
    <w:rPr>
      <w:b/>
      <w:bCs/>
      <w:color w:val="000000"/>
      <w:sz w:val="28"/>
      <w:szCs w:val="28"/>
    </w:rPr>
  </w:style>
  <w:style w:type="paragraph" w:styleId="6">
    <w:name w:val="heading 6"/>
    <w:qFormat/>
    <w:pPr>
      <w:spacing w:before="240" w:after="64"/>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340823">
      <w:bodyDiv w:val="1"/>
      <w:marLeft w:val="0"/>
      <w:marRight w:val="0"/>
      <w:marTop w:val="0"/>
      <w:marBottom w:val="0"/>
      <w:divBdr>
        <w:top w:val="none" w:sz="0" w:space="0" w:color="auto"/>
        <w:left w:val="none" w:sz="0" w:space="0" w:color="auto"/>
        <w:bottom w:val="none" w:sz="0" w:space="0" w:color="auto"/>
        <w:right w:val="none" w:sz="0" w:space="0" w:color="auto"/>
      </w:divBdr>
      <w:divsChild>
        <w:div w:id="236133926">
          <w:marLeft w:val="0"/>
          <w:marRight w:val="0"/>
          <w:marTop w:val="0"/>
          <w:marBottom w:val="0"/>
          <w:divBdr>
            <w:top w:val="single" w:sz="2" w:space="0" w:color="auto"/>
            <w:left w:val="single" w:sz="2" w:space="0" w:color="auto"/>
            <w:bottom w:val="single" w:sz="2" w:space="0" w:color="auto"/>
            <w:right w:val="single" w:sz="2" w:space="0" w:color="auto"/>
          </w:divBdr>
        </w:div>
        <w:div w:id="741030223">
          <w:marLeft w:val="0"/>
          <w:marRight w:val="0"/>
          <w:marTop w:val="0"/>
          <w:marBottom w:val="0"/>
          <w:divBdr>
            <w:top w:val="single" w:sz="2" w:space="0" w:color="auto"/>
            <w:left w:val="single" w:sz="2" w:space="0" w:color="auto"/>
            <w:bottom w:val="single" w:sz="2" w:space="0" w:color="auto"/>
            <w:right w:val="single" w:sz="2" w:space="0" w:color="auto"/>
          </w:divBdr>
        </w:div>
        <w:div w:id="459416447">
          <w:marLeft w:val="0"/>
          <w:marRight w:val="0"/>
          <w:marTop w:val="0"/>
          <w:marBottom w:val="0"/>
          <w:divBdr>
            <w:top w:val="single" w:sz="2" w:space="0" w:color="auto"/>
            <w:left w:val="single" w:sz="2" w:space="0" w:color="auto"/>
            <w:bottom w:val="single" w:sz="2" w:space="0" w:color="auto"/>
            <w:right w:val="single" w:sz="2" w:space="0" w:color="auto"/>
          </w:divBdr>
        </w:div>
        <w:div w:id="1569923453">
          <w:marLeft w:val="0"/>
          <w:marRight w:val="0"/>
          <w:marTop w:val="0"/>
          <w:marBottom w:val="0"/>
          <w:divBdr>
            <w:top w:val="single" w:sz="2" w:space="0" w:color="auto"/>
            <w:left w:val="single" w:sz="2" w:space="0" w:color="auto"/>
            <w:bottom w:val="single" w:sz="2" w:space="0" w:color="auto"/>
            <w:right w:val="single" w:sz="2" w:space="0" w:color="auto"/>
          </w:divBdr>
        </w:div>
        <w:div w:id="800266522">
          <w:marLeft w:val="0"/>
          <w:marRight w:val="0"/>
          <w:marTop w:val="0"/>
          <w:marBottom w:val="0"/>
          <w:divBdr>
            <w:top w:val="single" w:sz="2" w:space="0" w:color="auto"/>
            <w:left w:val="single" w:sz="2" w:space="0" w:color="auto"/>
            <w:bottom w:val="single" w:sz="2" w:space="0" w:color="auto"/>
            <w:right w:val="single" w:sz="2" w:space="0" w:color="auto"/>
          </w:divBdr>
        </w:div>
        <w:div w:id="295531068">
          <w:marLeft w:val="0"/>
          <w:marRight w:val="0"/>
          <w:marTop w:val="0"/>
          <w:marBottom w:val="0"/>
          <w:divBdr>
            <w:top w:val="single" w:sz="2" w:space="0" w:color="auto"/>
            <w:left w:val="single" w:sz="2" w:space="0" w:color="auto"/>
            <w:bottom w:val="single" w:sz="2" w:space="0" w:color="auto"/>
            <w:right w:val="single" w:sz="2" w:space="0" w:color="auto"/>
          </w:divBdr>
        </w:div>
        <w:div w:id="238173313">
          <w:marLeft w:val="0"/>
          <w:marRight w:val="0"/>
          <w:marTop w:val="0"/>
          <w:marBottom w:val="0"/>
          <w:divBdr>
            <w:top w:val="single" w:sz="2" w:space="0" w:color="auto"/>
            <w:left w:val="single" w:sz="2" w:space="0" w:color="auto"/>
            <w:bottom w:val="single" w:sz="2" w:space="0" w:color="auto"/>
            <w:right w:val="single" w:sz="2" w:space="0" w:color="auto"/>
          </w:divBdr>
        </w:div>
        <w:div w:id="1245601746">
          <w:marLeft w:val="0"/>
          <w:marRight w:val="0"/>
          <w:marTop w:val="0"/>
          <w:marBottom w:val="0"/>
          <w:divBdr>
            <w:top w:val="single" w:sz="2" w:space="0" w:color="auto"/>
            <w:left w:val="single" w:sz="2" w:space="0" w:color="auto"/>
            <w:bottom w:val="single" w:sz="2" w:space="0" w:color="auto"/>
            <w:right w:val="single" w:sz="2" w:space="0" w:color="auto"/>
          </w:divBdr>
        </w:div>
        <w:div w:id="822812088">
          <w:marLeft w:val="0"/>
          <w:marRight w:val="0"/>
          <w:marTop w:val="0"/>
          <w:marBottom w:val="0"/>
          <w:divBdr>
            <w:top w:val="single" w:sz="2" w:space="0" w:color="auto"/>
            <w:left w:val="single" w:sz="2" w:space="0" w:color="auto"/>
            <w:bottom w:val="single" w:sz="2" w:space="0" w:color="auto"/>
            <w:right w:val="single" w:sz="2" w:space="0" w:color="auto"/>
          </w:divBdr>
        </w:div>
        <w:div w:id="842939105">
          <w:marLeft w:val="0"/>
          <w:marRight w:val="0"/>
          <w:marTop w:val="0"/>
          <w:marBottom w:val="0"/>
          <w:divBdr>
            <w:top w:val="single" w:sz="2" w:space="0" w:color="auto"/>
            <w:left w:val="single" w:sz="2" w:space="0" w:color="auto"/>
            <w:bottom w:val="single" w:sz="2" w:space="0" w:color="auto"/>
            <w:right w:val="single" w:sz="2" w:space="0" w:color="auto"/>
          </w:divBdr>
        </w:div>
        <w:div w:id="1658725008">
          <w:marLeft w:val="0"/>
          <w:marRight w:val="0"/>
          <w:marTop w:val="0"/>
          <w:marBottom w:val="0"/>
          <w:divBdr>
            <w:top w:val="single" w:sz="2" w:space="0" w:color="auto"/>
            <w:left w:val="single" w:sz="2" w:space="0" w:color="auto"/>
            <w:bottom w:val="single" w:sz="2" w:space="0" w:color="auto"/>
            <w:right w:val="single" w:sz="2" w:space="0" w:color="auto"/>
          </w:divBdr>
        </w:div>
        <w:div w:id="1879201225">
          <w:marLeft w:val="0"/>
          <w:marRight w:val="0"/>
          <w:marTop w:val="0"/>
          <w:marBottom w:val="0"/>
          <w:divBdr>
            <w:top w:val="single" w:sz="2" w:space="0" w:color="auto"/>
            <w:left w:val="single" w:sz="2" w:space="0" w:color="auto"/>
            <w:bottom w:val="single" w:sz="2" w:space="0" w:color="auto"/>
            <w:right w:val="single" w:sz="2" w:space="0" w:color="auto"/>
          </w:divBdr>
        </w:div>
        <w:div w:id="701053925">
          <w:marLeft w:val="0"/>
          <w:marRight w:val="0"/>
          <w:marTop w:val="0"/>
          <w:marBottom w:val="0"/>
          <w:divBdr>
            <w:top w:val="single" w:sz="2" w:space="0" w:color="auto"/>
            <w:left w:val="single" w:sz="2" w:space="0" w:color="auto"/>
            <w:bottom w:val="single" w:sz="2" w:space="0" w:color="auto"/>
            <w:right w:val="single" w:sz="2" w:space="0" w:color="auto"/>
          </w:divBdr>
        </w:div>
        <w:div w:id="1686249973">
          <w:marLeft w:val="0"/>
          <w:marRight w:val="0"/>
          <w:marTop w:val="0"/>
          <w:marBottom w:val="0"/>
          <w:divBdr>
            <w:top w:val="single" w:sz="2" w:space="0" w:color="auto"/>
            <w:left w:val="single" w:sz="2" w:space="0" w:color="auto"/>
            <w:bottom w:val="single" w:sz="2" w:space="0" w:color="auto"/>
            <w:right w:val="single" w:sz="2" w:space="0" w:color="auto"/>
          </w:divBdr>
        </w:div>
        <w:div w:id="1034696679">
          <w:marLeft w:val="0"/>
          <w:marRight w:val="0"/>
          <w:marTop w:val="0"/>
          <w:marBottom w:val="0"/>
          <w:divBdr>
            <w:top w:val="single" w:sz="2" w:space="0" w:color="auto"/>
            <w:left w:val="single" w:sz="2" w:space="0" w:color="auto"/>
            <w:bottom w:val="single" w:sz="2" w:space="0" w:color="auto"/>
            <w:right w:val="single" w:sz="2" w:space="0" w:color="auto"/>
          </w:divBdr>
        </w:div>
        <w:div w:id="550728252">
          <w:marLeft w:val="0"/>
          <w:marRight w:val="0"/>
          <w:marTop w:val="0"/>
          <w:marBottom w:val="0"/>
          <w:divBdr>
            <w:top w:val="single" w:sz="2" w:space="0" w:color="auto"/>
            <w:left w:val="single" w:sz="2" w:space="0" w:color="auto"/>
            <w:bottom w:val="single" w:sz="2" w:space="0" w:color="auto"/>
            <w:right w:val="single" w:sz="2" w:space="0" w:color="auto"/>
          </w:divBdr>
        </w:div>
        <w:div w:id="441730886">
          <w:marLeft w:val="0"/>
          <w:marRight w:val="0"/>
          <w:marTop w:val="0"/>
          <w:marBottom w:val="0"/>
          <w:divBdr>
            <w:top w:val="single" w:sz="2" w:space="0" w:color="auto"/>
            <w:left w:val="single" w:sz="2" w:space="0" w:color="auto"/>
            <w:bottom w:val="single" w:sz="2" w:space="0" w:color="auto"/>
            <w:right w:val="single" w:sz="2" w:space="0" w:color="auto"/>
          </w:divBdr>
        </w:div>
        <w:div w:id="1539507434">
          <w:marLeft w:val="0"/>
          <w:marRight w:val="0"/>
          <w:marTop w:val="0"/>
          <w:marBottom w:val="0"/>
          <w:divBdr>
            <w:top w:val="single" w:sz="2" w:space="0" w:color="auto"/>
            <w:left w:val="single" w:sz="2" w:space="0" w:color="auto"/>
            <w:bottom w:val="single" w:sz="2" w:space="0" w:color="auto"/>
            <w:right w:val="single" w:sz="2" w:space="0" w:color="auto"/>
          </w:divBdr>
        </w:div>
        <w:div w:id="231433919">
          <w:marLeft w:val="0"/>
          <w:marRight w:val="0"/>
          <w:marTop w:val="0"/>
          <w:marBottom w:val="0"/>
          <w:divBdr>
            <w:top w:val="single" w:sz="2" w:space="0" w:color="auto"/>
            <w:left w:val="single" w:sz="2" w:space="0" w:color="auto"/>
            <w:bottom w:val="single" w:sz="2" w:space="0" w:color="auto"/>
            <w:right w:val="single" w:sz="2" w:space="0" w:color="auto"/>
          </w:divBdr>
        </w:div>
        <w:div w:id="1369451126">
          <w:marLeft w:val="0"/>
          <w:marRight w:val="0"/>
          <w:marTop w:val="0"/>
          <w:marBottom w:val="0"/>
          <w:divBdr>
            <w:top w:val="single" w:sz="2" w:space="0" w:color="auto"/>
            <w:left w:val="single" w:sz="2" w:space="0" w:color="auto"/>
            <w:bottom w:val="single" w:sz="2" w:space="0" w:color="auto"/>
            <w:right w:val="single" w:sz="2" w:space="0" w:color="auto"/>
          </w:divBdr>
        </w:div>
        <w:div w:id="2112121471">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2124</Words>
  <Characters>12110</Characters>
  <Application>Microsoft Office Word</Application>
  <DocSecurity>0</DocSecurity>
  <Lines>100</Lines>
  <Paragraphs>28</Paragraphs>
  <ScaleCrop>false</ScaleCrop>
  <Company>Microsoft</Company>
  <LinksUpToDate>false</LinksUpToDate>
  <CharactersWithSpaces>14206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姚亮</cp:lastModifiedBy>
  <cp:revision>2</cp:revision>
  <dcterms:created xsi:type="dcterms:W3CDTF">2025-12-04T06:43:00Z</dcterms:created>
  <dcterms:modified xsi:type="dcterms:W3CDTF">2025-12-04T08:32:00Z</dcterms:modified>
</cp:coreProperties>
</file>