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40" w:line="264" w:lineRule="auto"/>
        <w:jc w:val="center"/>
      </w:pPr>
      <w:r>
        <w:rPr>
          <w:rFonts w:ascii="Calibri" w:hAnsi="Calibri" w:eastAsia="黑体"/>
          <w:b/>
          <w:sz w:val="24"/>
        </w:rPr>
        <w:t>公  开</w:t>
      </w:r>
    </w:p>
    <w:p>
      <w:pPr>
        <w:keepNext w:val="0"/>
        <w:spacing w:before="480" w:after="80" w:line="264" w:lineRule="auto"/>
        <w:jc w:val="center"/>
      </w:pPr>
      <w:r>
        <w:rPr>
          <w:rFonts w:ascii="Calibri" w:hAnsi="Calibri" w:eastAsia="黑体"/>
          <w:b/>
          <w:sz w:val="44"/>
        </w:rPr>
        <w:t>昌兴复材数字化底座建设项目启动令</w:t>
      </w:r>
    </w:p>
    <w:p>
      <w:pPr>
        <w:keepNext w:val="0"/>
        <w:spacing w:before="0" w:after="360" w:line="264" w:lineRule="auto"/>
        <w:jc w:val="center"/>
      </w:pPr>
      <w:r>
        <w:rPr>
          <w:rFonts w:ascii="Calibri" w:hAnsi="Calibri" w:eastAsia="宋体"/>
          <w:color w:val="666666"/>
          <w:sz w:val="24"/>
        </w:rPr>
        <w:t>（起草稿）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签发主体</w:t>
            </w:r>
          </w:p>
        </w:tc>
        <w:tc>
          <w:tcPr>
            <w:tcW w:type="dxa" w:w="74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项目决策组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签发人</w:t>
            </w:r>
          </w:p>
        </w:tc>
        <w:tc>
          <w:tcPr>
            <w:tcW w:type="dxa" w:w="74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马成文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审核/会签</w:t>
            </w:r>
          </w:p>
        </w:tc>
        <w:tc>
          <w:tcPr>
            <w:tcW w:type="dxa" w:w="74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李洪哲、刘春含、张广懿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编制/归档</w:t>
            </w:r>
          </w:p>
        </w:tc>
        <w:tc>
          <w:tcPr>
            <w:tcW w:type="dxa" w:w="74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PMO、张琇雅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适用对象</w:t>
            </w:r>
          </w:p>
        </w:tc>
        <w:tc>
          <w:tcPr>
            <w:tcW w:type="dxa" w:w="74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各部门、各项目工作组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生效口径</w:t>
            </w:r>
          </w:p>
        </w:tc>
        <w:tc>
          <w:tcPr>
            <w:tcW w:type="dxa" w:w="74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自签发之日起生效</w:t>
            </w:r>
          </w:p>
        </w:tc>
      </w:tr>
    </w:tbl>
    <w:p>
      <w:pPr>
        <w:keepNext w:val="0"/>
        <w:spacing w:before="280" w:after="160" w:line="264" w:lineRule="auto"/>
      </w:pPr>
      <w:r>
        <w:rPr>
          <w:rFonts w:ascii="Calibri" w:hAnsi="Calibri" w:eastAsia="宋体"/>
          <w:b/>
          <w:sz w:val="22"/>
        </w:rPr>
        <w:t>各部门、各项目工作组：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根据公司数字化底座建设工作安排及项目启动会决议，经项目决策组研究，决定正式启动昌兴复材数字化底座建设项目第一阶段工作，并授权PMO牵头组织项目计划、流程治理、数据治理、阶段门控制和跨部门协同推进。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本启动令为项目决策组正式签发的项目启动授权文件。PMO负责编制、发布、解释、组织实施和归档管理；各部门、各项目工作组应按本启动令要求开展工作。</w:t>
      </w:r>
    </w:p>
    <w:p>
      <w:pPr>
        <w:keepNext/>
        <w:spacing w:before="320" w:after="160" w:line="264" w:lineRule="auto"/>
      </w:pPr>
      <w:r>
        <w:rPr>
          <w:rFonts w:ascii="Calibri" w:hAnsi="Calibri" w:eastAsia="黑体"/>
          <w:b/>
          <w:color w:val="000000"/>
          <w:sz w:val="28"/>
        </w:rPr>
        <w:t>一、启动范围与总体原则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第一阶段采用“一令三启动”口径：启动项目执行管控，启动流程地图与流程治理，启动数据地图、主数据待确认项治理与MDM承接。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本项目第一阶段坚持“流程先行、数据先行、映射先行”。各部门和工作组应先完成部门职责、L1/L2/L3/A1、字段台账、数据对象、维护责任、待确认黄金源、待确认主数据对象和S1承接关系的梳理，再进入具体系统方案深化。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本启动令不以具体系统模块、供应商方案或历史使用习惯作为第一阶段工作起点。第一阶段重点是形成流程地图、数据地图、字段台账、待确认主数据对象、待确认黄金源和映射关系确认结果，为后续系统方案深化、接口设计、权限矩阵、联调安排和验收提供依据。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本项目第一阶段并非直接确定系统模块、开发范围或供应商实施方案，而是先对公司现行业务运行方式进行系统梳理。各部门应说明相关流程的发起、审核、执行和数据维护责任，明确现行制度、表单、台账、流程图、会议确认等材料如何支撑业务运行，哪些字段需要被其他部门、业务场景或系统继续使用。上述关系明确后，后续系统建设、接口设计、权限配置、主数据管理和验收工作才能形成统一依据，避免因流程边界不清、数据责任不明或历史问题未暴露而影响项目实施。</w:t>
      </w:r>
    </w:p>
    <w:p>
      <w:pPr>
        <w:keepNext/>
        <w:spacing w:before="320" w:after="160" w:line="264" w:lineRule="auto"/>
      </w:pPr>
      <w:r>
        <w:rPr>
          <w:rFonts w:ascii="Calibri" w:hAnsi="Calibri" w:eastAsia="黑体"/>
          <w:b/>
          <w:color w:val="000000"/>
          <w:sz w:val="28"/>
        </w:rPr>
        <w:t>二、术语与工作口径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术语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工作口径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L1 能力域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按业务领域归集的高阶能力分类，用于说明某项工作属于哪个能力范围。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L2 业务能力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能力域下相对稳定的业务能力，用于承接部门职责和管理要求。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L3 业务流程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可被执行、确认和管理的具体流程，是本阶段流程治理的核心对象。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A1 业务行为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从L3流程进一步拆出的具体业务动作，是确认角色、输入、输出、字段、证据和责任边界的基础单元。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S1 应用系统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承接或支撑业务流程的信息系统层级，用于记录流程与系统之间的关系；S1不是本阶段的分析起点，也不等同于系统选型结论。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流程责任链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指流程发起、审核、执行、结果确认等责任关系。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数据责任链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指数据产生、维护、审核、使用、变更和确认等责任关系。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现行依据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指支撑现行业务运行的制度、表单、台账、流程图、会议确认等材料。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证据材料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指用于证明流程、字段、责任边界和处理结果的可追溯材料。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映射关系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指部门职责、L1/L2/L3/A1、数据字段、待确认主数据对象、待确认黄金源和S1承接之间的关联关系。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治理成果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指流程地图、数据地图、字段台账、责任边界、问题闭环、评审结论等阶段性成果。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阶段性确认材料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指用于阶段门放行、评审和归档的确认记录、交付物、会议纪要和整改闭环材料。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责任池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指暂不能立即判定责任归属、需要跨部门澄清的问题集合。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问题清单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指PMO持续跟踪的风险、阻塞、缺证、逾期、争议和待闭环事项。</w:t>
            </w:r>
          </w:p>
        </w:tc>
      </w:tr>
    </w:tbl>
    <w:p>
      <w:pPr>
        <w:keepNext w:val="0"/>
        <w:spacing w:before="16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映射关系不是为了形成图示本身，而是为了把流程责任、数据来源、字段维护、跨部门协同、系统承接和后续阶段门验收串成一条可追溯链路。对尚未建立清晰映射的事项，不宜直接进入系统建设、接口设计、主数据定版或联调安排。</w:t>
      </w:r>
    </w:p>
    <w:p>
      <w:pPr>
        <w:keepNext/>
        <w:spacing w:before="320" w:after="160" w:line="264" w:lineRule="auto"/>
      </w:pPr>
      <w:r>
        <w:rPr>
          <w:rFonts w:ascii="Calibri" w:hAnsi="Calibri" w:eastAsia="黑体"/>
          <w:b/>
          <w:color w:val="000000"/>
          <w:sz w:val="28"/>
        </w:rPr>
        <w:t>三、第一阶段交付成果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00"/>
        <w:gridCol w:w="3300"/>
        <w:gridCol w:w="5360"/>
      </w:tblGrid>
      <w:tr>
        <w:trPr>
          <w:tblHeader w:val="true"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序号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成果名称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主要用途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1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项目总体计划、WBS执行基线与PMO管控台账</w:t>
            </w:r>
          </w:p>
        </w:tc>
        <w:tc>
          <w:tcPr>
            <w:tcW w:type="dxa" w:w="53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支撑项目计划、周例会、阶段门、问题清单和执行偏差处理。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2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流程地图与部门流程清单</w:t>
            </w:r>
          </w:p>
        </w:tc>
        <w:tc>
          <w:tcPr>
            <w:tcW w:type="dxa" w:w="53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形成部门流程现状、流程边界和跨部门关系的统一视图。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3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L3流程与A1业务行为梳理结果</w:t>
            </w:r>
          </w:p>
        </w:tc>
        <w:tc>
          <w:tcPr>
            <w:tcW w:type="dxa" w:w="53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支撑后续角色、字段、证据、责任边界和验收标准确认。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4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数据地图与字段台账</w:t>
            </w:r>
          </w:p>
        </w:tc>
        <w:tc>
          <w:tcPr>
            <w:tcW w:type="dxa" w:w="53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记录字段来源、业务含义、使用场景、维护责任和质量状态。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5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待确认主数据对象清单</w:t>
            </w:r>
          </w:p>
        </w:tc>
        <w:tc>
          <w:tcPr>
            <w:tcW w:type="dxa" w:w="53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识别可能进入主数据治理范围的对象和字段。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6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待确认黄金源与维护责任确认表</w:t>
            </w:r>
          </w:p>
        </w:tc>
        <w:tc>
          <w:tcPr>
            <w:tcW w:type="dxa" w:w="53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按字段确认数据来源、维护责任和审核责任。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7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治理问题清单与责任池台账</w:t>
            </w:r>
          </w:p>
        </w:tc>
        <w:tc>
          <w:tcPr>
            <w:tcW w:type="dxa" w:w="53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跟踪缺证、争议、阻塞、逾期和需跨部门澄清事项。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8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阶段门评审材料与会议纪要</w:t>
            </w:r>
          </w:p>
        </w:tc>
        <w:tc>
          <w:tcPr>
            <w:tcW w:type="dxa" w:w="53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作为阶段放行、整改闭环和归档审计依据。</w:t>
            </w:r>
          </w:p>
        </w:tc>
      </w:tr>
    </w:tbl>
    <w:p>
      <w:pPr>
        <w:keepNext/>
        <w:spacing w:before="320" w:after="160" w:line="264" w:lineRule="auto"/>
      </w:pPr>
      <w:r>
        <w:rPr>
          <w:rFonts w:ascii="Calibri" w:hAnsi="Calibri" w:eastAsia="黑体"/>
          <w:b/>
          <w:color w:val="000000"/>
          <w:sz w:val="28"/>
        </w:rPr>
        <w:t>四、PMO WBS执行基线与项目管控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以PMO发布的项目总体计划和WBS为执行基线，围绕467个WBS节点、10条一级工作主线建立项目管控台账。第一阶段重点纳入WBS 1“项目启动与总体蓝图”、WBS 3“数据标准与主数据治理”、WBS 4“MDM建设准备与数据治理沉淀”的执行跟踪，并将WBS 1.1“项目启动与治理机制”、WBS 1.2“现状调研”、WBS 1.3“总体蓝图与实施计划评审”作为近期PMO周例会重点管控对象。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PMO周例会重点跟踪阶段门未通过事项、关键路径控制任务、高风险任务、交付物未完成事项、主数据与流程治理阻塞项、跨部门责任不清事项。对逾期、无人确认、材料缺失、责任边界不清的任务，纳入问题清单和责任池；影响阶段门、蓝图评审或后续联调条件的事项，提交项目决策组协调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00"/>
        <w:gridCol w:w="2500"/>
        <w:gridCol w:w="2100"/>
        <w:gridCol w:w="356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范围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名称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计划时间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第一阶段用途</w:t>
            </w:r>
          </w:p>
        </w:tc>
      </w:tr>
      <w:tr>
        <w:tc>
          <w:tcPr>
            <w:tcW w:type="dxa" w:w="12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WBS 1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项目启动与总体蓝图</w:t>
            </w:r>
          </w:p>
        </w:tc>
        <w:tc>
          <w:tcPr>
            <w:tcW w:type="dxa" w:w="21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2026-06-16至2026-11-06</w:t>
            </w:r>
          </w:p>
        </w:tc>
        <w:tc>
          <w:tcPr>
            <w:tcW w:type="dxa" w:w="35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统筹项目启动、现状调研、总体蓝图和实施计划评审。</w:t>
            </w:r>
          </w:p>
        </w:tc>
      </w:tr>
      <w:tr>
        <w:tc>
          <w:tcPr>
            <w:tcW w:type="dxa" w:w="12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WBS 1.1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项目启动与治理机制</w:t>
            </w:r>
          </w:p>
        </w:tc>
        <w:tc>
          <w:tcPr>
            <w:tcW w:type="dxa" w:w="21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2026-06-16至2026-06-30</w:t>
            </w:r>
          </w:p>
        </w:tc>
        <w:tc>
          <w:tcPr>
            <w:tcW w:type="dxa" w:w="35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完成启动会、启动令、治理机制和项目运行规则建立。</w:t>
            </w:r>
          </w:p>
        </w:tc>
      </w:tr>
      <w:tr>
        <w:tc>
          <w:tcPr>
            <w:tcW w:type="dxa" w:w="12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WBS 1.2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现状调研</w:t>
            </w:r>
          </w:p>
        </w:tc>
        <w:tc>
          <w:tcPr>
            <w:tcW w:type="dxa" w:w="21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2026-07-01至2026-09-03</w:t>
            </w:r>
          </w:p>
        </w:tc>
        <w:tc>
          <w:tcPr>
            <w:tcW w:type="dxa" w:w="35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组织各部门开展流程、数据、基础设施和业务现状调研。</w:t>
            </w:r>
          </w:p>
        </w:tc>
      </w:tr>
      <w:tr>
        <w:tc>
          <w:tcPr>
            <w:tcW w:type="dxa" w:w="12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WBS 1.3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总体蓝图与实施计划评审</w:t>
            </w:r>
          </w:p>
        </w:tc>
        <w:tc>
          <w:tcPr>
            <w:tcW w:type="dxa" w:w="21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2026-09-04至2026-11-06</w:t>
            </w:r>
          </w:p>
        </w:tc>
        <w:tc>
          <w:tcPr>
            <w:tcW w:type="dxa" w:w="35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形成总体蓝图、主映射关系和实施计划评审基础。</w:t>
            </w:r>
          </w:p>
        </w:tc>
      </w:tr>
      <w:tr>
        <w:tc>
          <w:tcPr>
            <w:tcW w:type="dxa" w:w="12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WBS 3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数据标准与主数据治理</w:t>
            </w:r>
          </w:p>
        </w:tc>
        <w:tc>
          <w:tcPr>
            <w:tcW w:type="dxa" w:w="21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2026-06-23至2028-02-15</w:t>
            </w:r>
          </w:p>
        </w:tc>
        <w:tc>
          <w:tcPr>
            <w:tcW w:type="dxa" w:w="35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开展数据标准、待确认主数据对象、版本发布和交底机制建设。</w:t>
            </w:r>
          </w:p>
        </w:tc>
      </w:tr>
      <w:tr>
        <w:tc>
          <w:tcPr>
            <w:tcW w:type="dxa" w:w="12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WBS 4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MDM建设准备与数据治理沉淀</w:t>
            </w:r>
          </w:p>
        </w:tc>
        <w:tc>
          <w:tcPr>
            <w:tcW w:type="dxa" w:w="21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2026-07-16至2027-02-18</w:t>
            </w:r>
          </w:p>
        </w:tc>
        <w:tc>
          <w:tcPr>
            <w:tcW w:type="dxa" w:w="35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沉淀流程地图、数据地图、字段口径、治理角色和数据质量规则。</w:t>
            </w:r>
          </w:p>
        </w:tc>
      </w:tr>
    </w:tbl>
    <w:p>
      <w:pPr>
        <w:keepNext/>
        <w:spacing w:before="320" w:after="160" w:line="264" w:lineRule="auto"/>
      </w:pPr>
      <w:r>
        <w:rPr>
          <w:rFonts w:ascii="Calibri" w:hAnsi="Calibri" w:eastAsia="黑体"/>
          <w:b/>
          <w:color w:val="000000"/>
          <w:sz w:val="28"/>
        </w:rPr>
        <w:t>五、流程治理、数据治理与MDM承接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各部门应围绕现行依据开展流程治理，确认L3流程、A1业务行为、流程责任链、跨部门输入输出和待补证据。对证据不足、责任边界不清或跨部门存在争议的事项，应进入问题清单或责任池。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各部门应围绕数据责任链开展数据治理，梳理字段台账、数据对象、维护责任、消费场景、待确认黄金源和待确认主数据对象。黄金源确认应按字段和证据材料逐项确认，不因流程建议落位或历史使用习惯自动认定。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MDM工作组从治理承接开始工作，承接流程治理和数据治理成果，组织字段台账、待确认主数据对象、待确认黄金源、映射关系和治理闭环的复核。MDM当前作为治理成果承接和验证能力，不替代正式流程资料，不以具体平台功能作为唯一执行依据，也不在第一阶段直接冻结最终主数据模型。</w:t>
      </w:r>
    </w:p>
    <w:p>
      <w:r>
        <w:br w:type="page"/>
      </w:r>
    </w:p>
    <w:p>
      <w:pPr>
        <w:keepNext/>
        <w:spacing w:before="200" w:after="100" w:line="264" w:lineRule="auto"/>
      </w:pPr>
      <w:r>
        <w:rPr>
          <w:rFonts w:ascii="Calibri" w:hAnsi="Calibri" w:eastAsia="黑体"/>
          <w:b/>
          <w:color w:val="1F4D78"/>
          <w:sz w:val="24"/>
        </w:rPr>
        <w:t>MDM承接治理线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700"/>
        <w:gridCol w:w="3860"/>
        <w:gridCol w:w="380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治理线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处理对象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承接结果</w:t>
            </w:r>
          </w:p>
        </w:tc>
      </w:tr>
      <w:tr>
        <w:tc>
          <w:tcPr>
            <w:tcW w:type="dxa" w:w="17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存量治理线</w:t>
            </w:r>
          </w:p>
        </w:tc>
        <w:tc>
          <w:tcPr>
            <w:tcW w:type="dxa" w:w="38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已形成的流程治理快照、L3/A1明细、跨部门风险、映射待办和治理问题。</w:t>
            </w:r>
          </w:p>
        </w:tc>
        <w:tc>
          <w:tcPr>
            <w:tcW w:type="dxa" w:w="38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补正正式流程资料、重新同步、形成处理记录和关闭依据。</w:t>
            </w:r>
          </w:p>
        </w:tc>
      </w:tr>
      <w:tr>
        <w:tc>
          <w:tcPr>
            <w:tcW w:type="dxa" w:w="17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增量创建线</w:t>
            </w:r>
          </w:p>
        </w:tc>
        <w:tc>
          <w:tcPr>
            <w:tcW w:type="dxa" w:w="38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快照中尚未覆盖但部门确认存在的待确认流程、字段上下文和证据说明。</w:t>
            </w:r>
          </w:p>
        </w:tc>
        <w:tc>
          <w:tcPr>
            <w:tcW w:type="dxa" w:w="38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完成草稿、审核、字段确认，并按要求纳入已确认流程映射变更。</w:t>
            </w:r>
          </w:p>
        </w:tc>
      </w:tr>
      <w:tr>
        <w:tc>
          <w:tcPr>
            <w:tcW w:type="dxa" w:w="17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数据治理线</w:t>
            </w:r>
          </w:p>
        </w:tc>
        <w:tc>
          <w:tcPr>
            <w:tcW w:type="dxa" w:w="38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字段台账、数据对象、消费场景、维护责任、待确认黄金源和待确认主数据对象。</w:t>
            </w:r>
          </w:p>
        </w:tc>
        <w:tc>
          <w:tcPr>
            <w:tcW w:type="dxa" w:w="38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形成数据地图、待确认主数据对象和后续模型评审依据。</w:t>
            </w:r>
          </w:p>
        </w:tc>
      </w:tr>
    </w:tbl>
    <w:p>
      <w:pPr>
        <w:keepNext/>
        <w:spacing w:before="320" w:after="160" w:line="264" w:lineRule="auto"/>
      </w:pPr>
      <w:r>
        <w:rPr>
          <w:rFonts w:ascii="Calibri" w:hAnsi="Calibri" w:eastAsia="黑体"/>
          <w:b/>
          <w:color w:val="000000"/>
          <w:sz w:val="28"/>
        </w:rPr>
        <w:t>六、交付物台账与阶段门管理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PMO建立交付物台账管理机制，对项目计划内成果进行登记、责任确认、版本留痕、评审状态跟踪、阶段门关联、归档位置记录和问题闭环管理。台账的具体承载方式、工具形态和操作流程，由PMO根据项目推进阶段和管理工具建设情况动态优化。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项目按阶段门进行过程控制。阶段门放行应以计划任务完成情况、交付物完整性、责任确认、评审结论、风险问题闭环情况为依据。阶段门验收以交付物内容、责任确认、评审结论和归档记录为依据，不以某一固定系统操作作为唯一依据。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对需要临时放行的事项，应说明放行原因、适用范围、补充条件、责任人和完成时限，并纳入PMO问题清单持续跟踪。影响总体蓝图、主数据口径、系统联调、合同付款或总体验收的临时放行事项，应提交项目决策组确认。</w:t>
      </w:r>
    </w:p>
    <w:p>
      <w:pPr>
        <w:keepNext/>
        <w:spacing w:before="320" w:after="160" w:line="264" w:lineRule="auto"/>
      </w:pPr>
      <w:r>
        <w:rPr>
          <w:rFonts w:ascii="Calibri" w:hAnsi="Calibri" w:eastAsia="黑体"/>
          <w:b/>
          <w:color w:val="000000"/>
          <w:sz w:val="28"/>
        </w:rPr>
        <w:t>七、部门配合、问题清单与历史问题边界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各部门应指定项目接口人，负责日常资料收集、问题反馈、会议联络和整改跟踪；涉及流程口径、数据来源、维护责任、审批责任、跨部门边界和阶段性成果确认的事项，应由部门负责人或经授权的业务负责人确认。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部门接口人承担沟通协调职责，不替代部门负责人作出业务确认，不承担部门级决策责任。PMO、业务组、MDM工作组推进相关工作时，应区分资料提供、事实说明、业务确认和责任裁决，避免以接口人反馈替代正式确认。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本项目启动后，流程梳理、数据治理、主数据盘点、系统调研过程中发现的历史遗留问题，原则上进入治理问题清单和责任池，重点用于澄清事实、明确责任边界、制定整改措施和形成闭环记录，不直接作为部门或个人追责依据。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对项目启动后新增发生、且经确认属于未按既定流程、标准、职责或阶段门要求执行的问题，应按项目治理机制纳入闭环管理；对影响重大节点、数据质量、联调上线、合同履约或总体验收的事项，提交PMO周例会或项目决策组协调处理。</w:t>
      </w:r>
    </w:p>
    <w:p>
      <w:pPr>
        <w:keepNext/>
        <w:spacing w:before="320" w:after="160" w:line="264" w:lineRule="auto"/>
      </w:pPr>
      <w:r>
        <w:rPr>
          <w:rFonts w:ascii="Calibri" w:hAnsi="Calibri" w:eastAsia="黑体"/>
          <w:b/>
          <w:color w:val="000000"/>
          <w:sz w:val="28"/>
        </w:rPr>
        <w:t>八、组织分工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主体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主要责任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项目决策组</w:t>
            </w:r>
          </w:p>
        </w:tc>
        <w:tc>
          <w:tcPr>
            <w:tcW w:type="dxa" w:w="68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负责重大争议、重大变更、阶段门阻断、资源协调和关键成果确认。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PMO</w:t>
            </w:r>
          </w:p>
        </w:tc>
        <w:tc>
          <w:tcPr>
            <w:tcW w:type="dxa" w:w="68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负责项目计划、WBS执行基线、周例会、阶段门、交付物台账、问题清单、责任池、会议纪要和归档管理。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MDM工作组</w:t>
            </w:r>
          </w:p>
        </w:tc>
        <w:tc>
          <w:tcPr>
            <w:tcW w:type="dxa" w:w="68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负责承接流程治理和数据治理成果，组织字段台账、待确认主数据对象、待确认黄金源、数据责任链、映射关系和治理闭环的复核。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各部门</w:t>
            </w:r>
          </w:p>
        </w:tc>
        <w:tc>
          <w:tcPr>
            <w:tcW w:type="dxa" w:w="68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负责提供现行依据，确认本部门流程责任链和数据责任链，配合跨部门映射澄清，按要求完成阶段性确认。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技术架构组及相关系统工作组</w:t>
            </w:r>
          </w:p>
        </w:tc>
        <w:tc>
          <w:tcPr>
            <w:tcW w:type="dxa" w:w="68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在流程与数据映射成果基础上，承接后续系统方案、接口、权限、联调和验收准备。</w:t>
            </w:r>
          </w:p>
        </w:tc>
      </w:tr>
    </w:tbl>
    <w:p>
      <w:pPr>
        <w:keepNext/>
        <w:spacing w:before="320" w:after="160" w:line="264" w:lineRule="auto"/>
      </w:pPr>
      <w:r>
        <w:rPr>
          <w:rFonts w:ascii="Calibri" w:hAnsi="Calibri" w:eastAsia="黑体"/>
          <w:b/>
          <w:color w:val="000000"/>
          <w:sz w:val="28"/>
        </w:rPr>
        <w:t>九、近期重点工作安排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00"/>
        <w:gridCol w:w="2600"/>
        <w:gridCol w:w="6060"/>
      </w:tblGrid>
      <w:tr>
        <w:trPr>
          <w:tblHeader w:val="true"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序号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工作事项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输出要求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1</w:t>
            </w:r>
          </w:p>
        </w:tc>
        <w:tc>
          <w:tcPr>
            <w:tcW w:type="dxa" w:w="26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建立PMO运行机制</w:t>
            </w:r>
          </w:p>
        </w:tc>
        <w:tc>
          <w:tcPr>
            <w:tcW w:type="dxa" w:w="60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形成周例会、问题清单、责任池和阶段门跟踪机制。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2</w:t>
            </w:r>
          </w:p>
        </w:tc>
        <w:tc>
          <w:tcPr>
            <w:tcW w:type="dxa" w:w="26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确认接口人</w:t>
            </w:r>
          </w:p>
        </w:tc>
        <w:tc>
          <w:tcPr>
            <w:tcW w:type="dxa" w:w="60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完成各部门接口人确认，形成项目通讯与责任接口清单。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3</w:t>
            </w:r>
          </w:p>
        </w:tc>
        <w:tc>
          <w:tcPr>
            <w:tcW w:type="dxa" w:w="26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启动现状调研</w:t>
            </w:r>
          </w:p>
        </w:tc>
        <w:tc>
          <w:tcPr>
            <w:tcW w:type="dxa" w:w="60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收集各部门现行依据、字段线索、历史问题和待确认事项。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4</w:t>
            </w:r>
          </w:p>
        </w:tc>
        <w:tc>
          <w:tcPr>
            <w:tcW w:type="dxa" w:w="26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开展流程地图梳理</w:t>
            </w:r>
          </w:p>
        </w:tc>
        <w:tc>
          <w:tcPr>
            <w:tcW w:type="dxa" w:w="60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围绕L3流程、A1业务行为、责任边界和跨部门断点形成阶段成果。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5</w:t>
            </w:r>
          </w:p>
        </w:tc>
        <w:tc>
          <w:tcPr>
            <w:tcW w:type="dxa" w:w="26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开展数据地图梳理</w:t>
            </w:r>
          </w:p>
        </w:tc>
        <w:tc>
          <w:tcPr>
            <w:tcW w:type="dxa" w:w="60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围绕字段台账、数据对象、维护部门、消费场景、待确认黄金源和待确认主数据对象形成阶段成果。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6</w:t>
            </w:r>
          </w:p>
        </w:tc>
        <w:tc>
          <w:tcPr>
            <w:tcW w:type="dxa" w:w="26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组织MDM承接</w:t>
            </w:r>
          </w:p>
        </w:tc>
        <w:tc>
          <w:tcPr>
            <w:tcW w:type="dxa" w:w="60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由MDM工作组承接治理成果，形成后续评审准备材料。</w:t>
            </w:r>
          </w:p>
        </w:tc>
      </w:tr>
    </w:tbl>
    <w:p>
      <w:pPr>
        <w:keepNext/>
        <w:spacing w:before="320" w:after="160" w:line="264" w:lineRule="auto"/>
      </w:pPr>
      <w:r>
        <w:rPr>
          <w:rFonts w:ascii="Calibri" w:hAnsi="Calibri" w:eastAsia="黑体"/>
          <w:b/>
          <w:color w:val="000000"/>
          <w:sz w:val="28"/>
        </w:rPr>
        <w:t>十、生效、解释与归档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本启动令自签发之日起生效。PMO负责解释、组织实施和归档管理。涉及项目范围、阶段门阻断、重大资源协调、跨部门重大争议和关键成果确认的，提交项目决策组研究决定。</w:t>
      </w:r>
    </w:p>
    <w:p>
      <w:r>
        <w:br w:type="page"/>
      </w:r>
    </w:p>
    <w:p>
      <w:pPr>
        <w:keepNext/>
        <w:spacing w:before="320" w:after="160" w:line="264" w:lineRule="auto"/>
      </w:pPr>
      <w:r>
        <w:rPr>
          <w:rFonts w:ascii="Calibri" w:hAnsi="Calibri" w:eastAsia="黑体"/>
          <w:b/>
          <w:color w:val="000000"/>
          <w:sz w:val="28"/>
        </w:rPr>
        <w:t>十一、附件目录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00"/>
        <w:gridCol w:w="2800"/>
        <w:gridCol w:w="5560"/>
      </w:tblGrid>
      <w:tr>
        <w:trPr>
          <w:tblHeader w:val="true"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附件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名称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10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附件一</w:t>
            </w:r>
          </w:p>
        </w:tc>
        <w:tc>
          <w:tcPr>
            <w:tcW w:type="dxa" w:w="28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项目组织与职责分工</w:t>
            </w:r>
          </w:p>
        </w:tc>
        <w:tc>
          <w:tcPr>
            <w:tcW w:type="dxa" w:w="55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说明项目决策组、PMO、MDM工作组、技术架构组、各系统工作组和各部门的责任边界。</w:t>
            </w:r>
          </w:p>
        </w:tc>
      </w:tr>
      <w:tr>
        <w:tc>
          <w:tcPr>
            <w:tcW w:type="dxa" w:w="10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附件二</w:t>
            </w:r>
          </w:p>
        </w:tc>
        <w:tc>
          <w:tcPr>
            <w:tcW w:type="dxa" w:w="28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第一阶段重点工作安排</w:t>
            </w:r>
          </w:p>
        </w:tc>
        <w:tc>
          <w:tcPr>
            <w:tcW w:type="dxa" w:w="55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承接近期重点动作和阶段性输出要求。</w:t>
            </w:r>
          </w:p>
        </w:tc>
      </w:tr>
      <w:tr>
        <w:tc>
          <w:tcPr>
            <w:tcW w:type="dxa" w:w="10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附件三</w:t>
            </w:r>
          </w:p>
        </w:tc>
        <w:tc>
          <w:tcPr>
            <w:tcW w:type="dxa" w:w="28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项目总体计划与WBS执行基线</w:t>
            </w:r>
          </w:p>
        </w:tc>
        <w:tc>
          <w:tcPr>
            <w:tcW w:type="dxa" w:w="55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说明第一阶段重点WBS范围、跟踪口径和动态调整原则。</w:t>
            </w:r>
          </w:p>
        </w:tc>
      </w:tr>
      <w:tr>
        <w:tc>
          <w:tcPr>
            <w:tcW w:type="dxa" w:w="10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附件四</w:t>
            </w:r>
          </w:p>
        </w:tc>
        <w:tc>
          <w:tcPr>
            <w:tcW w:type="dxa" w:w="28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流程地图与数据地图工作口径</w:t>
            </w:r>
          </w:p>
        </w:tc>
        <w:tc>
          <w:tcPr>
            <w:tcW w:type="dxa" w:w="55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统一流程治理、数据治理、字段台账和映射关系的工作方法。</w:t>
            </w:r>
          </w:p>
        </w:tc>
      </w:tr>
      <w:tr>
        <w:tc>
          <w:tcPr>
            <w:tcW w:type="dxa" w:w="10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附件五</w:t>
            </w:r>
          </w:p>
        </w:tc>
        <w:tc>
          <w:tcPr>
            <w:tcW w:type="dxa" w:w="28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交付物台账与阶段门管理要求</w:t>
            </w:r>
          </w:p>
        </w:tc>
        <w:tc>
          <w:tcPr>
            <w:tcW w:type="dxa" w:w="55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说明交付物登记、评审、阶段门放行和归档要求。</w:t>
            </w:r>
          </w:p>
        </w:tc>
      </w:tr>
      <w:tr>
        <w:tc>
          <w:tcPr>
            <w:tcW w:type="dxa" w:w="10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附件六</w:t>
            </w:r>
          </w:p>
        </w:tc>
        <w:tc>
          <w:tcPr>
            <w:tcW w:type="dxa" w:w="28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问题清单、责任池与历史问题治理边界</w:t>
            </w:r>
          </w:p>
        </w:tc>
        <w:tc>
          <w:tcPr>
            <w:tcW w:type="dxa" w:w="55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说明争议、缺证、阻塞和历史问题的处理规则。</w:t>
            </w:r>
          </w:p>
        </w:tc>
      </w:tr>
      <w:tr>
        <w:tc>
          <w:tcPr>
            <w:tcW w:type="dxa" w:w="10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附件七</w:t>
            </w:r>
          </w:p>
        </w:tc>
        <w:tc>
          <w:tcPr>
            <w:tcW w:type="dxa" w:w="280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部门接口人和沟通机制</w:t>
            </w:r>
          </w:p>
        </w:tc>
        <w:tc>
          <w:tcPr>
            <w:tcW w:type="dxa" w:w="5560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说明接口人职责、负责人确认和沟通升级路径。</w:t>
            </w:r>
          </w:p>
        </w:tc>
      </w:tr>
    </w:tbl>
    <w:p>
      <w:pPr>
        <w:keepNext w:val="0"/>
        <w:spacing w:before="360" w:after="120" w:line="264" w:lineRule="auto"/>
      </w:pPr>
      <w:r>
        <w:rPr>
          <w:rFonts w:ascii="Calibri" w:hAnsi="Calibri" w:eastAsia="宋体"/>
          <w:b w:val="0"/>
          <w:sz w:val="22"/>
        </w:rPr>
        <w:t>项目决策组签发：________________</w:t>
      </w:r>
    </w:p>
    <w:p>
      <w:pPr>
        <w:keepNext w:val="0"/>
        <w:spacing w:before="0" w:after="120" w:line="264" w:lineRule="auto"/>
      </w:pPr>
      <w:r>
        <w:rPr>
          <w:rFonts w:ascii="Calibri" w:hAnsi="Calibri" w:eastAsia="宋体"/>
          <w:b w:val="0"/>
          <w:sz w:val="22"/>
        </w:rPr>
        <w:t>签发人：马成文</w:t>
      </w:r>
    </w:p>
    <w:p>
      <w:pPr>
        <w:keepNext w:val="0"/>
        <w:spacing w:before="0" w:after="120" w:line="264" w:lineRule="auto"/>
      </w:pPr>
      <w:r>
        <w:rPr>
          <w:rFonts w:ascii="Calibri" w:hAnsi="Calibri" w:eastAsia="宋体"/>
          <w:b w:val="0"/>
          <w:sz w:val="22"/>
        </w:rPr>
        <w:t>审核/会签：李洪哲、刘春含、张广懿</w:t>
      </w:r>
    </w:p>
    <w:p>
      <w:pPr>
        <w:keepNext w:val="0"/>
        <w:spacing w:before="0" w:after="120" w:line="264" w:lineRule="auto"/>
      </w:pPr>
      <w:r>
        <w:rPr>
          <w:rFonts w:ascii="Calibri" w:hAnsi="Calibri" w:eastAsia="宋体"/>
          <w:b w:val="0"/>
          <w:sz w:val="22"/>
        </w:rPr>
        <w:t>编制/归档：PMO、张琇雅</w:t>
      </w:r>
    </w:p>
    <w:p>
      <w:pPr>
        <w:keepNext w:val="0"/>
        <w:spacing w:before="0" w:after="240" w:line="264" w:lineRule="auto"/>
      </w:pPr>
      <w:r>
        <w:rPr>
          <w:rFonts w:ascii="Calibri" w:hAnsi="Calibri" w:eastAsia="宋体"/>
          <w:b w:val="0"/>
          <w:sz w:val="22"/>
        </w:rPr>
        <w:t>签发日期：2026年____月____日</w:t>
      </w:r>
    </w:p>
    <w:p>
      <w:r>
        <w:br w:type="page"/>
      </w:r>
    </w:p>
    <w:p>
      <w:pPr>
        <w:keepNext/>
        <w:spacing w:before="320" w:after="160" w:line="264" w:lineRule="auto"/>
      </w:pPr>
      <w:r>
        <w:rPr>
          <w:rFonts w:ascii="Calibri" w:hAnsi="Calibri" w:eastAsia="黑体"/>
          <w:b/>
          <w:color w:val="000000"/>
          <w:sz w:val="28"/>
        </w:rPr>
        <w:t>附件内容草案</w:t>
      </w:r>
    </w:p>
    <w:p>
      <w:pPr>
        <w:keepNext/>
        <w:spacing w:before="200" w:after="100" w:line="264" w:lineRule="auto"/>
      </w:pPr>
      <w:r>
        <w:rPr>
          <w:rFonts w:ascii="Calibri" w:hAnsi="Calibri" w:eastAsia="黑体"/>
          <w:b/>
          <w:color w:val="1F4D78"/>
          <w:sz w:val="24"/>
        </w:rPr>
        <w:t>附件一：项目组织与职责分工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项目组织按“项目决策组统筹、PMO牵头、工作组承接、部门确认”的口径运行。项目决策组负责重大事项决策；PMO负责计划、节奏、证据和归档；MDM工作组负责治理成果承接；各部门负责业务事实和阶段性确认。</w:t>
      </w:r>
    </w:p>
    <w:p>
      <w:pPr>
        <w:keepNext/>
        <w:spacing w:before="200" w:after="100" w:line="264" w:lineRule="auto"/>
      </w:pPr>
      <w:r>
        <w:rPr>
          <w:rFonts w:ascii="Calibri" w:hAnsi="Calibri" w:eastAsia="黑体"/>
          <w:b/>
          <w:color w:val="1F4D78"/>
          <w:sz w:val="24"/>
        </w:rPr>
        <w:t>附件二：第一阶段重点工作安排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第一阶段围绕流程治理、数据治理和MDM承接展开。近期工作不以系统功能清单为起点，而以现行业务运行、字段责任、待确认主数据对象和映射关系为基础，形成后续蓝图评审和阶段门控制所需材料。</w:t>
      </w:r>
    </w:p>
    <w:p>
      <w:pPr>
        <w:keepNext/>
        <w:spacing w:before="200" w:after="100" w:line="264" w:lineRule="auto"/>
      </w:pPr>
      <w:r>
        <w:rPr>
          <w:rFonts w:ascii="Calibri" w:hAnsi="Calibri" w:eastAsia="黑体"/>
          <w:b/>
          <w:color w:val="1F4D78"/>
          <w:sz w:val="24"/>
        </w:rPr>
        <w:t>附件三：项目总体计划与WBS执行基线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PMO依据项目总体计划和WBS建立执行基线，完整任务明细由PMO动态维护。启动令正文仅列明重点范围，后续新增、拆分、延期、变更或临时放行事项，按PMO计划管控和阶段门要求纳入跟踪。</w:t>
      </w:r>
    </w:p>
    <w:p>
      <w:pPr>
        <w:keepNext/>
        <w:spacing w:before="200" w:after="100" w:line="264" w:lineRule="auto"/>
      </w:pPr>
      <w:r>
        <w:rPr>
          <w:rFonts w:ascii="Calibri" w:hAnsi="Calibri" w:eastAsia="黑体"/>
          <w:b/>
          <w:color w:val="1F4D78"/>
          <w:sz w:val="24"/>
        </w:rPr>
        <w:t>附件四：流程地图与数据地图工作口径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流程地图以L3流程和A1业务行为为核心，数据地图以字段台账和数据责任链为核心。两者通过映射关系衔接，并共同支撑待确认主数据对象、待确认黄金源、系统承接和阶段门验收。</w:t>
      </w:r>
    </w:p>
    <w:p>
      <w:pPr>
        <w:keepNext/>
        <w:spacing w:before="200" w:after="100" w:line="264" w:lineRule="auto"/>
      </w:pPr>
      <w:r>
        <w:rPr>
          <w:rFonts w:ascii="Calibri" w:hAnsi="Calibri" w:eastAsia="黑体"/>
          <w:b/>
          <w:color w:val="1F4D78"/>
          <w:sz w:val="24"/>
        </w:rPr>
        <w:t>附件五：交付物台账与阶段门管理要求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交付物台账管理重在形成可追溯记录，不绑定某一固定工具形态。阶段门放行重在确认成果内容、责任确认、评审结论和风险闭环，不以固定系统操作作为唯一依据。</w:t>
      </w:r>
    </w:p>
    <w:p>
      <w:pPr>
        <w:keepNext/>
        <w:spacing w:before="200" w:after="100" w:line="264" w:lineRule="auto"/>
      </w:pPr>
      <w:r>
        <w:rPr>
          <w:rFonts w:ascii="Calibri" w:hAnsi="Calibri" w:eastAsia="黑体"/>
          <w:b/>
          <w:color w:val="1F4D78"/>
          <w:sz w:val="24"/>
        </w:rPr>
        <w:t>附件六：问题清单、责任池与历史问题治理边界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问题清单用于跟踪明确责任和处理路径的事项；责任池用于暂不能立即判定责任归属、需要跨部门澄清的事项。历史遗留问题以治理为主，项目启动后新增且未按要求执行的问题按闭环机制处理。</w:t>
      </w:r>
    </w:p>
    <w:p>
      <w:pPr>
        <w:keepNext/>
        <w:spacing w:before="200" w:after="100" w:line="264" w:lineRule="auto"/>
      </w:pPr>
      <w:r>
        <w:rPr>
          <w:rFonts w:ascii="Calibri" w:hAnsi="Calibri" w:eastAsia="黑体"/>
          <w:b/>
          <w:color w:val="1F4D78"/>
          <w:sz w:val="24"/>
        </w:rPr>
        <w:t>附件七：部门接口人和沟通机制</w:t>
      </w:r>
    </w:p>
    <w:p>
      <w:pPr>
        <w:keepNext w:val="0"/>
        <w:spacing w:before="0" w:after="120" w:line="264" w:lineRule="auto"/>
        <w:ind w:firstLine="420"/>
      </w:pPr>
      <w:r>
        <w:rPr>
          <w:rFonts w:ascii="Calibri" w:hAnsi="Calibri" w:eastAsia="宋体"/>
          <w:b w:val="0"/>
          <w:sz w:val="22"/>
        </w:rPr>
        <w:t>部门接口人负责沟通协调和资料流转，部门负责人或授权业务负责人负责业务确认。一般问题进入PMO周例会，重大争议或影响阶段门的事项提交项目决策组协调。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64" w:lineRule="auto"/>
      <w:jc w:val="center"/>
    </w:pPr>
    <w:r>
      <w:rPr>
        <w:rFonts w:ascii="Calibri" w:hAnsi="Calibri" w:eastAsia="宋体"/>
        <w:color w:val="666666"/>
        <w:sz w:val="18"/>
      </w:rPr>
      <w:t xml:space="preserve">昌兴复材数字化底座建设项目启动令（起草稿）  |  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宋体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