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6CA99" w14:textId="77777777" w:rsidR="00393230" w:rsidRPr="00393230" w:rsidRDefault="00393230" w:rsidP="00393230">
      <w:r w:rsidRPr="00393230">
        <w:t>危险源辨识及风险和机遇的评价管理程序</w:t>
      </w:r>
      <w:r w:rsidRPr="00393230">
        <w:br/>
        <w:t>1 范围</w:t>
      </w:r>
      <w:r w:rsidRPr="00393230">
        <w:br/>
        <w:t>本程序规定了公司危险源辨识及风险和机遇的评价管理流程。</w:t>
      </w:r>
      <w:r w:rsidRPr="00393230">
        <w:br/>
        <w:t>本程序适用于公司与职业健康安全相关活动的危险源辨识及风险和机遇的</w:t>
      </w:r>
      <w:r w:rsidRPr="00393230">
        <w:br/>
        <w:t>评价管理，确保风险得到有效控制。</w:t>
      </w:r>
      <w:r w:rsidRPr="00393230">
        <w:br/>
        <w:t>本程序依据 GLG2606 职业卫生管理规则编制。</w:t>
      </w:r>
      <w:r w:rsidRPr="00393230">
        <w:br/>
        <w:t>2 规范性引用文件</w:t>
      </w:r>
      <w:r w:rsidRPr="00393230">
        <w:br/>
        <w:t>GLG2606 职业卫生管理规则</w:t>
      </w:r>
      <w:r w:rsidRPr="00393230">
        <w:br/>
        <w:t>GB/T 45001-2020/ISO45001：2018 《职业健康安全管理体系要求及使用指</w:t>
      </w:r>
      <w:r w:rsidRPr="00393230">
        <w:br/>
        <w:t>南》</w:t>
      </w:r>
      <w:r w:rsidRPr="00393230">
        <w:br/>
        <w:t>GLC260502 安全生产风险分级管理程序</w:t>
      </w:r>
      <w:r w:rsidRPr="00393230">
        <w:br/>
        <w:t>GLC260505 危险点安全生产管理程序</w:t>
      </w:r>
      <w:r w:rsidRPr="00393230">
        <w:br/>
        <w:t>3 表格</w:t>
      </w:r>
      <w:r w:rsidRPr="00393230">
        <w:br/>
        <w:t>3.1 规定表格</w:t>
      </w:r>
      <w:r w:rsidRPr="00393230">
        <w:br/>
        <w:t>FM2605-06 安全风险清单</w:t>
      </w:r>
      <w:r w:rsidRPr="00393230">
        <w:br/>
        <w:t>4 术语和定义</w:t>
      </w:r>
      <w:r w:rsidRPr="00393230">
        <w:br/>
        <w:t>本程序采用 GB/T45001-2020 标准中的术语和定义</w:t>
      </w:r>
      <w:r w:rsidRPr="00393230">
        <w:br/>
        <w:t>5 职责</w:t>
      </w:r>
      <w:r w:rsidRPr="00393230">
        <w:br/>
        <w:t>5.1 质量安全部负责组织开展危险源辨识及风险和机遇的评价；负责审核各单</w:t>
      </w:r>
      <w:r w:rsidRPr="00393230">
        <w:br/>
        <w:t>位《安全风险清单》并对风险措施实施过程进行监督与指导；负责组织编制公</w:t>
      </w:r>
    </w:p>
    <w:p w14:paraId="3F1717AA" w14:textId="77777777" w:rsidR="00393230" w:rsidRPr="00393230" w:rsidRDefault="00393230" w:rsidP="00393230">
      <w:r w:rsidRPr="00393230">
        <w:t>GLC260612-A</w:t>
      </w:r>
      <w:r w:rsidRPr="00393230">
        <w:br/>
        <w:t>2</w:t>
      </w:r>
      <w:r w:rsidRPr="00393230">
        <w:br/>
        <w:t>司级《安全风险清单》并存档；</w:t>
      </w:r>
      <w:r w:rsidRPr="00393230">
        <w:br/>
        <w:t>5.2 各单位负责本单位危险源辨识、风险和机遇的评价，编制和维护本单位</w:t>
      </w:r>
      <w:r w:rsidRPr="00393230">
        <w:br/>
        <w:t>《安全风险清单》并上报质量安全部；负责对本单位危险源辨识、风险评价和</w:t>
      </w:r>
      <w:r w:rsidRPr="00393230">
        <w:br/>
        <w:t>风险措施制定实施全过程监控。</w:t>
      </w:r>
      <w:r w:rsidRPr="00393230">
        <w:br/>
        <w:t>6 规定</w:t>
      </w:r>
      <w:r w:rsidRPr="00393230">
        <w:br/>
        <w:t>6.1 策划与准备</w:t>
      </w:r>
      <w:r w:rsidRPr="00393230">
        <w:br/>
        <w:t>各单位每年一季度完成一次危险源辨识和评价，编制 FM2605-06《安全风险</w:t>
      </w:r>
      <w:r w:rsidRPr="00393230">
        <w:br/>
        <w:t>清单》，清单中要标明控制措施及改进措施的建议和可能的机遇；经单位责任</w:t>
      </w:r>
      <w:r w:rsidRPr="00393230">
        <w:br/>
        <w:t>人审批后上报质量安全部。</w:t>
      </w:r>
      <w:r w:rsidRPr="00393230">
        <w:br/>
        <w:t>质量安全部组织编制公司级《安全风险清单》并归档。</w:t>
      </w:r>
      <w:r w:rsidRPr="00393230">
        <w:br/>
        <w:t>6.2 危险源辨识</w:t>
      </w:r>
      <w:r w:rsidRPr="00393230">
        <w:br/>
        <w:t>6.2.1 危险源辨识可采用现场观察、查阅有关文件资料、询问、交谈、获取外</w:t>
      </w:r>
      <w:r w:rsidRPr="00393230">
        <w:br/>
        <w:t>部信息、安全检查表、工作任务分析等方法进行。</w:t>
      </w:r>
      <w:r w:rsidRPr="00393230">
        <w:br/>
        <w:t>危险源辨识需考虑下列信息源或输入：</w:t>
      </w:r>
      <w:r w:rsidRPr="00393230">
        <w:br/>
        <w:t>（1）职业健康安全法律法规和其他要求；</w:t>
      </w:r>
      <w:r w:rsidRPr="00393230">
        <w:br/>
        <w:t>（2）职业健康安全方针；</w:t>
      </w:r>
      <w:r w:rsidRPr="00393230">
        <w:br/>
      </w:r>
      <w:r w:rsidRPr="00393230">
        <w:lastRenderedPageBreak/>
        <w:t>（3）监视数据；</w:t>
      </w:r>
      <w:r w:rsidRPr="00393230">
        <w:br/>
        <w:t>（4）职业暴露和健康评价；</w:t>
      </w:r>
      <w:r w:rsidRPr="00393230">
        <w:br/>
        <w:t>（5）事件记录；</w:t>
      </w:r>
      <w:r w:rsidRPr="00393230">
        <w:br/>
        <w:t>（6）以往审核、评价或评审的报告；</w:t>
      </w:r>
      <w:r w:rsidRPr="00393230">
        <w:br/>
        <w:t>（7）员工和其他相关方的输入；</w:t>
      </w:r>
      <w:r w:rsidRPr="00393230">
        <w:br/>
        <w:t>（8）其他管理体系的信息；</w:t>
      </w:r>
      <w:r w:rsidRPr="00393230">
        <w:br/>
        <w:t>（9）员工的职业健康安全协商信息；</w:t>
      </w:r>
      <w:r w:rsidRPr="00393230">
        <w:br/>
        <w:t>（10）工作场所的过程评审和改进活动；</w:t>
      </w:r>
      <w:r w:rsidRPr="00393230">
        <w:br/>
        <w:t>（11）其他公司的</w:t>
      </w:r>
      <w:proofErr w:type="gramStart"/>
      <w:r w:rsidRPr="00393230">
        <w:t>良好实践</w:t>
      </w:r>
      <w:proofErr w:type="gramEnd"/>
      <w:r w:rsidRPr="00393230">
        <w:t>和（或）典型危险源的信息；</w:t>
      </w:r>
      <w:r w:rsidRPr="00393230">
        <w:br/>
        <w:t>（12）其他公司已发生事件的报告；</w:t>
      </w:r>
      <w:r w:rsidRPr="00393230">
        <w:br/>
        <w:t>（13）公司的设施、过程和活动的信息。</w:t>
      </w:r>
      <w:r w:rsidRPr="00393230">
        <w:br/>
        <w:t>6.2.2 对于科研生产全过程（采购、生产、经营等全链条）危险源辨识的过程</w:t>
      </w:r>
      <w:r w:rsidRPr="00393230">
        <w:br/>
        <w:t>必须考虑（但不限于）如下因素：</w:t>
      </w:r>
      <w:r w:rsidRPr="00393230">
        <w:br/>
        <w:t>（1）工作如何组织，社会因素（包括工作负荷、工作时间、欺骗、骚扰</w:t>
      </w:r>
      <w:proofErr w:type="gramStart"/>
      <w:r w:rsidRPr="00393230">
        <w:t>和</w:t>
      </w:r>
      <w:proofErr w:type="gramEnd"/>
    </w:p>
    <w:p w14:paraId="73F3A48E" w14:textId="77777777" w:rsidR="00393230" w:rsidRPr="00393230" w:rsidRDefault="00393230" w:rsidP="00393230">
      <w:r w:rsidRPr="00393230">
        <w:t>GLC260612-A</w:t>
      </w:r>
      <w:r w:rsidRPr="00393230">
        <w:br/>
        <w:t>3</w:t>
      </w:r>
      <w:r w:rsidRPr="00393230">
        <w:br/>
        <w:t>欺压），领导作用和组织的文化；</w:t>
      </w:r>
      <w:r w:rsidRPr="00393230">
        <w:br/>
        <w:t>（2）常规和非常规的活动、状况，包括由以下方面所产生的危险源：</w:t>
      </w:r>
      <w:r w:rsidRPr="00393230">
        <w:br/>
        <w:t>a）基础设施、设备、原料、材料和工作场所的物理环境；</w:t>
      </w:r>
      <w:r w:rsidRPr="00393230">
        <w:br/>
        <w:t>b）产品和服务的设计、研究、开发、测试、生产、装配、施工、交付、</w:t>
      </w:r>
      <w:r w:rsidRPr="00393230">
        <w:br/>
        <w:t>维护或处置；</w:t>
      </w:r>
      <w:r w:rsidRPr="00393230">
        <w:br/>
        <w:t>c）人的因素；</w:t>
      </w:r>
      <w:r w:rsidRPr="00393230">
        <w:br/>
        <w:t>d）工作如何执行。</w:t>
      </w:r>
      <w:r w:rsidRPr="00393230">
        <w:br/>
        <w:t>（3）组织内部或外部以往发生的相关事件（包括紧急情况）及其原因；</w:t>
      </w:r>
      <w:r w:rsidRPr="00393230">
        <w:br/>
        <w:t>（4）潜在的紧急情况；</w:t>
      </w:r>
      <w:r w:rsidRPr="00393230">
        <w:br/>
        <w:t>a）需立即做出响应的、意外的或非计划的状况（如工作场所的机器着火；</w:t>
      </w:r>
      <w:r w:rsidRPr="00393230">
        <w:br/>
        <w:t>工作场所附近的自然灾害；工作人员正在从事与工作有关活动的其他地点的自</w:t>
      </w:r>
      <w:r w:rsidRPr="00393230">
        <w:br/>
        <w:t>然灾害）；</w:t>
      </w:r>
      <w:r w:rsidRPr="00393230">
        <w:br/>
        <w:t>b）包括诸如在工作人员正从事与工作相关活动的地点发生了内乱而需要</w:t>
      </w:r>
      <w:r w:rsidRPr="00393230">
        <w:br/>
        <w:t>他们紧急疏散的情况。</w:t>
      </w:r>
      <w:r w:rsidRPr="00393230">
        <w:br/>
        <w:t>（5）人员，包括考虑：</w:t>
      </w:r>
      <w:r w:rsidRPr="00393230">
        <w:br/>
        <w:t>a）那些有机会进入工作场所的人员及其活动，包括工作人员、承包方、</w:t>
      </w:r>
      <w:r w:rsidRPr="00393230">
        <w:br/>
        <w:t>访问者和其他人员；</w:t>
      </w:r>
      <w:r w:rsidRPr="00393230">
        <w:br/>
        <w:t>b）那些处于工作场所附近可能受组织活动影响的人员；</w:t>
      </w:r>
      <w:r w:rsidRPr="00393230">
        <w:br/>
        <w:t>c）处于不受组织直接控制的场所的工作人员。</w:t>
      </w:r>
      <w:r w:rsidRPr="00393230">
        <w:br/>
        <w:t>（6）其他议题，包括考虑：</w:t>
      </w:r>
      <w:r w:rsidRPr="00393230">
        <w:br/>
        <w:t>a）工作区域、过程、装置、机器和（或）设备、操作程序和工作组织的</w:t>
      </w:r>
      <w:r w:rsidRPr="00393230">
        <w:br/>
        <w:t>设计，包括它们对所涉及工作人员的需求和能力的适应性；</w:t>
      </w:r>
      <w:r w:rsidRPr="00393230">
        <w:br/>
      </w:r>
      <w:r w:rsidRPr="00393230">
        <w:lastRenderedPageBreak/>
        <w:t>b）由组织控制下的工作相关活动所导致的、发生在工作场所附近的状况；</w:t>
      </w:r>
      <w:r w:rsidRPr="00393230">
        <w:br/>
        <w:t>c）发生在工作场所附近、不受组织控制、可能对工作场所内的人员造成</w:t>
      </w:r>
      <w:r w:rsidRPr="00393230">
        <w:br/>
        <w:t>伤害和健康损害的状况。</w:t>
      </w:r>
      <w:r w:rsidRPr="00393230">
        <w:br/>
        <w:t>（7）组织、运行、过程、活动和职业健康安全管理体系中的实际或拟定的</w:t>
      </w:r>
      <w:r w:rsidRPr="00393230">
        <w:br/>
        <w:t>变更;</w:t>
      </w:r>
      <w:r w:rsidRPr="00393230">
        <w:br/>
        <w:t>（8）危险源的知识和相关信息的变更;</w:t>
      </w:r>
      <w:r w:rsidRPr="00393230">
        <w:br/>
        <w:t>（9）其他方面。</w:t>
      </w:r>
      <w:r w:rsidRPr="00393230">
        <w:br/>
        <w:t>6.2.3 危险源的分类</w:t>
      </w:r>
      <w:r w:rsidRPr="00393230">
        <w:br/>
        <w:t>6.2.3.1 危险</w:t>
      </w:r>
      <w:proofErr w:type="gramStart"/>
      <w:r w:rsidRPr="00393230">
        <w:t>源分为</w:t>
      </w:r>
      <w:proofErr w:type="gramEnd"/>
      <w:r w:rsidRPr="00393230">
        <w:t>4大类：人的因素、物的因素、环境因素和管理因素。</w:t>
      </w:r>
      <w:r w:rsidRPr="00393230">
        <w:br/>
        <w:t>（1）物的因素：物理性、化学性和生物</w:t>
      </w:r>
      <w:proofErr w:type="gramStart"/>
      <w:r w:rsidRPr="00393230">
        <w:t>性危险</w:t>
      </w:r>
      <w:proofErr w:type="gramEnd"/>
      <w:r w:rsidRPr="00393230">
        <w:t>和有害因素，如设备设施缺</w:t>
      </w:r>
    </w:p>
    <w:p w14:paraId="64FCC695" w14:textId="77777777" w:rsidR="00393230" w:rsidRPr="00393230" w:rsidRDefault="00393230" w:rsidP="00393230">
      <w:r w:rsidRPr="00393230">
        <w:t>GLC260612-A</w:t>
      </w:r>
      <w:r w:rsidRPr="00393230">
        <w:br/>
        <w:t>4</w:t>
      </w:r>
      <w:r w:rsidRPr="00393230">
        <w:br/>
        <w:t>陷、包括物的不安全状态。</w:t>
      </w:r>
      <w:r w:rsidRPr="00393230">
        <w:br/>
        <w:t>（2）人的因素：指人的行为结果偏离被要求的标准，包括心理、生理性、</w:t>
      </w:r>
      <w:r w:rsidRPr="00393230">
        <w:br/>
        <w:t>行为性的危险和有害因素，人的不安全行为。</w:t>
      </w:r>
      <w:r w:rsidRPr="00393230">
        <w:br/>
        <w:t>（3）环境因素：即室内、室外、地下作业场所环境不良，会促使人的失误</w:t>
      </w:r>
      <w:r w:rsidRPr="00393230">
        <w:br/>
        <w:t>或物的故障发生。</w:t>
      </w:r>
      <w:r w:rsidRPr="00393230">
        <w:br/>
        <w:t>（4）管理因素：如职业安全卫生机构不健全、制度不完善、投入不足、管</w:t>
      </w:r>
      <w:r w:rsidRPr="00393230">
        <w:br/>
        <w:t>理不善等。</w:t>
      </w:r>
      <w:r w:rsidRPr="00393230">
        <w:br/>
        <w:t>6.2.3.2 风险分类应按照国家最新《企业职工伤亡事故分类标准》和《职业病</w:t>
      </w:r>
      <w:r w:rsidRPr="00393230">
        <w:br/>
        <w:t>危害因素分类目录》内容进行分类。</w:t>
      </w:r>
      <w:r w:rsidRPr="00393230">
        <w:br/>
        <w:t>6.3 风险和机遇性质与评价</w:t>
      </w:r>
      <w:r w:rsidRPr="00393230">
        <w:br/>
        <w:t>风险评价是指对危险</w:t>
      </w:r>
      <w:proofErr w:type="gramStart"/>
      <w:r w:rsidRPr="00393230">
        <w:t>源导致</w:t>
      </w:r>
      <w:proofErr w:type="gramEnd"/>
      <w:r w:rsidRPr="00393230">
        <w:t>的风险进行评估、对现有控制措施的充分性加</w:t>
      </w:r>
      <w:r w:rsidRPr="00393230">
        <w:br/>
        <w:t>以考虑以及对风险是否可接受予以确定的过程。</w:t>
      </w:r>
      <w:r w:rsidRPr="00393230">
        <w:br/>
        <w:t>6.3.1 风险和机遇评价应考虑如下因素：</w:t>
      </w:r>
      <w:r w:rsidRPr="00393230">
        <w:br/>
        <w:t>（1）从增强职业健康安全绩效出发，考虑对过程、方法、活动进行变更是</w:t>
      </w:r>
      <w:r w:rsidRPr="00393230">
        <w:br/>
      </w:r>
      <w:proofErr w:type="gramStart"/>
      <w:r w:rsidRPr="00393230">
        <w:t>否存在</w:t>
      </w:r>
      <w:proofErr w:type="gramEnd"/>
      <w:r w:rsidRPr="00393230">
        <w:t>使工作、工作组织和工作环境适合于人的机遇；</w:t>
      </w:r>
      <w:r w:rsidRPr="00393230">
        <w:br/>
        <w:t>（2）有关消除危险源和降低职业健康安全风险的机遇；</w:t>
      </w:r>
      <w:r w:rsidRPr="00393230">
        <w:br/>
        <w:t>（3）考虑改进职业健康安全管理体系的其他机遇；</w:t>
      </w:r>
      <w:r w:rsidRPr="00393230">
        <w:br/>
        <w:t>（4）考核法规的变化。</w:t>
      </w:r>
      <w:r w:rsidRPr="00393230">
        <w:br/>
        <w:t>6.3.2 危险源辨识和风险评价的时机</w:t>
      </w:r>
      <w:r w:rsidRPr="00393230">
        <w:br/>
        <w:t>各责任单位每年应根据科研生产实际情况，参照 GLC260502《安全生产风</w:t>
      </w:r>
      <w:r w:rsidRPr="00393230">
        <w:br/>
        <w:t>险分级管理》识别本单位安全生产风险，并填写 FM2605-06《安全风险清单》</w:t>
      </w:r>
      <w:r w:rsidRPr="00393230">
        <w:br/>
        <w:t>报质量安全部；</w:t>
      </w:r>
      <w:proofErr w:type="gramStart"/>
      <w:r w:rsidRPr="00393230">
        <w:t>若危险</w:t>
      </w:r>
      <w:proofErr w:type="gramEnd"/>
      <w:r w:rsidRPr="00393230">
        <w:t>源发生变化时，应重新编制和完善 FM2605-06《安全风</w:t>
      </w:r>
      <w:r w:rsidRPr="00393230">
        <w:br/>
        <w:t>险清单》。质量安全部组织编制公司级 FM2605-06《安全风险清单》。</w:t>
      </w:r>
      <w:r w:rsidRPr="00393230">
        <w:br/>
        <w:t>6.3.3 风险评价方法</w:t>
      </w:r>
      <w:r w:rsidRPr="00393230">
        <w:br/>
        <w:t>6.3.3.1 采用 LEC 风险评价法，即公式：D＝L×E×C。（D：安全生产风险分</w:t>
      </w:r>
      <w:r w:rsidRPr="00393230">
        <w:br/>
        <w:t>值；L：发生事故的可能性；E：人员暴露于危险环境的频繁程度；C：发生事故</w:t>
      </w:r>
      <w:r w:rsidRPr="00393230">
        <w:br/>
      </w:r>
      <w:r w:rsidRPr="00393230">
        <w:lastRenderedPageBreak/>
        <w:t>造成的后果），依据 GLC260602《安全生产风险分级管理》程序 6.1 规定确定</w:t>
      </w:r>
      <w:r w:rsidRPr="00393230">
        <w:br/>
        <w:t>安全生产风险等级，分为：低风险、一般风险、较大风险和重大风险。</w:t>
      </w:r>
      <w:r w:rsidRPr="00393230">
        <w:br/>
        <w:t>6.3.3.2 采用是非判断法，直接判断为重大风险参照 GLC260502《安全生产风</w:t>
      </w:r>
      <w:r w:rsidRPr="00393230">
        <w:br/>
        <w:t>险分级管理》程序 6.5 规定。</w:t>
      </w:r>
      <w:r w:rsidRPr="00393230">
        <w:br/>
        <w:t>6.4 风险控制措施</w:t>
      </w:r>
      <w:r w:rsidRPr="00393230">
        <w:br/>
        <w:t>职业健康安全风险应按以下优先级制定控制措施，确保风险降至可接受水</w:t>
      </w:r>
    </w:p>
    <w:p w14:paraId="505B2AA7" w14:textId="77777777" w:rsidR="00393230" w:rsidRPr="00393230" w:rsidRDefault="00393230" w:rsidP="00393230">
      <w:r w:rsidRPr="00393230">
        <w:t>GLC260612-A</w:t>
      </w:r>
      <w:r w:rsidRPr="00393230">
        <w:br/>
        <w:t>5</w:t>
      </w:r>
      <w:r w:rsidRPr="00393230">
        <w:br/>
        <w:t>平：</w:t>
      </w:r>
      <w:r w:rsidRPr="00393230">
        <w:br/>
        <w:t>（1）消除风险（如停用存在重大隐患的设备）；</w:t>
      </w:r>
      <w:r w:rsidRPr="00393230">
        <w:br/>
        <w:t>（2）替代（如用低毒化学品替代高毒化学品）；</w:t>
      </w:r>
      <w:r w:rsidRPr="00393230">
        <w:br/>
        <w:t>（3）工程控制（如安装通风系统降低粉尘浓度）；</w:t>
      </w:r>
      <w:r w:rsidRPr="00393230">
        <w:br/>
        <w:t>（4）管理控制（如制定作业许可制度，规范动火作业）；</w:t>
      </w:r>
      <w:r w:rsidRPr="00393230">
        <w:br/>
        <w:t>（5）个体防护（如佩戴安全帽、防毒面具，作为最后防线）。</w:t>
      </w:r>
      <w:r w:rsidRPr="00393230">
        <w:br/>
        <w:t>6.5 变更管理</w:t>
      </w:r>
      <w:r w:rsidRPr="00393230">
        <w:br/>
        <w:t>6.5.1 当发生下述情形时应重新组织开展危险源辨识和风险评价</w:t>
      </w:r>
      <w:r w:rsidRPr="00393230">
        <w:br/>
        <w:t>（1）法律法规要求发生变化时；</w:t>
      </w:r>
      <w:r w:rsidRPr="00393230">
        <w:br/>
        <w:t>（2）科研生产活动、产品或服务发生重大变化时；</w:t>
      </w:r>
      <w:r w:rsidRPr="00393230">
        <w:br/>
        <w:t>（3）发生事故、事件或未遂事件后；</w:t>
      </w:r>
      <w:r w:rsidRPr="00393230">
        <w:br/>
        <w:t>（4）工作场所、环境或作业条件发生变化时；</w:t>
      </w:r>
      <w:r w:rsidRPr="00393230">
        <w:br/>
        <w:t>（5）相关方（员工、客户等）提出新的安全需求或投诉时；</w:t>
      </w:r>
      <w:r w:rsidRPr="00393230">
        <w:br/>
        <w:t>（6）采用新技术、新方法或新工具时；</w:t>
      </w:r>
      <w:r w:rsidRPr="00393230">
        <w:br/>
        <w:t>（7）其他可能导致危险源种类、或风险等级变化的情况。</w:t>
      </w:r>
      <w:r w:rsidRPr="00393230">
        <w:br/>
        <w:t>6.5.2 为确保任何新的或变化的风险为可接受风险，因考虑下列因素：</w:t>
      </w:r>
      <w:r w:rsidRPr="00393230">
        <w:br/>
        <w:t>（1）是否产生新职业健康安全风险和机遇；</w:t>
      </w:r>
      <w:r w:rsidRPr="00393230">
        <w:br/>
        <w:t>（2）变更是否可能对现有风险控制措施产生不利影响；</w:t>
      </w:r>
      <w:r w:rsidRPr="00393230">
        <w:br/>
        <w:t>（3）源自其他危险源的风险是否会发生变化；</w:t>
      </w:r>
      <w:r w:rsidRPr="00393230">
        <w:br/>
        <w:t>（4）是否考虑经营、财务、技术等要求。</w:t>
      </w:r>
      <w:r w:rsidRPr="00393230">
        <w:br/>
        <w:t>7 程序</w:t>
      </w:r>
      <w:r w:rsidRPr="00393230">
        <w:br/>
        <w:t>见附件 1：危险源辨识及风险和机遇的评价管理流程模型</w:t>
      </w:r>
      <w:r w:rsidRPr="00393230">
        <w:br/>
        <w:t>见附件 2：危险源辨识及风险和机遇的评价管理流程说明</w:t>
      </w:r>
      <w:r w:rsidRPr="00393230">
        <w:br/>
        <w:t>8 建立如下管理标准支持本管理程序</w:t>
      </w:r>
      <w:r w:rsidRPr="00393230">
        <w:br/>
        <w:t>无</w:t>
      </w:r>
      <w:r w:rsidRPr="00393230">
        <w:br/>
        <w:t>9 记录控制</w:t>
      </w:r>
    </w:p>
    <w:p w14:paraId="5480316B" w14:textId="77777777" w:rsidR="00393230" w:rsidRPr="00393230" w:rsidRDefault="00393230" w:rsidP="00393230">
      <w:r w:rsidRPr="00393230">
        <w:t>GLC260612-A</w:t>
      </w:r>
      <w:r w:rsidRPr="00393230">
        <w:br/>
        <w:t>6</w:t>
      </w:r>
      <w:r w:rsidRPr="00393230">
        <w:br/>
        <w:t>FM2605-06《安全风险清单》（公司级）由质量安全部保存三年。</w:t>
      </w:r>
    </w:p>
    <w:p w14:paraId="3C97C3A7" w14:textId="77777777" w:rsidR="00226387" w:rsidRDefault="00226387"/>
    <w:sectPr w:rsidR="0022638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387"/>
    <w:rsid w:val="00226387"/>
    <w:rsid w:val="00393230"/>
    <w:rsid w:val="006550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E37E89-8F0D-4CF2-914E-20BE20FDA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2638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2638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2638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2638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2638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2638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2638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2638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2638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2638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2638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2638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26387"/>
    <w:rPr>
      <w:rFonts w:cstheme="majorBidi"/>
      <w:color w:val="2F5496" w:themeColor="accent1" w:themeShade="BF"/>
      <w:sz w:val="28"/>
      <w:szCs w:val="28"/>
    </w:rPr>
  </w:style>
  <w:style w:type="character" w:customStyle="1" w:styleId="50">
    <w:name w:val="标题 5 字符"/>
    <w:basedOn w:val="a0"/>
    <w:link w:val="5"/>
    <w:uiPriority w:val="9"/>
    <w:semiHidden/>
    <w:rsid w:val="00226387"/>
    <w:rPr>
      <w:rFonts w:cstheme="majorBidi"/>
      <w:color w:val="2F5496" w:themeColor="accent1" w:themeShade="BF"/>
      <w:sz w:val="24"/>
    </w:rPr>
  </w:style>
  <w:style w:type="character" w:customStyle="1" w:styleId="60">
    <w:name w:val="标题 6 字符"/>
    <w:basedOn w:val="a0"/>
    <w:link w:val="6"/>
    <w:uiPriority w:val="9"/>
    <w:semiHidden/>
    <w:rsid w:val="00226387"/>
    <w:rPr>
      <w:rFonts w:cstheme="majorBidi"/>
      <w:b/>
      <w:bCs/>
      <w:color w:val="2F5496" w:themeColor="accent1" w:themeShade="BF"/>
    </w:rPr>
  </w:style>
  <w:style w:type="character" w:customStyle="1" w:styleId="70">
    <w:name w:val="标题 7 字符"/>
    <w:basedOn w:val="a0"/>
    <w:link w:val="7"/>
    <w:uiPriority w:val="9"/>
    <w:semiHidden/>
    <w:rsid w:val="00226387"/>
    <w:rPr>
      <w:rFonts w:cstheme="majorBidi"/>
      <w:b/>
      <w:bCs/>
      <w:color w:val="595959" w:themeColor="text1" w:themeTint="A6"/>
    </w:rPr>
  </w:style>
  <w:style w:type="character" w:customStyle="1" w:styleId="80">
    <w:name w:val="标题 8 字符"/>
    <w:basedOn w:val="a0"/>
    <w:link w:val="8"/>
    <w:uiPriority w:val="9"/>
    <w:semiHidden/>
    <w:rsid w:val="00226387"/>
    <w:rPr>
      <w:rFonts w:cstheme="majorBidi"/>
      <w:color w:val="595959" w:themeColor="text1" w:themeTint="A6"/>
    </w:rPr>
  </w:style>
  <w:style w:type="character" w:customStyle="1" w:styleId="90">
    <w:name w:val="标题 9 字符"/>
    <w:basedOn w:val="a0"/>
    <w:link w:val="9"/>
    <w:uiPriority w:val="9"/>
    <w:semiHidden/>
    <w:rsid w:val="00226387"/>
    <w:rPr>
      <w:rFonts w:eastAsiaTheme="majorEastAsia" w:cstheme="majorBidi"/>
      <w:color w:val="595959" w:themeColor="text1" w:themeTint="A6"/>
    </w:rPr>
  </w:style>
  <w:style w:type="paragraph" w:styleId="a3">
    <w:name w:val="Title"/>
    <w:basedOn w:val="a"/>
    <w:next w:val="a"/>
    <w:link w:val="a4"/>
    <w:uiPriority w:val="10"/>
    <w:qFormat/>
    <w:rsid w:val="0022638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263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638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2638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26387"/>
    <w:pPr>
      <w:spacing w:before="160"/>
      <w:jc w:val="center"/>
    </w:pPr>
    <w:rPr>
      <w:i/>
      <w:iCs/>
      <w:color w:val="404040" w:themeColor="text1" w:themeTint="BF"/>
    </w:rPr>
  </w:style>
  <w:style w:type="character" w:customStyle="1" w:styleId="a8">
    <w:name w:val="引用 字符"/>
    <w:basedOn w:val="a0"/>
    <w:link w:val="a7"/>
    <w:uiPriority w:val="29"/>
    <w:rsid w:val="00226387"/>
    <w:rPr>
      <w:i/>
      <w:iCs/>
      <w:color w:val="404040" w:themeColor="text1" w:themeTint="BF"/>
    </w:rPr>
  </w:style>
  <w:style w:type="paragraph" w:styleId="a9">
    <w:name w:val="List Paragraph"/>
    <w:basedOn w:val="a"/>
    <w:uiPriority w:val="34"/>
    <w:qFormat/>
    <w:rsid w:val="00226387"/>
    <w:pPr>
      <w:ind w:left="720"/>
      <w:contextualSpacing/>
    </w:pPr>
  </w:style>
  <w:style w:type="character" w:styleId="aa">
    <w:name w:val="Intense Emphasis"/>
    <w:basedOn w:val="a0"/>
    <w:uiPriority w:val="21"/>
    <w:qFormat/>
    <w:rsid w:val="00226387"/>
    <w:rPr>
      <w:i/>
      <w:iCs/>
      <w:color w:val="2F5496" w:themeColor="accent1" w:themeShade="BF"/>
    </w:rPr>
  </w:style>
  <w:style w:type="paragraph" w:styleId="ab">
    <w:name w:val="Intense Quote"/>
    <w:basedOn w:val="a"/>
    <w:next w:val="a"/>
    <w:link w:val="ac"/>
    <w:uiPriority w:val="30"/>
    <w:qFormat/>
    <w:rsid w:val="002263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26387"/>
    <w:rPr>
      <w:i/>
      <w:iCs/>
      <w:color w:val="2F5496" w:themeColor="accent1" w:themeShade="BF"/>
    </w:rPr>
  </w:style>
  <w:style w:type="character" w:styleId="ad">
    <w:name w:val="Intense Reference"/>
    <w:basedOn w:val="a0"/>
    <w:uiPriority w:val="32"/>
    <w:qFormat/>
    <w:rsid w:val="002263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482</Words>
  <Characters>2749</Characters>
  <Application>Microsoft Office Word</Application>
  <DocSecurity>0</DocSecurity>
  <Lines>22</Lines>
  <Paragraphs>6</Paragraphs>
  <ScaleCrop>false</ScaleCrop>
  <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2026-05-22T03:03:00Z</dcterms:created>
  <dcterms:modified xsi:type="dcterms:W3CDTF">2026-05-22T03:03:00Z</dcterms:modified>
</cp:coreProperties>
</file>