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BADE" w14:textId="77777777" w:rsidR="007E619A" w:rsidRPr="007E619A" w:rsidRDefault="007E619A" w:rsidP="007E619A">
      <w:r w:rsidRPr="007E619A">
        <w:t>淘汰</w:t>
      </w:r>
      <w:proofErr w:type="gramStart"/>
      <w:r w:rsidRPr="007E619A">
        <w:t>落后用</w:t>
      </w:r>
      <w:proofErr w:type="gramEnd"/>
      <w:r w:rsidRPr="007E619A">
        <w:t>能管理程序</w:t>
      </w:r>
      <w:r w:rsidRPr="007E619A">
        <w:br/>
        <w:t>1 范围</w:t>
      </w:r>
      <w:r w:rsidRPr="007E619A">
        <w:br/>
        <w:t>本程序规定了公司淘汰</w:t>
      </w:r>
      <w:proofErr w:type="gramStart"/>
      <w:r w:rsidRPr="007E619A">
        <w:t>落后用</w:t>
      </w:r>
      <w:proofErr w:type="gramEnd"/>
      <w:r w:rsidRPr="007E619A">
        <w:t>能的管理流程。</w:t>
      </w:r>
      <w:r w:rsidRPr="007E619A">
        <w:br/>
        <w:t>本程序适用于公司淘汰</w:t>
      </w:r>
      <w:proofErr w:type="gramStart"/>
      <w:r w:rsidRPr="007E619A">
        <w:t>落后用</w:t>
      </w:r>
      <w:proofErr w:type="gramEnd"/>
      <w:r w:rsidRPr="007E619A">
        <w:t>能的管理。</w:t>
      </w:r>
      <w:r w:rsidRPr="007E619A">
        <w:br/>
        <w:t>本程序依据 GLG2615 节能</w:t>
      </w:r>
      <w:proofErr w:type="gramStart"/>
      <w:r w:rsidRPr="007E619A">
        <w:t>双碳管理</w:t>
      </w:r>
      <w:proofErr w:type="gramEnd"/>
      <w:r w:rsidRPr="007E619A">
        <w:t>规则编制。</w:t>
      </w:r>
      <w:r w:rsidRPr="007E619A">
        <w:br/>
        <w:t>2 引用文件</w:t>
      </w:r>
      <w:r w:rsidRPr="007E619A">
        <w:br/>
        <w:t>GS23 能源管理手册</w:t>
      </w:r>
      <w:r w:rsidRPr="007E619A">
        <w:br/>
        <w:t>GLG2615 节能</w:t>
      </w:r>
      <w:proofErr w:type="gramStart"/>
      <w:r w:rsidRPr="007E619A">
        <w:t>双碳管理</w:t>
      </w:r>
      <w:proofErr w:type="gramEnd"/>
      <w:r w:rsidRPr="007E619A">
        <w:t>规则</w:t>
      </w:r>
      <w:r w:rsidRPr="007E619A">
        <w:br/>
        <w:t>GLC261501 能源评审与年度节能</w:t>
      </w:r>
      <w:proofErr w:type="gramStart"/>
      <w:r w:rsidRPr="007E619A">
        <w:t>双碳工作</w:t>
      </w:r>
      <w:proofErr w:type="gramEnd"/>
      <w:r w:rsidRPr="007E619A">
        <w:t>策划程序</w:t>
      </w:r>
      <w:r w:rsidRPr="007E619A">
        <w:br/>
        <w:t>GLC261509 环境保护“三同时”和节能审查管理程序</w:t>
      </w:r>
      <w:r w:rsidRPr="007E619A">
        <w:br/>
        <w:t>高耗能落后机电设备（产品）淘汰目录（第一至四批）</w:t>
      </w:r>
      <w:r w:rsidRPr="007E619A">
        <w:br/>
        <w:t>节能机电设备产品推荐目录</w:t>
      </w:r>
      <w:r w:rsidRPr="007E619A">
        <w:br/>
        <w:t>3 表格</w:t>
      </w:r>
      <w:r w:rsidRPr="007E619A">
        <w:br/>
        <w:t>3.1 规定表格</w:t>
      </w:r>
      <w:r w:rsidRPr="007E619A">
        <w:br/>
        <w:t>FM2615-03 淘汰机电设备清单及淘汰计划（见附件 3）</w:t>
      </w:r>
      <w:r w:rsidRPr="007E619A">
        <w:br/>
        <w:t>3.2 引用表格</w:t>
      </w:r>
      <w:r w:rsidRPr="007E619A">
        <w:br/>
        <w:t>FM2608-01 公司主要耗能设备台账</w:t>
      </w:r>
      <w:r w:rsidRPr="007E619A">
        <w:br/>
        <w:t>FM2605-13 隐患整改通知单</w:t>
      </w:r>
      <w:r w:rsidRPr="007E619A">
        <w:br/>
        <w:t>4 术语和定义</w:t>
      </w:r>
      <w:r w:rsidRPr="007E619A">
        <w:br/>
      </w:r>
      <w:proofErr w:type="gramStart"/>
      <w:r w:rsidRPr="007E619A">
        <w:t>落后用</w:t>
      </w:r>
      <w:proofErr w:type="gramEnd"/>
      <w:r w:rsidRPr="007E619A">
        <w:t>能</w:t>
      </w:r>
      <w:r w:rsidRPr="007E619A">
        <w:br/>
        <w:t>国家明令淘汰的机电设备和工艺相关的设备或公司界定的能源利用效率较</w:t>
      </w:r>
      <w:r w:rsidRPr="007E619A">
        <w:br/>
        <w:t>低的设备。</w:t>
      </w:r>
      <w:r w:rsidRPr="007E619A">
        <w:br/>
        <w:t>5 职责</w:t>
      </w:r>
      <w:r w:rsidRPr="007E619A">
        <w:br/>
        <w:t>5.1 质量安全部安全管理室/</w:t>
      </w:r>
      <w:proofErr w:type="gramStart"/>
      <w:r w:rsidRPr="007E619A">
        <w:t>双碳推进室</w:t>
      </w:r>
      <w:proofErr w:type="gramEnd"/>
      <w:r w:rsidRPr="007E619A">
        <w:t>负责跟踪更新《高耗能落后机电设备</w:t>
      </w:r>
      <w:r w:rsidRPr="007E619A">
        <w:br/>
        <w:t>（产品）淘汰目录》，负责汇总公司淘汰机电设备清单及淘汰计划，负责向上级</w:t>
      </w:r>
    </w:p>
    <w:p w14:paraId="51D9AB3E" w14:textId="77777777" w:rsidR="007E619A" w:rsidRPr="007E619A" w:rsidRDefault="007E619A" w:rsidP="007E619A">
      <w:r w:rsidRPr="007E619A">
        <w:t>GLC261506-A</w:t>
      </w:r>
      <w:r w:rsidRPr="007E619A">
        <w:br/>
        <w:t>2</w:t>
      </w:r>
      <w:r w:rsidRPr="007E619A">
        <w:br/>
        <w:t>部门报送计划及总结。</w:t>
      </w:r>
      <w:r w:rsidRPr="007E619A">
        <w:br/>
        <w:t>5.2 各单位负责本单位资产内的淘汰</w:t>
      </w:r>
      <w:proofErr w:type="gramStart"/>
      <w:r w:rsidRPr="007E619A">
        <w:t>落后用</w:t>
      </w:r>
      <w:proofErr w:type="gramEnd"/>
      <w:r w:rsidRPr="007E619A">
        <w:t>能识别，建立淘汰机电设备清单及</w:t>
      </w:r>
      <w:r w:rsidRPr="007E619A">
        <w:br/>
        <w:t>淘汰计划并组织淘汰。</w:t>
      </w:r>
      <w:r w:rsidRPr="007E619A">
        <w:br/>
        <w:t>6 规定</w:t>
      </w:r>
      <w:r w:rsidRPr="007E619A">
        <w:br/>
        <w:t>6.1 淘汰机电设备的识别</w:t>
      </w:r>
      <w:r w:rsidRPr="007E619A">
        <w:br/>
        <w:t>6.1.1 各单位对照《高耗能落后机电设备（产品）淘汰目录》所列机电设备淘</w:t>
      </w:r>
      <w:r w:rsidRPr="007E619A">
        <w:br/>
      </w:r>
      <w:proofErr w:type="gramStart"/>
      <w:r w:rsidRPr="007E619A">
        <w:t>汰</w:t>
      </w:r>
      <w:proofErr w:type="gramEnd"/>
      <w:r w:rsidRPr="007E619A">
        <w:t>目录全面筛查本单位现有国家明令淘汰的高耗能落后机电设备，一般包括变</w:t>
      </w:r>
      <w:r w:rsidRPr="007E619A">
        <w:br/>
        <w:t>压器、电机、水泵以及锅炉、压缩机、制冷机组等通用动力设备。</w:t>
      </w:r>
      <w:r w:rsidRPr="007E619A">
        <w:br/>
        <w:t>6.1.2 各单位按照 FM2615-03 编制淘汰机电设备清单并制定淘汰计划。</w:t>
      </w:r>
      <w:r w:rsidRPr="007E619A">
        <w:br/>
        <w:t>6.1.3 质量安全部识别国家最新发布的淘汰设备目录，各单位需对照相应目录</w:t>
      </w:r>
      <w:r w:rsidRPr="007E619A">
        <w:br/>
        <w:t>重新筛查。</w:t>
      </w:r>
      <w:r w:rsidRPr="007E619A">
        <w:br/>
      </w:r>
      <w:r w:rsidRPr="007E619A">
        <w:lastRenderedPageBreak/>
        <w:t>6.2 淘汰机电设备的淘汰、更新</w:t>
      </w:r>
      <w:r w:rsidRPr="007E619A">
        <w:br/>
        <w:t>6.2.1 更新或新增的设备（国家或集团能效水平目录无要求的设备除外）</w:t>
      </w:r>
      <w:proofErr w:type="gramStart"/>
      <w:r w:rsidRPr="007E619A">
        <w:t>需征</w:t>
      </w:r>
      <w:proofErr w:type="gramEnd"/>
      <w:r w:rsidRPr="007E619A">
        <w:br/>
        <w:t>集质量安全部节能意见，能效等级应达到节能及以上水平，即二级及以上能效；</w:t>
      </w:r>
      <w:r w:rsidRPr="007E619A">
        <w:br/>
        <w:t>应急、临时使用或年运行时间不足 250 小时的能效等级应不低于准入水平，即</w:t>
      </w:r>
      <w:r w:rsidRPr="007E619A">
        <w:br/>
        <w:t>三级及以上能效。</w:t>
      </w:r>
      <w:r w:rsidRPr="007E619A">
        <w:br/>
        <w:t>6.2.2 各单位按照《高耗能落后机电设备（产品）淘汰目录》（第一批到第四批）</w:t>
      </w:r>
      <w:r w:rsidRPr="007E619A">
        <w:br/>
        <w:t>规定的淘汰范围及时限完成淘汰，未明确规定淘汰实现的设备（产品）应立即</w:t>
      </w:r>
      <w:r w:rsidRPr="007E619A">
        <w:br/>
        <w:t>淘汰。</w:t>
      </w:r>
      <w:r w:rsidRPr="007E619A">
        <w:br/>
        <w:t>6.3 淘汰机电设备清单及淘汰计划</w:t>
      </w:r>
      <w:r w:rsidRPr="007E619A">
        <w:br/>
        <w:t>6.3.1 各单位需将 FM2615-03 淘汰机电设备清单及淘汰计划于每年 2 月底前，</w:t>
      </w:r>
      <w:r w:rsidRPr="007E619A">
        <w:br/>
        <w:t>通过安全业务报表经部门责任人审批后，报送质量安全部安全管理室/</w:t>
      </w:r>
      <w:proofErr w:type="gramStart"/>
      <w:r w:rsidRPr="007E619A">
        <w:t>双碳推进</w:t>
      </w:r>
      <w:proofErr w:type="gramEnd"/>
      <w:r w:rsidRPr="007E619A">
        <w:br/>
        <w:t>室。</w:t>
      </w:r>
      <w:r w:rsidRPr="007E619A">
        <w:br/>
        <w:t>6.3.2 各单位在每年 9 月底前以清单形式逐项对计划完成情况进行总结，通过</w:t>
      </w:r>
      <w:r w:rsidRPr="007E619A">
        <w:br/>
        <w:t>安全业务报表经部门责任人审批后，报送质量安全部安全管理室/</w:t>
      </w:r>
      <w:proofErr w:type="gramStart"/>
      <w:r w:rsidRPr="007E619A">
        <w:t>双碳推进室</w:t>
      </w:r>
      <w:proofErr w:type="gramEnd"/>
      <w:r w:rsidRPr="007E619A">
        <w:t>。</w:t>
      </w:r>
      <w:r w:rsidRPr="007E619A">
        <w:br/>
        <w:t>6.3.2 质量安全部汇总淘汰计划及总结报送上级单位。</w:t>
      </w:r>
      <w:r w:rsidRPr="007E619A">
        <w:br/>
        <w:t>6.4 淘汰机电设备的考核</w:t>
      </w:r>
      <w:r w:rsidRPr="007E619A">
        <w:br/>
        <w:t>6.4.1 质量安全部根据各单位报送的计划及总结情况，对各单位进行抽查，并</w:t>
      </w:r>
      <w:r w:rsidRPr="007E619A">
        <w:br/>
        <w:t>重点针对工作不扎实、总结不到位的单位按《经营绩效管理规则》进行考核。</w:t>
      </w:r>
      <w:r w:rsidRPr="007E619A">
        <w:br/>
        <w:t>7 程序</w:t>
      </w:r>
    </w:p>
    <w:p w14:paraId="268B4623" w14:textId="77777777" w:rsidR="007E619A" w:rsidRPr="007E619A" w:rsidRDefault="007E619A" w:rsidP="007E619A">
      <w:r w:rsidRPr="007E619A">
        <w:t>GLC261506-A</w:t>
      </w:r>
      <w:r w:rsidRPr="007E619A">
        <w:br/>
        <w:t>3</w:t>
      </w:r>
      <w:r w:rsidRPr="007E619A">
        <w:br/>
        <w:t>见附件 1: 26.15.6.1 淘汰设备管理流程模型</w:t>
      </w:r>
      <w:r w:rsidRPr="007E619A">
        <w:br/>
        <w:t>见附件 2: 26.15.6.1 淘汰设备管理流程说明</w:t>
      </w:r>
      <w:r w:rsidRPr="007E619A">
        <w:br/>
        <w:t>8 建立如下管理标准支持本管理程序</w:t>
      </w:r>
      <w:r w:rsidRPr="007E619A">
        <w:br/>
        <w:t>无</w:t>
      </w:r>
      <w:r w:rsidRPr="007E619A">
        <w:br/>
        <w:t>9 记录控制</w:t>
      </w:r>
      <w:r w:rsidRPr="007E619A">
        <w:br/>
        <w:t>FM2615-03 淘汰机电设备清单及淘汰计划由使用单位保存 5 年。</w:t>
      </w:r>
    </w:p>
    <w:p w14:paraId="5FB0F39A" w14:textId="77777777" w:rsidR="00300498" w:rsidRPr="007E619A" w:rsidRDefault="00300498"/>
    <w:sectPr w:rsidR="00300498" w:rsidRPr="007E61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98"/>
    <w:rsid w:val="00115AD7"/>
    <w:rsid w:val="00300498"/>
    <w:rsid w:val="007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81D89-DBE6-45E2-9566-F1F7EFC9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4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04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04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04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04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004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04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4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4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4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04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04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0498"/>
    <w:rPr>
      <w:rFonts w:cstheme="majorBidi"/>
      <w:color w:val="2F5496" w:themeColor="accent1" w:themeShade="BF"/>
      <w:sz w:val="28"/>
      <w:szCs w:val="28"/>
    </w:rPr>
  </w:style>
  <w:style w:type="character" w:customStyle="1" w:styleId="50">
    <w:name w:val="标题 5 字符"/>
    <w:basedOn w:val="a0"/>
    <w:link w:val="5"/>
    <w:uiPriority w:val="9"/>
    <w:semiHidden/>
    <w:rsid w:val="00300498"/>
    <w:rPr>
      <w:rFonts w:cstheme="majorBidi"/>
      <w:color w:val="2F5496" w:themeColor="accent1" w:themeShade="BF"/>
      <w:sz w:val="24"/>
    </w:rPr>
  </w:style>
  <w:style w:type="character" w:customStyle="1" w:styleId="60">
    <w:name w:val="标题 6 字符"/>
    <w:basedOn w:val="a0"/>
    <w:link w:val="6"/>
    <w:uiPriority w:val="9"/>
    <w:semiHidden/>
    <w:rsid w:val="00300498"/>
    <w:rPr>
      <w:rFonts w:cstheme="majorBidi"/>
      <w:b/>
      <w:bCs/>
      <w:color w:val="2F5496" w:themeColor="accent1" w:themeShade="BF"/>
    </w:rPr>
  </w:style>
  <w:style w:type="character" w:customStyle="1" w:styleId="70">
    <w:name w:val="标题 7 字符"/>
    <w:basedOn w:val="a0"/>
    <w:link w:val="7"/>
    <w:uiPriority w:val="9"/>
    <w:semiHidden/>
    <w:rsid w:val="00300498"/>
    <w:rPr>
      <w:rFonts w:cstheme="majorBidi"/>
      <w:b/>
      <w:bCs/>
      <w:color w:val="595959" w:themeColor="text1" w:themeTint="A6"/>
    </w:rPr>
  </w:style>
  <w:style w:type="character" w:customStyle="1" w:styleId="80">
    <w:name w:val="标题 8 字符"/>
    <w:basedOn w:val="a0"/>
    <w:link w:val="8"/>
    <w:uiPriority w:val="9"/>
    <w:semiHidden/>
    <w:rsid w:val="00300498"/>
    <w:rPr>
      <w:rFonts w:cstheme="majorBidi"/>
      <w:color w:val="595959" w:themeColor="text1" w:themeTint="A6"/>
    </w:rPr>
  </w:style>
  <w:style w:type="character" w:customStyle="1" w:styleId="90">
    <w:name w:val="标题 9 字符"/>
    <w:basedOn w:val="a0"/>
    <w:link w:val="9"/>
    <w:uiPriority w:val="9"/>
    <w:semiHidden/>
    <w:rsid w:val="00300498"/>
    <w:rPr>
      <w:rFonts w:eastAsiaTheme="majorEastAsia" w:cstheme="majorBidi"/>
      <w:color w:val="595959" w:themeColor="text1" w:themeTint="A6"/>
    </w:rPr>
  </w:style>
  <w:style w:type="paragraph" w:styleId="a3">
    <w:name w:val="Title"/>
    <w:basedOn w:val="a"/>
    <w:next w:val="a"/>
    <w:link w:val="a4"/>
    <w:uiPriority w:val="10"/>
    <w:qFormat/>
    <w:rsid w:val="003004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4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4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4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498"/>
    <w:pPr>
      <w:spacing w:before="160"/>
      <w:jc w:val="center"/>
    </w:pPr>
    <w:rPr>
      <w:i/>
      <w:iCs/>
      <w:color w:val="404040" w:themeColor="text1" w:themeTint="BF"/>
    </w:rPr>
  </w:style>
  <w:style w:type="character" w:customStyle="1" w:styleId="a8">
    <w:name w:val="引用 字符"/>
    <w:basedOn w:val="a0"/>
    <w:link w:val="a7"/>
    <w:uiPriority w:val="29"/>
    <w:rsid w:val="00300498"/>
    <w:rPr>
      <w:i/>
      <w:iCs/>
      <w:color w:val="404040" w:themeColor="text1" w:themeTint="BF"/>
    </w:rPr>
  </w:style>
  <w:style w:type="paragraph" w:styleId="a9">
    <w:name w:val="List Paragraph"/>
    <w:basedOn w:val="a"/>
    <w:uiPriority w:val="34"/>
    <w:qFormat/>
    <w:rsid w:val="00300498"/>
    <w:pPr>
      <w:ind w:left="720"/>
      <w:contextualSpacing/>
    </w:pPr>
  </w:style>
  <w:style w:type="character" w:styleId="aa">
    <w:name w:val="Intense Emphasis"/>
    <w:basedOn w:val="a0"/>
    <w:uiPriority w:val="21"/>
    <w:qFormat/>
    <w:rsid w:val="00300498"/>
    <w:rPr>
      <w:i/>
      <w:iCs/>
      <w:color w:val="2F5496" w:themeColor="accent1" w:themeShade="BF"/>
    </w:rPr>
  </w:style>
  <w:style w:type="paragraph" w:styleId="ab">
    <w:name w:val="Intense Quote"/>
    <w:basedOn w:val="a"/>
    <w:next w:val="a"/>
    <w:link w:val="ac"/>
    <w:uiPriority w:val="30"/>
    <w:qFormat/>
    <w:rsid w:val="00300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00498"/>
    <w:rPr>
      <w:i/>
      <w:iCs/>
      <w:color w:val="2F5496" w:themeColor="accent1" w:themeShade="BF"/>
    </w:rPr>
  </w:style>
  <w:style w:type="character" w:styleId="ad">
    <w:name w:val="Intense Reference"/>
    <w:basedOn w:val="a0"/>
    <w:uiPriority w:val="32"/>
    <w:qFormat/>
    <w:rsid w:val="003004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2026-05-22T03:49:00Z</dcterms:created>
  <dcterms:modified xsi:type="dcterms:W3CDTF">2026-05-22T03:49:00Z</dcterms:modified>
</cp:coreProperties>
</file>