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  <Override ContentType="application/vnd.openxmlformats-officedocument.wordprocessingml.header+xml" PartName="/word/header4.xml"/>
  <Override ContentType="application/vnd.openxmlformats-officedocument.wordprocessingml.footer+xml" PartName="/word/footer4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0"/>
        <w:jc w:val="center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前    言</w:t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center"/>
      </w:pPr>
      <w:r>
        <w:rPr>
          <w:color w:val="1b324f"/>
          <w:sz w:val="21"/>
          <w:szCs w:val="21"/>
          <w:rFonts w:ascii="宋体" w:cs="宋体" w:eastAsia="宋体" w:hAnsi="宋体"/>
        </w:rPr>
        <w:t xml:space="preserve"> </w:t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center"/>
      </w:pPr>
      <w:r>
        <w:rPr>
          <w:color w:val="1b324f"/>
          <w:sz w:val="21"/>
          <w:szCs w:val="21"/>
          <w:rFonts w:ascii="宋体" w:cs="宋体" w:eastAsia="宋体" w:hAnsi="宋体"/>
        </w:rPr>
        <w:t xml:space="preserve"> </w:t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本制度属于支撑类管理制度。</w:t>
      </w:r>
    </w:p>
    <w:p>
      <w:pPr>
        <w:spacing w:before="0" w:after="0" w:line="280" w:lineRule="exact"/>
      </w:pPr>
      <w:r>
        <w:rPr>
          <w:color w:val="000000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本制度由质量安全部提出。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本制度由质量安全部负责解释。</w:t>
      </w:r>
      <w:r>
        <w:rPr>
          <w:color w:val="000000"/>
          <w:sz w:val="28"/>
          <w:szCs w:val="28"/>
          <w:rFonts w:ascii="宋体" w:cs="宋体" w:eastAsia="宋体" w:hAnsi="宋体"/>
        </w:rPr>
        <w:br/>
      </w:r>
    </w:p>
    <w:p>
      <w:pPr>
        <w:sectPr>
          <w:headerReference w:type="default" r:id="rId6"/>
          <w:footerReference w:type="default" r:id="rId7"/>
          <w:pgSz w:w="11906" w:h="16838" w:orient="portrait"/>
          <w:pgMar w:top="1440" w:right="1802" w:bottom="1440" w:left="1802" w:header="708" w:footer="708" w:gutter="0"/>
          <w:pgNumType w:start="1" w:fmt="decimal"/>
          <w:docGrid w:linePitch="360"/>
        </w:sectPr>
      </w:pPr>
    </w:p>
    <w:p>
      <w:pPr>
        <w:spacing w:before="0" w:after="0"/>
        <w:jc w:val="center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巡检实施管理标准</w:t>
      </w:r>
    </w:p>
    <w:p>
      <w:pPr>
        <w:spacing w:before="0" w:after="0" w:line="280" w:lineRule="exact"/>
      </w:pPr>
      <w:r>
        <w:rPr>
          <w:color w:val="000000"/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color w:val="000000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1  范围</w:t>
      </w:r>
    </w:p>
    <w:p>
      <w:pPr>
        <w:spacing w:before="0" w:after="0" w:line="280" w:lineRule="exact"/>
      </w:pPr>
      <w:r>
        <w:rPr>
          <w:color w:val="1b324f"/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color w:val="1b324f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本文件规定了巡检实施的控制要求。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本文件适用于民机项目。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本文件依据</w:t>
      </w:r>
      <w:r>
        <w:rPr>
          <w:color w:val="000000"/>
          <w:sz w:val="28"/>
          <w:szCs w:val="28"/>
          <w:rFonts w:ascii="Times New Roman" w:cs="Times New Roman" w:eastAsia="Times New Roman" w:hAnsi="Times New Roman"/>
        </w:rPr>
        <w:t xml:space="preserve">GLC14080302</w:t>
      </w:r>
      <w:r>
        <w:rPr>
          <w:color w:val="000000"/>
          <w:sz w:val="28"/>
          <w:szCs w:val="28"/>
          <w:rFonts w:ascii="宋体" w:cs="宋体" w:eastAsia="宋体" w:hAnsi="宋体"/>
        </w:rPr>
        <w:t xml:space="preserve">制定。</w:t>
      </w:r>
    </w:p>
    <w:p>
      <w:pPr>
        <w:spacing w:before="0" w:after="0" w:line="280" w:lineRule="exact"/>
      </w:pPr>
      <w:r>
        <w:rPr>
          <w:color w:val="1b324f"/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color w:val="1b324f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2  规范性引用文件</w:t>
      </w:r>
    </w:p>
    <w:p>
      <w:pPr>
        <w:spacing w:before="0" w:after="0" w:line="280" w:lineRule="exact"/>
      </w:pPr>
      <w:r>
        <w:rPr>
          <w:color w:val="1b324f"/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color w:val="1b324f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sz w:val="28"/>
          <w:szCs w:val="28"/>
          <w:rFonts w:ascii="Times New Roman" w:cs="Times New Roman" w:eastAsia="Times New Roman" w:hAnsi="Times New Roman"/>
        </w:rPr>
        <w:t xml:space="preserve">GLC14080302</w:t>
      </w:r>
      <w:r>
        <w:rPr>
          <w:sz w:val="28"/>
          <w:szCs w:val="28"/>
          <w:rFonts w:ascii="宋体" w:cs="宋体" w:eastAsia="宋体" w:hAnsi="宋体"/>
        </w:rPr>
        <w:t xml:space="preserve">  </w:t>
      </w:r>
      <w:r>
        <w:rPr>
          <w:color w:val="000000"/>
          <w:sz w:val="28"/>
          <w:szCs w:val="28"/>
          <w:rFonts w:ascii="宋体" w:cs="宋体" w:eastAsia="宋体" w:hAnsi="宋体"/>
        </w:rPr>
        <w:t xml:space="preserve">产</w:t>
      </w:r>
      <w:r>
        <w:rPr>
          <w:color w:val="000000"/>
          <w:sz w:val="28"/>
          <w:szCs w:val="28"/>
          <w:rFonts w:ascii="宋体" w:cs="宋体" w:eastAsia="宋体" w:hAnsi="宋体"/>
        </w:rPr>
        <w:t xml:space="preserve">品检验管理程序</w:t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sz w:val="28"/>
          <w:szCs w:val="28"/>
          <w:rFonts w:ascii="Times New Roman" w:cs="Times New Roman" w:eastAsia="Times New Roman" w:hAnsi="Times New Roman"/>
        </w:rPr>
        <w:t xml:space="preserve">GLC14080401</w:t>
      </w:r>
      <w:r>
        <w:rPr>
          <w:color w:val="000000"/>
          <w:sz w:val="28"/>
          <w:szCs w:val="28"/>
          <w:rFonts w:ascii="宋体" w:cs="宋体" w:eastAsia="宋体" w:hAnsi="宋体"/>
        </w:rPr>
        <w:t xml:space="preserve">  不合格品控制管理程序</w:t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sz w:val="28"/>
          <w:szCs w:val="28"/>
          <w:rFonts w:ascii="Times New Roman" w:cs="Times New Roman" w:eastAsia="Times New Roman" w:hAnsi="Times New Roman"/>
        </w:rPr>
        <w:t xml:space="preserve">GLC230801</w:t>
      </w:r>
      <w:r>
        <w:rPr>
          <w:sz w:val="28"/>
          <w:szCs w:val="28"/>
          <w:rFonts w:ascii="宋体" w:cs="宋体" w:eastAsia="宋体" w:hAnsi="宋体"/>
        </w:rPr>
        <w:t xml:space="preserve">  </w:t>
      </w:r>
      <w:r>
        <w:rPr>
          <w:color w:val="000000"/>
          <w:sz w:val="28"/>
          <w:szCs w:val="28"/>
          <w:rFonts w:ascii="宋体" w:cs="宋体" w:eastAsia="宋体" w:hAnsi="宋体"/>
        </w:rPr>
        <w:t xml:space="preserve">纠正措施管理程序</w:t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sz w:val="28"/>
          <w:szCs w:val="28"/>
          <w:rFonts w:ascii="Times New Roman" w:cs="Times New Roman" w:eastAsia="Times New Roman" w:hAnsi="Times New Roman"/>
        </w:rPr>
        <w:t xml:space="preserve">GLC231008</w:t>
      </w:r>
      <w:r>
        <w:rPr>
          <w:color w:val="000000"/>
          <w:sz w:val="28"/>
          <w:szCs w:val="28"/>
          <w:rFonts w:ascii="宋体" w:cs="宋体" w:eastAsia="宋体" w:hAnsi="宋体"/>
        </w:rPr>
        <w:t xml:space="preserve">  质量记录管理程序</w:t>
      </w:r>
    </w:p>
    <w:p>
      <w:pPr>
        <w:spacing w:before="0" w:after="0" w:line="280" w:lineRule="exact"/>
      </w:pPr>
      <w:r>
        <w:rPr>
          <w:color w:val="1b324f"/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color w:val="1b324f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3  表格</w:t>
      </w:r>
    </w:p>
    <w:p>
      <w:pPr>
        <w:spacing w:before="0" w:after="0" w:line="280" w:lineRule="exact"/>
      </w:pPr>
      <w:r>
        <w:rPr>
          <w:color w:val="1b324f"/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color w:val="1b324f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3.1  规定表格</w:t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sz w:val="28"/>
          <w:szCs w:val="28"/>
          <w:rFonts w:ascii="Times New Roman" w:cs="Times New Roman" w:eastAsia="Times New Roman" w:hAnsi="Times New Roman"/>
        </w:rPr>
        <w:t xml:space="preserve">FM1408-104</w:t>
      </w:r>
      <w:r>
        <w:rPr>
          <w:color w:val="1b324f"/>
          <w:sz w:val="28"/>
          <w:szCs w:val="28"/>
          <w:rFonts w:ascii="宋体" w:cs="宋体" w:eastAsia="宋体" w:hAnsi="宋体"/>
        </w:rPr>
        <w:t xml:space="preserve">  </w:t>
      </w:r>
      <w:r>
        <w:rPr>
          <w:color w:val="000000"/>
          <w:sz w:val="28"/>
          <w:szCs w:val="28"/>
          <w:rFonts w:ascii="宋体" w:cs="宋体" w:eastAsia="宋体" w:hAnsi="宋体"/>
        </w:rPr>
        <w:t xml:space="preserve">巡检问题记录表</w:t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3.2  引用表格</w:t>
      </w:r>
    </w:p>
    <w:p>
      <w:pPr>
        <w:spacing w:before="0" w:after="0"/>
        <w:jc w:val="both"/>
      </w:pPr>
      <w:r>
        <w:rPr>
          <w:sz w:val="28"/>
          <w:szCs w:val="28"/>
          <w:rFonts w:ascii="宋体" w:cs="宋体" w:eastAsia="宋体" w:hAnsi="宋体"/>
        </w:rPr>
        <w:t xml:space="preserve">无</w:t>
      </w:r>
    </w:p>
    <w:p>
      <w:pPr>
        <w:spacing w:before="0" w:after="0" w:line="210" w:lineRule="exact"/>
      </w:pPr>
      <w:r>
        <w:rPr>
          <w:color w:val="0070c0"/>
          <w:sz w:val="21"/>
          <w:szCs w:val="21"/>
          <w:rFonts w:ascii="宋体" w:cs="宋体" w:eastAsia="宋体" w:hAnsi="宋体"/>
        </w:rPr>
      </w:r>
    </w:p>
    <w:p>
      <w:pPr>
        <w:spacing w:before="0" w:after="0" w:line="210" w:lineRule="exact"/>
      </w:pPr>
      <w:r>
        <w:rPr>
          <w:color w:val="0070c0"/>
          <w:sz w:val="21"/>
          <w:szCs w:val="21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4  术语和定义</w:t>
      </w:r>
    </w:p>
    <w:p>
      <w:pPr>
        <w:spacing w:before="0" w:after="0" w:line="280" w:lineRule="exact"/>
      </w:pPr>
      <w:r>
        <w:rPr>
          <w:color w:val="1b324f"/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color w:val="1b324f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sz w:val="28"/>
          <w:szCs w:val="28"/>
          <w:rFonts w:ascii="宋体" w:cs="宋体" w:eastAsia="宋体" w:hAnsi="宋体"/>
        </w:rPr>
        <w:t xml:space="preserve">无</w:t>
      </w:r>
    </w:p>
    <w:p>
      <w:pPr>
        <w:spacing w:before="0" w:after="0" w:line="280" w:lineRule="exact"/>
      </w:pPr>
      <w:r>
        <w:rPr>
          <w:color w:val="1b324f"/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color w:val="1b324f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5  规定</w:t>
      </w:r>
    </w:p>
    <w:p>
      <w:pPr>
        <w:sectPr>
          <w:headerReference w:type="default" r:id="rId8"/>
          <w:footerReference w:type="default" r:id="rId9"/>
          <w:pgSz w:w="11906" w:h="16838" w:orient="portrait"/>
          <w:pgMar w:top="1440" w:right="1802" w:bottom="1440" w:left="1802" w:header="708" w:footer="708" w:gutter="0"/>
          <w:pgNumType w:start="2" w:fmt="decimal"/>
          <w:docGrid w:linePitch="360"/>
        </w:sectPr>
      </w:pPr>
    </w:p>
    <w:p>
      <w:pPr>
        <w:spacing w:before="0" w:after="0" w:line="280" w:lineRule="exact"/>
      </w:pPr>
      <w:r>
        <w:rPr>
          <w:color w:val="1b324f"/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color w:val="1b324f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5.1</w:t>
      </w:r>
      <w:r>
        <w:rPr>
          <w:color w:val="000000"/>
          <w:sz w:val="28"/>
          <w:szCs w:val="28"/>
          <w:rFonts w:ascii="宋体" w:cs="宋体" w:eastAsia="宋体" w:hAnsi="宋体"/>
        </w:rPr>
        <w:t xml:space="preserve">  巡检划分为一、二、三个层级，其中一级、二级巡检由各生产单位质量工程室完成；三级巡检由质量安全部质量控制室来完成。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5.2</w:t>
      </w:r>
      <w:r>
        <w:rPr>
          <w:color w:val="000000"/>
          <w:sz w:val="28"/>
          <w:szCs w:val="28"/>
          <w:rFonts w:ascii="宋体" w:cs="宋体" w:eastAsia="宋体" w:hAnsi="宋体"/>
        </w:rPr>
        <w:t xml:space="preserve">  质量安全部质量控制室技术员负责编制三级巡检检查单；开展巡检工作；负责通报巡检问题（以周报、质量工作月例会等形式）,验证后续整改效果；跟踪和监督重大质量问题的整改情况；审核各生产单位一级、二级巡检检查单的内容，抽查其巡检工作执行情况。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5.3 </w:t>
      </w:r>
      <w:r>
        <w:rPr>
          <w:color w:val="000000"/>
          <w:sz w:val="28"/>
          <w:szCs w:val="28"/>
          <w:rFonts w:ascii="宋体" w:cs="宋体" w:eastAsia="宋体" w:hAnsi="宋体"/>
        </w:rPr>
        <w:t xml:space="preserve"> 生产单位质量工程室检验员负责本单位的一、二级巡检检查单的编制工作,一级巡检工作由检验工来执行,二级巡检工作由检验员或质量助理执行；及时报告一、二级巡检发现的影响较大的质量问题；负责三级巡检问题的确认及反馈，组织制定纠正及预防措施，开展后续整改效果验证等工作。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5.4</w:t>
      </w:r>
      <w:r>
        <w:rPr>
          <w:color w:val="000000"/>
          <w:sz w:val="28"/>
          <w:szCs w:val="28"/>
          <w:rFonts w:ascii="宋体" w:cs="宋体" w:eastAsia="宋体" w:hAnsi="宋体"/>
        </w:rPr>
        <w:t xml:space="preserve">  各层级巡检检查单的编制依据包括但不限于程序文件、（二、三方）审核发现的现场不符合项、历史巡检典型质量问题等；巡检检查单的内容及其适用性应每个季度审查一次，根据巡检对象及关注重点调整检查方向。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5.5</w:t>
      </w:r>
      <w:r>
        <w:rPr>
          <w:color w:val="000000"/>
          <w:sz w:val="28"/>
          <w:szCs w:val="28"/>
          <w:rFonts w:ascii="宋体" w:cs="宋体" w:eastAsia="宋体" w:hAnsi="宋体"/>
        </w:rPr>
        <w:t xml:space="preserve">  巡检范围涵盖所有生产单位的全部作业区域（含物流仓储中心库房）。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5.6</w:t>
      </w:r>
      <w:r>
        <w:rPr>
          <w:color w:val="000000"/>
          <w:sz w:val="28"/>
          <w:szCs w:val="28"/>
          <w:rFonts w:ascii="宋体" w:cs="宋体" w:eastAsia="宋体" w:hAnsi="宋体"/>
        </w:rPr>
        <w:t xml:space="preserve">  巡检频次及检查要求见表1。</w:t>
      </w:r>
    </w:p>
    <w:p>
      <w:pPr>
        <w:spacing w:before="0" w:after="0" w:line="280" w:lineRule="exact"/>
        <w:jc w:val="center"/>
      </w:pPr>
      <w:r>
        <w:rPr>
          <w:color w:val="000000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center"/>
      </w:pPr>
      <w:r>
        <w:rPr>
          <w:color w:val="000000"/>
          <w:sz w:val="24"/>
          <w:szCs w:val="24"/>
          <w:rFonts w:ascii="宋体" w:cs="宋体" w:eastAsia="宋体" w:hAnsi="宋体"/>
        </w:rPr>
        <w:t xml:space="preserve">表1</w:t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0"/>
        <w:gridCol w:w="1260"/>
        <w:gridCol w:w="1650"/>
        <w:gridCol w:w="4560"/>
      </w:tblGrid>
      <w:tr>
        <w:trPr>
          <w:tblHeader w:val="false"/>
          <w:trHeight w:val="630" w:hRule="atLeast"/>
        </w:trPr>
        <w:tc>
          <w:tcPr>
            <w:tcW w:type="dxa" w:w="8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1"/>
                <w:szCs w:val="21"/>
                <w:rFonts w:ascii="宋体" w:cs="宋体" w:eastAsia="宋体" w:hAnsi="宋体"/>
              </w:rPr>
              <w:t xml:space="preserve">序号</w:t>
            </w:r>
          </w:p>
        </w:tc>
        <w:tc>
          <w:tcPr>
            <w:tcW w:type="dxa" w:w="12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1"/>
                <w:szCs w:val="21"/>
                <w:rFonts w:ascii="宋体" w:cs="宋体" w:eastAsia="宋体" w:hAnsi="宋体"/>
              </w:rPr>
              <w:t xml:space="preserve">巡检层级</w:t>
            </w:r>
          </w:p>
        </w:tc>
        <w:tc>
          <w:tcPr>
            <w:tcW w:type="dxa" w:w="165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1"/>
                <w:szCs w:val="21"/>
                <w:rFonts w:ascii="宋体" w:cs="宋体" w:eastAsia="宋体" w:hAnsi="宋体"/>
              </w:rPr>
              <w:t xml:space="preserve">检查频次</w:t>
            </w:r>
          </w:p>
        </w:tc>
        <w:tc>
          <w:tcPr>
            <w:tcW w:type="dxa" w:w="45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1"/>
                <w:szCs w:val="21"/>
                <w:rFonts w:ascii="宋体" w:cs="宋体" w:eastAsia="宋体" w:hAnsi="宋体"/>
              </w:rPr>
              <w:t xml:space="preserve">检查要求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8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1"/>
                <w:szCs w:val="21"/>
                <w:rFonts w:ascii="宋体" w:cs="宋体" w:eastAsia="宋体" w:hAnsi="宋体"/>
              </w:rPr>
              <w:t xml:space="preserve">1</w:t>
            </w:r>
          </w:p>
        </w:tc>
        <w:tc>
          <w:tcPr>
            <w:tcW w:type="dxa" w:w="12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1"/>
                <w:szCs w:val="21"/>
                <w:rFonts w:ascii="宋体" w:cs="宋体" w:eastAsia="宋体" w:hAnsi="宋体"/>
              </w:rPr>
              <w:t xml:space="preserve">一级</w:t>
            </w:r>
          </w:p>
        </w:tc>
        <w:tc>
          <w:tcPr>
            <w:tcW w:type="dxa" w:w="165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1"/>
                <w:szCs w:val="21"/>
                <w:rFonts w:ascii="宋体" w:cs="宋体" w:eastAsia="宋体" w:hAnsi="宋体"/>
              </w:rPr>
              <w:t xml:space="preserve">每天一次</w:t>
            </w:r>
          </w:p>
        </w:tc>
        <w:tc>
          <w:tcPr>
            <w:tcW w:type="dxa" w:w="45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1"/>
                <w:szCs w:val="21"/>
                <w:rFonts w:ascii="宋体" w:cs="宋体" w:eastAsia="宋体" w:hAnsi="宋体"/>
              </w:rPr>
              <w:t xml:space="preserve">每周完成一次所负责工位的检查内容的全覆盖</w:t>
            </w:r>
          </w:p>
        </w:tc>
      </w:tr>
      <w:tr>
        <w:trPr>
          <w:tblHeader w:val="false"/>
          <w:trHeight w:val="690" w:hRule="atLeast"/>
        </w:trPr>
        <w:tc>
          <w:tcPr>
            <w:tcW w:type="dxa" w:w="8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1"/>
                <w:szCs w:val="21"/>
                <w:rFonts w:ascii="宋体" w:cs="宋体" w:eastAsia="宋体" w:hAnsi="宋体"/>
              </w:rPr>
              <w:t xml:space="preserve">2</w:t>
            </w:r>
          </w:p>
        </w:tc>
        <w:tc>
          <w:tcPr>
            <w:tcW w:type="dxa" w:w="12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1"/>
                <w:szCs w:val="21"/>
                <w:rFonts w:ascii="宋体" w:cs="宋体" w:eastAsia="宋体" w:hAnsi="宋体"/>
              </w:rPr>
              <w:t xml:space="preserve">二级</w:t>
            </w:r>
          </w:p>
        </w:tc>
        <w:tc>
          <w:tcPr>
            <w:tcW w:type="dxa" w:w="165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1"/>
                <w:szCs w:val="21"/>
                <w:rFonts w:ascii="宋体" w:cs="宋体" w:eastAsia="宋体" w:hAnsi="宋体"/>
              </w:rPr>
              <w:t xml:space="preserve">每周一次</w:t>
            </w:r>
          </w:p>
        </w:tc>
        <w:tc>
          <w:tcPr>
            <w:tcW w:type="dxa" w:w="45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1"/>
                <w:szCs w:val="21"/>
                <w:rFonts w:ascii="宋体" w:cs="宋体" w:eastAsia="宋体" w:hAnsi="宋体"/>
              </w:rPr>
              <w:t xml:space="preserve">每两周完成一次所有工位的检查内容的全覆盖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8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3</w:t>
            </w:r>
          </w:p>
        </w:tc>
        <w:tc>
          <w:tcPr>
            <w:tcW w:type="dxa" w:w="12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1"/>
                <w:szCs w:val="21"/>
                <w:rFonts w:ascii="宋体" w:cs="宋体" w:eastAsia="宋体" w:hAnsi="宋体"/>
              </w:rPr>
              <w:t xml:space="preserve">三级</w:t>
            </w:r>
          </w:p>
        </w:tc>
        <w:tc>
          <w:tcPr>
            <w:tcW w:type="dxa" w:w="165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1"/>
                <w:szCs w:val="21"/>
                <w:rFonts w:ascii="宋体" w:cs="宋体" w:eastAsia="宋体" w:hAnsi="宋体"/>
              </w:rPr>
              <w:t xml:space="preserve">每月一次</w:t>
            </w:r>
          </w:p>
        </w:tc>
        <w:tc>
          <w:tcPr>
            <w:tcW w:type="dxa" w:w="45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1"/>
                <w:szCs w:val="21"/>
                <w:rFonts w:ascii="宋体" w:cs="宋体" w:eastAsia="宋体" w:hAnsi="宋体"/>
              </w:rPr>
              <w:t xml:space="preserve">每月完成一次所有工位的检查内容的全覆盖</w:t>
            </w:r>
          </w:p>
        </w:tc>
      </w:tr>
    </w:tbl>
    <w:p>
      <w:pPr>
        <w:spacing w:before="0" w:after="0" w:line="210" w:lineRule="exact"/>
      </w:pPr>
      <w:r>
        <w:rPr>
          <w:color w:val="1b324f"/>
          <w:sz w:val="21"/>
          <w:szCs w:val="21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000000"/>
          <w:sz w:val="24"/>
          <w:szCs w:val="24"/>
          <w:rFonts w:ascii="宋体" w:cs="宋体" w:eastAsia="宋体" w:hAnsi="宋体"/>
        </w:rPr>
        <w:t xml:space="preserve">注：对于问题多发区域进行重点检查，并适当增加巡检频次。</w:t>
      </w:r>
    </w:p>
    <w:p>
      <w:pPr>
        <w:spacing w:before="0" w:after="0" w:line="280" w:lineRule="exact"/>
      </w:pPr>
      <w:r>
        <w:rPr>
          <w:color w:val="000000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5.7</w:t>
      </w:r>
      <w:r>
        <w:rPr>
          <w:color w:val="000000"/>
          <w:sz w:val="28"/>
          <w:szCs w:val="28"/>
          <w:rFonts w:ascii="宋体" w:cs="宋体" w:eastAsia="宋体" w:hAnsi="宋体"/>
        </w:rPr>
        <w:t xml:space="preserve">  巡检实施以各层级的巡检检查单为基础，按照确定的档期，对检</w:t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ectPr>
          <w:headerReference w:type="default" r:id="rId10"/>
          <w:footerReference w:type="default" r:id="rId11"/>
          <w:pgSz w:w="11906" w:h="16838" w:orient="portrait"/>
          <w:pgMar w:top="1440" w:right="1802" w:bottom="1440" w:left="1802" w:header="708" w:footer="708" w:gutter="0"/>
          <w:pgNumType w:start="3" w:fmt="decimal"/>
          <w:docGrid w:linePitch="360"/>
        </w:sectPr>
      </w:pP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查区域实施巡检工作。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5.8  问题处置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5.8.1  巡检发现的问题记录到巡检问题记录表</w:t>
      </w:r>
      <w:r>
        <w:rPr>
          <w:color w:val="000000"/>
          <w:sz w:val="28"/>
          <w:szCs w:val="28"/>
          <w:rFonts w:ascii="Times New Roman" w:cs="Times New Roman" w:eastAsia="Times New Roman" w:hAnsi="Times New Roman"/>
        </w:rPr>
        <w:t xml:space="preserve">FM1408-104</w:t>
      </w:r>
      <w:r>
        <w:rPr>
          <w:color w:val="000000"/>
          <w:sz w:val="28"/>
          <w:szCs w:val="28"/>
          <w:rFonts w:ascii="宋体" w:cs="宋体" w:eastAsia="宋体" w:hAnsi="宋体"/>
        </w:rPr>
        <w:t xml:space="preserve">中。对于巡检过程中发现的产品不符合，依据</w:t>
      </w:r>
      <w:r>
        <w:rPr>
          <w:color w:val="000000"/>
          <w:sz w:val="28"/>
          <w:szCs w:val="28"/>
          <w:rFonts w:ascii="Times New Roman" w:cs="Times New Roman" w:eastAsia="Times New Roman" w:hAnsi="Times New Roman"/>
        </w:rPr>
        <w:t xml:space="preserve">GLC14080401</w:t>
      </w:r>
      <w:r>
        <w:rPr>
          <w:color w:val="000000"/>
          <w:sz w:val="28"/>
          <w:szCs w:val="28"/>
          <w:rFonts w:ascii="宋体" w:cs="宋体" w:eastAsia="宋体" w:hAnsi="宋体"/>
        </w:rPr>
        <w:t xml:space="preserve">进行处置；对于巡检发现的重复性质量问题，按照</w:t>
      </w:r>
      <w:r>
        <w:rPr>
          <w:color w:val="000000"/>
          <w:sz w:val="28"/>
          <w:szCs w:val="28"/>
          <w:rFonts w:ascii="Times New Roman" w:cs="Times New Roman" w:eastAsia="Times New Roman" w:hAnsi="Times New Roman"/>
        </w:rPr>
        <w:t xml:space="preserve">GLC230801</w:t>
      </w:r>
      <w:r>
        <w:rPr>
          <w:color w:val="000000"/>
          <w:sz w:val="28"/>
          <w:szCs w:val="28"/>
          <w:rFonts w:ascii="宋体" w:cs="宋体" w:eastAsia="宋体" w:hAnsi="宋体"/>
        </w:rPr>
        <w:t xml:space="preserve">执行。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5.8.2  各责任单位须在巡检问题整改完成后的</w:t>
      </w:r>
      <w:r>
        <w:rPr>
          <w:color w:val="000000"/>
          <w:sz w:val="28"/>
          <w:szCs w:val="28"/>
          <w:rFonts w:ascii="Times New Roman" w:cs="Times New Roman" w:eastAsia="Times New Roman" w:hAnsi="Times New Roman"/>
        </w:rPr>
        <w:t xml:space="preserve">5</w:t>
      </w:r>
      <w:r>
        <w:rPr>
          <w:color w:val="000000"/>
          <w:sz w:val="28"/>
          <w:szCs w:val="28"/>
          <w:rFonts w:ascii="宋体" w:cs="宋体" w:eastAsia="宋体" w:hAnsi="宋体"/>
        </w:rPr>
        <w:t xml:space="preserve">个工作日内提请巡检检查组进行验证，确保整改措施落实到位。</w:t>
      </w:r>
    </w:p>
    <w:p>
      <w:pPr>
        <w:spacing w:before="0" w:after="0" w:line="240" w:lineRule="exact"/>
      </w:pPr>
      <w:r>
        <w:rPr>
          <w:color w:val="1b324f"/>
          <w:sz w:val="24"/>
          <w:szCs w:val="24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color w:val="1b324f"/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color w:val="1b324f"/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color w:val="1b324f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6  标准图例说明</w:t>
      </w:r>
    </w:p>
    <w:p>
      <w:pPr>
        <w:spacing w:before="0" w:after="0" w:line="280" w:lineRule="exact"/>
      </w:pPr>
      <w:r>
        <w:rPr>
          <w:color w:val="1b324f"/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color w:val="1b324f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sz w:val="28"/>
          <w:szCs w:val="28"/>
          <w:rFonts w:ascii="宋体" w:cs="宋体" w:eastAsia="宋体" w:hAnsi="宋体"/>
        </w:rPr>
        <w:t xml:space="preserve">无</w:t>
      </w:r>
    </w:p>
    <w:p>
      <w:pPr>
        <w:spacing w:before="0" w:after="0" w:line="280" w:lineRule="exact"/>
      </w:pPr>
      <w:r>
        <w:rPr>
          <w:color w:val="1b324f"/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color w:val="1b324f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7  记录控制</w:t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 </w:t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相关记录的填写和维护按文件GLC231008要求执行。</w:t>
      </w:r>
    </w:p>
    <w:sectPr>
      <w:headerReference w:type="default" r:id="rId12"/>
      <w:footerReference w:type="default" r:id="rId13"/>
      <w:pgSz w:w="11906" w:h="16838" w:orient="portrait"/>
      <w:pgMar w:top="1440" w:right="1802" w:bottom="1440" w:left="1802" w:header="708" w:footer="708" w:gutter="0"/>
      <w:pgNumType w:start="4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B</w:t>
    </w:r>
    <w:r>
      <w:t xml:space="preserve">1</w:t>
    </w:r>
    <w:r>
      <w:t xml:space="preserve">4</w:t>
    </w:r>
    <w:r>
      <w:t xml:space="preserve">0</w:t>
    </w:r>
    <w:r>
      <w:t xml:space="preserve">8</w:t>
    </w:r>
    <w:r>
      <w:t xml:space="preserve">0</w:t>
    </w:r>
    <w:r>
      <w:t xml:space="preserve">3</w:t>
    </w:r>
    <w:r>
      <w:t xml:space="preserve">0</w:t>
    </w:r>
    <w:r>
      <w:t xml:space="preserve">2</w:t>
    </w:r>
    <w:r>
      <w:t xml:space="preserve">-</w:t>
    </w:r>
    <w:r>
      <w:t xml:space="preserve">0</w:t>
    </w:r>
    <w:r>
      <w:t xml:space="preserve">9</w:t>
    </w:r>
    <w:r>
      <w:t xml:space="preserve">-</w:t>
    </w:r>
    <w:r>
      <w:t xml:space="preserve">A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B</w:t>
    </w:r>
    <w:r>
      <w:t xml:space="preserve">1</w:t>
    </w:r>
    <w:r>
      <w:t xml:space="preserve">4</w:t>
    </w:r>
    <w:r>
      <w:t xml:space="preserve">0</w:t>
    </w:r>
    <w:r>
      <w:t xml:space="preserve">8</w:t>
    </w:r>
    <w:r>
      <w:t xml:space="preserve">0</w:t>
    </w:r>
    <w:r>
      <w:t xml:space="preserve">3</w:t>
    </w:r>
    <w:r>
      <w:t xml:space="preserve">0</w:t>
    </w:r>
    <w:r>
      <w:t xml:space="preserve">2</w:t>
    </w:r>
    <w:r>
      <w:t xml:space="preserve">-</w:t>
    </w:r>
    <w:r>
      <w:t xml:space="preserve">0</w:t>
    </w:r>
    <w:r>
      <w:t xml:space="preserve">9</w:t>
    </w:r>
    <w:r>
      <w:t xml:space="preserve">-</w:t>
    </w:r>
    <w:r>
      <w:t xml:space="preserve">A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B</w:t>
    </w:r>
    <w:r>
      <w:t xml:space="preserve">1</w:t>
    </w:r>
    <w:r>
      <w:t xml:space="preserve">4</w:t>
    </w:r>
    <w:r>
      <w:t xml:space="preserve">0</w:t>
    </w:r>
    <w:r>
      <w:t xml:space="preserve">8</w:t>
    </w:r>
    <w:r>
      <w:t xml:space="preserve">0</w:t>
    </w:r>
    <w:r>
      <w:t xml:space="preserve">3</w:t>
    </w:r>
    <w:r>
      <w:t xml:space="preserve">0</w:t>
    </w:r>
    <w:r>
      <w:t xml:space="preserve">2</w:t>
    </w:r>
    <w:r>
      <w:t xml:space="preserve">-</w:t>
    </w:r>
    <w:r>
      <w:t xml:space="preserve">0</w:t>
    </w:r>
    <w:r>
      <w:t xml:space="preserve">9</w:t>
    </w:r>
    <w:r>
      <w:t xml:space="preserve">-</w:t>
    </w:r>
    <w:r>
      <w:t xml:space="preserve">A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B</w:t>
    </w:r>
    <w:r>
      <w:t xml:space="preserve">1</w:t>
    </w:r>
    <w:r>
      <w:t xml:space="preserve">4</w:t>
    </w:r>
    <w:r>
      <w:t xml:space="preserve">0</w:t>
    </w:r>
    <w:r>
      <w:t xml:space="preserve">8</w:t>
    </w:r>
    <w:r>
      <w:t xml:space="preserve">0</w:t>
    </w:r>
    <w:r>
      <w:t xml:space="preserve">3</w:t>
    </w:r>
    <w:r>
      <w:t xml:space="preserve">0</w:t>
    </w:r>
    <w:r>
      <w:t xml:space="preserve">2</w:t>
    </w:r>
    <w:r>
      <w:t xml:space="preserve">-</w:t>
    </w:r>
    <w:r>
      <w:t xml:space="preserve">0</w:t>
    </w:r>
    <w:r>
      <w:t xml:space="preserve">9</w:t>
    </w:r>
    <w:r>
      <w:t xml:space="preserve">-</w:t>
    </w:r>
    <w:r>
      <w:t xml:space="preserve">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  <w:doNotExpandShiftReturn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8"/>
        <w:szCs w:val="28"/>
        <w:rFonts w:ascii="宋体" w:cs="宋体" w:eastAsia="宋体" w:hAnsi="宋体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40" w:after="330"/>
    </w:pPr>
    <w:rPr>
      <w:b/>
      <w:bCs/>
      <w:color w:val="000000"/>
      <w:sz w:val="44"/>
      <w:szCs w:val="44"/>
    </w:rPr>
  </w:style>
  <w:style w:type="paragraph" w:styleId="Heading2">
    <w:name w:val="Heading 2"/>
    <w:basedOn w:val="Normal"/>
    <w:next w:val="Normal"/>
    <w:qFormat/>
    <w:pPr>
      <w:spacing w:before="260" w:after="260"/>
    </w:pPr>
    <w:rPr>
      <w:b/>
      <w:bCs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spacing w:before="260" w:after="260"/>
    </w:pPr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pPr>
      <w:spacing w:before="280" w:after="290"/>
    </w:pPr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pPr>
      <w:spacing w:before="280" w:after="290"/>
    </w:pPr>
    <w:rPr>
      <w:b/>
      <w:bCs/>
      <w:color w:val="000000"/>
      <w:sz w:val="28"/>
      <w:szCs w:val="28"/>
    </w:rPr>
  </w:style>
  <w:style w:type="paragraph" w:styleId="Heading6">
    <w:name w:val="Heading 6"/>
    <w:basedOn w:val="Normal"/>
    <w:next w:val="Normal"/>
    <w:qFormat/>
    <w:pPr>
      <w:spacing w:before="240" w:after="64"/>
    </w:pPr>
    <w:rPr>
      <w:b/>
      <w:bCs/>
      <w:color w:val="000000"/>
      <w:sz w:val="24"/>
      <w:szCs w:val="24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header" Target="header3.xml"/><Relationship Id="rId11" Type="http://schemas.openxmlformats.org/officeDocument/2006/relationships/footer" Target="footer3.xml"/><Relationship Id="rId12" Type="http://schemas.openxmlformats.org/officeDocument/2006/relationships/header" Target="header4.xml"/><Relationship Id="rId13" Type="http://schemas.openxmlformats.org/officeDocument/2006/relationships/footer" Target="footer4.xml"/></Relationships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Un-named</cp:lastModifiedBy>
  <cp:revision>1</cp:revision>
  <dcterms:created xsi:type="dcterms:W3CDTF">2026-05-22T03:04:55.300Z</dcterms:created>
  <dcterms:modified xsi:type="dcterms:W3CDTF">2026-05-22T03:04:55.300Z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