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  <Override ContentType="application/vnd.openxmlformats-officedocument.wordprocessingml.header+xml" PartName="/word/header11.xml"/>
  <Override ContentType="application/vnd.openxmlformats-officedocument.wordprocessingml.footer+xml" PartName="/word/footer11.xml"/>
  <Override ContentType="application/vnd.openxmlformats-officedocument.wordprocessingml.header+xml" PartName="/word/header12.xml"/>
  <Override ContentType="application/vnd.openxmlformats-officedocument.wordprocessingml.footer+xml" PartName="/word/footer12.xml"/>
  <Override ContentType="application/vnd.openxmlformats-officedocument.wordprocessingml.header+xml" PartName="/word/header13.xml"/>
  <Override ContentType="application/vnd.openxmlformats-officedocument.wordprocessingml.footer+xml" PartName="/word/footer13.xml"/>
  <Override ContentType="application/vnd.openxmlformats-officedocument.wordprocessingml.header+xml" PartName="/word/header14.xml"/>
  <Override ContentType="application/vnd.openxmlformats-officedocument.wordprocessingml.footer+xml" PartName="/word/footer14.xml"/>
  <Override ContentType="application/vnd.openxmlformats-officedocument.wordprocessingml.header+xml" PartName="/word/header15.xml"/>
  <Override ContentType="application/vnd.openxmlformats-officedocument.wordprocessingml.footer+xml" PartName="/word/footer15.xml"/>
  <Override ContentType="application/vnd.openxmlformats-officedocument.wordprocessingml.header+xml" PartName="/word/header16.xml"/>
  <Override ContentType="application/vnd.openxmlformats-officedocument.wordprocessingml.footer+xml" PartName="/word/footer16.xml"/>
  <Override ContentType="application/vnd.openxmlformats-officedocument.wordprocessingml.header+xml" PartName="/word/header17.xml"/>
  <Override ContentType="application/vnd.openxmlformats-officedocument.wordprocessingml.footer+xml" PartName="/word/footer17.xml"/>
  <Override ContentType="application/vnd.openxmlformats-officedocument.wordprocessingml.header+xml" PartName="/word/header18.xml"/>
  <Override ContentType="application/vnd.openxmlformats-officedocument.wordprocessingml.footer+xml" PartName="/word/footer18.xml"/>
  <Override ContentType="application/vnd.openxmlformats-officedocument.wordprocessingml.header+xml" PartName="/word/header19.xml"/>
  <Override ContentType="application/vnd.openxmlformats-officedocument.wordprocessingml.footer+xml" PartName="/word/footer19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  <w:jc w:val="center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前   言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本制度属于运行类管理制度。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sz w:val="28"/>
          <w:szCs w:val="28"/>
          <w:rFonts w:ascii="宋体" w:cs="宋体" w:eastAsia="宋体" w:hAnsi="宋体"/>
        </w:rPr>
        <w:t xml:space="preserve">本制度由生产运营部提出。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本制度由生产运营部负责解释。</w:t>
      </w:r>
      <w:r>
        <w:rPr>
          <w:sz w:val="28"/>
          <w:szCs w:val="28"/>
          <w:rFonts w:ascii="宋体" w:cs="宋体" w:eastAsia="宋体" w:hAnsi="宋体"/>
        </w:rPr>
        <w:br/>
      </w:r>
    </w:p>
    <w:p>
      <w:pPr>
        <w:sectPr>
          <w:headerReference w:type="default" r:id="rId6"/>
          <w:footerReference w:type="default" r:id="rId7"/>
          <w:pgSz w:w="11906" w:h="16838" w:orient="portrait"/>
          <w:pgMar w:top="1440" w:right="1802" w:bottom="1440" w:left="1802" w:header="708" w:footer="708" w:gutter="0"/>
          <w:pgNumType w:start="1" w:fmt="decimal"/>
          <w:docGrid w:linePitch="360"/>
        </w:sectPr>
      </w:pPr>
    </w:p>
    <w:p>
      <w:pPr>
        <w:spacing w:before="0" w:after="0"/>
        <w:jc w:val="center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设备设施事故处理</w:t>
      </w:r>
      <w:r>
        <w:rPr>
          <w:sz w:val="28"/>
          <w:szCs w:val="28"/>
          <w:rFonts w:ascii="黑体" w:cs="黑体" w:eastAsia="黑体" w:hAnsi="黑体"/>
        </w:rPr>
        <w:t xml:space="preserve">管理程序</w:t>
      </w:r>
    </w:p>
    <w:p>
      <w:pPr>
        <w:spacing w:before="0" w:after="0" w:line="280" w:lineRule="exact"/>
        <w:jc w:val="lef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  <w:jc w:val="left"/>
      </w:pPr>
      <w:r>
        <w:rPr>
          <w:color w:val="000000"/>
          <w:sz w:val="28"/>
          <w:szCs w:val="28"/>
          <w:rFonts w:ascii="黑体" w:cs="黑体" w:eastAsia="黑体" w:hAnsi="黑体"/>
        </w:rPr>
      </w:r>
    </w:p>
    <w:p>
      <w:pPr>
        <w:spacing w:before="0" w:after="0"/>
        <w:jc w:val="left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1 范围</w:t>
      </w:r>
    </w:p>
    <w:p>
      <w:pPr>
        <w:spacing w:before="0" w:after="0" w:line="280" w:lineRule="exact"/>
        <w:jc w:val="lef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  <w:jc w:val="left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</w:r>
    </w:p>
    <w:p>
      <w:pPr>
        <w:spacing w:before="0" w:after="0" w:line="280" w:lineRule="exact"/>
        <w:jc w:val="left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</w:r>
    </w:p>
    <w:p>
      <w:pPr>
        <w:spacing w:before="0" w:after="0"/>
        <w:jc w:val="left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本文规定了</w:t>
      </w:r>
      <w:r>
        <w:rPr>
          <w:sz w:val="28"/>
          <w:szCs w:val="28"/>
          <w:rFonts w:ascii="宋体" w:cs="宋体" w:eastAsia="宋体" w:hAnsi="宋体"/>
        </w:rPr>
        <w:t xml:space="preserve">规定了设备设施事故的报告、事故原因调查、事故整改等管理要求及流程</w:t>
      </w:r>
    </w:p>
    <w:p>
      <w:pPr>
        <w:spacing w:before="0" w:after="0" w:line="280" w:lineRule="exact"/>
        <w:jc w:val="lef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left"/>
      </w:pPr>
      <w:r>
        <w:rPr>
          <w:sz w:val="28"/>
          <w:szCs w:val="28"/>
          <w:rFonts w:ascii="宋体" w:cs="宋体" w:eastAsia="宋体" w:hAnsi="宋体"/>
        </w:rPr>
        <w:t xml:space="preserve">本文件适用于公司机械设备及动力设备设施事故处理管理。</w:t>
      </w:r>
    </w:p>
    <w:p>
      <w:pPr>
        <w:spacing w:before="0" w:after="0" w:line="280" w:lineRule="exact"/>
        <w:jc w:val="lef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left"/>
      </w:pPr>
      <w:r>
        <w:rPr>
          <w:sz w:val="28"/>
          <w:szCs w:val="28"/>
          <w:rFonts w:ascii="宋体" w:cs="宋体" w:eastAsia="宋体" w:hAnsi="宋体"/>
        </w:rPr>
        <w:t xml:space="preserve">本文件依据GLG1409的要求制定。</w:t>
      </w:r>
    </w:p>
    <w:p>
      <w:pPr>
        <w:spacing w:before="0" w:after="0" w:line="280" w:lineRule="exact"/>
        <w:jc w:val="left"/>
      </w:pPr>
      <w:r>
        <w:rPr>
          <w:color w:val="121212"/>
          <w:sz w:val="28"/>
          <w:szCs w:val="28"/>
          <w:rFonts w:ascii="华文宋体" w:cs="华文宋体" w:eastAsia="华文宋体" w:hAnsi="华文宋体"/>
        </w:rPr>
      </w:r>
    </w:p>
    <w:p>
      <w:pPr>
        <w:spacing w:before="0" w:after="0" w:line="280" w:lineRule="exact"/>
        <w:jc w:val="left"/>
      </w:pPr>
      <w:r>
        <w:rPr>
          <w:color w:val="121212"/>
          <w:sz w:val="28"/>
          <w:szCs w:val="28"/>
          <w:rFonts w:ascii="华文宋体" w:cs="华文宋体" w:eastAsia="华文宋体" w:hAnsi="华文宋体"/>
        </w:rPr>
      </w:r>
    </w:p>
    <w:p>
      <w:pPr>
        <w:spacing w:before="0" w:after="0"/>
        <w:jc w:val="left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2  规范性引用文件</w:t>
      </w:r>
    </w:p>
    <w:p>
      <w:pPr>
        <w:spacing w:before="0" w:after="0" w:line="280" w:lineRule="exact"/>
        <w:jc w:val="left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1650"/>
        <w:gridCol w:w="1650"/>
        <w:gridCol w:w="1650"/>
        <w:gridCol w:w="1650"/>
      </w:tblGrid>
      <w:tr>
        <w:trPr>
          <w:tblHeader w:val="false"/>
          <w:trHeight w:val="630" w:hRule="atLeast"/>
        </w:trPr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编号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名称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密级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文件类别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发布时间</w:t>
            </w:r>
          </w:p>
        </w:tc>
      </w:tr>
      <w:tr>
        <w:trPr>
          <w:tblHeader w:val="false"/>
          <w:trHeight w:val="1080" w:hRule="atLeast"/>
        </w:trPr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GLG1409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u w:val="single"/>
                <w:color w:val="0000FF"/>
                <w:sz w:val="28"/>
                <w:szCs w:val="28"/>
                <w:rFonts w:ascii="宋体" w:cs="宋体" w:eastAsia="宋体" w:hAnsi="宋体"/>
              </w:rPr>
              <w:t xml:space="preserve">生产资源保障管理规则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公开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管理规则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</w:r>
          </w:p>
        </w:tc>
      </w:tr>
      <w:tr>
        <w:trPr>
          <w:tblHeader w:val="false"/>
          <w:trHeight w:val="1080" w:hRule="atLeast"/>
        </w:trPr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GLC231008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u w:val="single"/>
                <w:color w:val="0000FF"/>
                <w:sz w:val="28"/>
                <w:szCs w:val="28"/>
                <w:rFonts w:ascii="宋体" w:cs="宋体" w:eastAsia="宋体" w:hAnsi="宋体"/>
              </w:rPr>
              <w:t xml:space="preserve">质量记录管理程序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公开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管理程序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</w:r>
          </w:p>
        </w:tc>
      </w:tr>
    </w:tbl>
    <w:p>
      <w:pPr>
        <w:spacing w:before="0" w:after="0" w:line="280" w:lineRule="exact"/>
        <w:jc w:val="lef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  <w:jc w:val="left"/>
      </w:pPr>
      <w:r>
        <w:rPr>
          <w:color w:val="000000"/>
          <w:sz w:val="28"/>
          <w:szCs w:val="28"/>
          <w:rFonts w:ascii="黑体" w:cs="黑体" w:eastAsia="黑体" w:hAnsi="黑体"/>
        </w:rPr>
      </w:r>
    </w:p>
    <w:p>
      <w:pPr>
        <w:spacing w:before="0" w:after="0" w:line="280" w:lineRule="exact"/>
        <w:jc w:val="left"/>
      </w:pPr>
      <w:r>
        <w:rPr>
          <w:color w:val="000000"/>
          <w:sz w:val="28"/>
          <w:szCs w:val="28"/>
          <w:rFonts w:ascii="黑体" w:cs="黑体" w:eastAsia="黑体" w:hAnsi="黑体"/>
        </w:rPr>
      </w:r>
    </w:p>
    <w:p>
      <w:pPr>
        <w:spacing w:before="0" w:after="0"/>
        <w:jc w:val="left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3  表格</w:t>
      </w:r>
    </w:p>
    <w:p>
      <w:pPr>
        <w:spacing w:before="0" w:after="0" w:line="280" w:lineRule="exact"/>
        <w:jc w:val="left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</w:r>
    </w:p>
    <w:p>
      <w:pPr>
        <w:spacing w:before="0" w:after="0" w:line="280" w:lineRule="exact"/>
        <w:jc w:val="left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</w:r>
    </w:p>
    <w:p>
      <w:pPr>
        <w:spacing w:before="0" w:after="0"/>
        <w:jc w:val="left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3.1 规定表格</w:t>
      </w:r>
    </w:p>
    <w:p>
      <w:pPr>
        <w:spacing w:before="0" w:after="0"/>
        <w:jc w:val="left"/>
      </w:pPr>
      <w:r>
        <w:rPr>
          <w:sz w:val="28"/>
          <w:szCs w:val="28"/>
          <w:rFonts w:ascii="Times New Roman" w:cs="Times New Roman" w:eastAsia="Times New Roman" w:hAnsi="Times New Roman"/>
        </w:rPr>
        <w:t xml:space="preserve">FM1409-16</w:t>
      </w:r>
      <w:r>
        <w:rPr>
          <w:sz w:val="28"/>
          <w:szCs w:val="28"/>
          <w:rFonts w:ascii="宋体" w:cs="宋体" w:eastAsia="宋体" w:hAnsi="宋体"/>
        </w:rPr>
        <w:t xml:space="preserve"> 设备设施事故报告</w:t>
      </w:r>
    </w:p>
    <w:p>
      <w:pPr>
        <w:spacing w:before="0" w:after="0"/>
        <w:jc w:val="left"/>
      </w:pPr>
      <w:r>
        <w:rPr>
          <w:sz w:val="28"/>
          <w:szCs w:val="28"/>
          <w:rFonts w:ascii="Times New Roman" w:cs="Times New Roman" w:eastAsia="Times New Roman" w:hAnsi="Times New Roman"/>
        </w:rPr>
        <w:t xml:space="preserve">FM1409-17 </w:t>
      </w:r>
      <w:r>
        <w:rPr>
          <w:sz w:val="28"/>
          <w:szCs w:val="28"/>
          <w:rFonts w:ascii="宋体" w:cs="宋体" w:eastAsia="宋体" w:hAnsi="宋体"/>
        </w:rPr>
        <w:t xml:space="preserve">设备设施事故整改措施</w:t>
      </w:r>
    </w:p>
    <w:p>
      <w:pPr>
        <w:spacing w:before="0" w:after="0"/>
        <w:jc w:val="left"/>
      </w:pPr>
      <w:r>
        <w:rPr>
          <w:sz w:val="28"/>
          <w:szCs w:val="28"/>
          <w:rFonts w:ascii="Times New Roman" w:cs="Times New Roman" w:eastAsia="Times New Roman" w:hAnsi="Times New Roman"/>
        </w:rPr>
        <w:t xml:space="preserve">FM1409-18 </w:t>
      </w:r>
      <w:r>
        <w:rPr>
          <w:sz w:val="28"/>
          <w:szCs w:val="28"/>
          <w:rFonts w:ascii="宋体" w:cs="宋体" w:eastAsia="宋体" w:hAnsi="宋体"/>
        </w:rPr>
        <w:t xml:space="preserve">设备设施事故处理</w:t>
      </w:r>
    </w:p>
    <w:p>
      <w:pPr>
        <w:spacing w:before="0" w:after="0"/>
        <w:jc w:val="left"/>
      </w:pPr>
      <w:r>
        <w:rPr>
          <w:sz w:val="28"/>
          <w:szCs w:val="28"/>
          <w:rFonts w:ascii="Times New Roman" w:cs="Times New Roman" w:eastAsia="Times New Roman" w:hAnsi="Times New Roman"/>
        </w:rPr>
        <w:t xml:space="preserve">FM1409-19</w:t>
      </w:r>
      <w:r>
        <w:rPr>
          <w:sz w:val="28"/>
          <w:szCs w:val="28"/>
          <w:rFonts w:ascii="宋体" w:cs="宋体" w:eastAsia="宋体" w:hAnsi="宋体"/>
        </w:rPr>
        <w:t xml:space="preserve"> 设备设施事故整改归零</w:t>
      </w:r>
    </w:p>
    <w:p>
      <w:pPr>
        <w:spacing w:before="0" w:after="0"/>
        <w:jc w:val="left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3.2 引用表格</w:t>
      </w:r>
    </w:p>
    <w:p>
      <w:pPr>
        <w:spacing w:before="0" w:after="0"/>
        <w:jc w:val="left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    无</w:t>
      </w:r>
    </w:p>
    <w:p>
      <w:pPr>
        <w:sectPr>
          <w:headerReference w:type="default" r:id="rId8"/>
          <w:footerReference w:type="default" r:id="rId9"/>
          <w:pgSz w:w="11906" w:h="16838" w:orient="portrait"/>
          <w:pgMar w:top="1440" w:right="1802" w:bottom="1440" w:left="1802" w:header="708" w:footer="708" w:gutter="0"/>
          <w:pgNumType w:start="2" w:fmt="decimal"/>
          <w:docGrid w:linePitch="360"/>
        </w:sectPr>
      </w:pPr>
    </w:p>
    <w:p>
      <w:pPr>
        <w:spacing w:before="0" w:after="0" w:line="280" w:lineRule="exact"/>
        <w:jc w:val="left"/>
      </w:pPr>
      <w:r>
        <w:rPr>
          <w:color w:val="000000"/>
          <w:sz w:val="28"/>
          <w:szCs w:val="28"/>
          <w:rFonts w:ascii="黑体" w:cs="黑体" w:eastAsia="黑体" w:hAnsi="黑体"/>
        </w:rPr>
      </w:r>
    </w:p>
    <w:p>
      <w:pPr>
        <w:spacing w:before="0" w:after="0"/>
        <w:jc w:val="left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4  术语和定义</w:t>
      </w:r>
    </w:p>
    <w:p>
      <w:pPr>
        <w:spacing w:before="0" w:after="0" w:line="280" w:lineRule="exact"/>
        <w:jc w:val="left"/>
      </w:pPr>
      <w:r>
        <w:rPr>
          <w:color w:val="000000"/>
          <w:sz w:val="28"/>
          <w:szCs w:val="28"/>
          <w:rFonts w:ascii="黑体" w:cs="黑体" w:eastAsia="黑体" w:hAnsi="黑体"/>
        </w:rPr>
      </w:r>
    </w:p>
    <w:p>
      <w:pPr>
        <w:spacing w:before="0" w:after="0"/>
        <w:jc w:val="left"/>
      </w:pPr>
      <w:r>
        <w:rPr>
          <w:sz w:val="28"/>
          <w:szCs w:val="28"/>
          <w:rFonts w:ascii="黑体" w:cs="黑体" w:eastAsia="黑体" w:hAnsi="黑体"/>
        </w:rPr>
        <w:t xml:space="preserve">4.1 设备设施事故</w:t>
      </w:r>
    </w:p>
    <w:p>
      <w:pPr>
        <w:spacing w:before="0" w:after="0"/>
        <w:jc w:val="left"/>
      </w:pPr>
      <w:r>
        <w:rPr>
          <w:sz w:val="28"/>
          <w:szCs w:val="28"/>
          <w:rFonts w:ascii="宋体" w:cs="宋体" w:eastAsia="宋体" w:hAnsi="宋体"/>
        </w:rPr>
        <w:t xml:space="preserve">   由于“三违”操作等原因造成的设备设施零件、部件、附件损坏、精度和性能降低或不能正常使用甚至停产，称为设备设施事故。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5  机构与职责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5.1 </w:t>
      </w:r>
      <w:r>
        <w:rPr>
          <w:sz w:val="28"/>
          <w:szCs w:val="28"/>
          <w:rFonts w:ascii="黑体" w:cs="黑体" w:eastAsia="黑体" w:hAnsi="黑体"/>
        </w:rPr>
        <w:t xml:space="preserve">生产运营部</w:t>
      </w:r>
    </w:p>
    <w:p>
      <w:pPr>
        <w:spacing w:before="0" w:after="0"/>
        <w:jc w:val="both"/>
      </w:pPr>
      <w:r>
        <w:rPr>
          <w:sz w:val="28"/>
          <w:szCs w:val="28"/>
          <w:rFonts w:ascii="宋体" w:cs="宋体" w:eastAsia="宋体" w:hAnsi="宋体"/>
        </w:rPr>
        <w:t xml:space="preserve">生产运营部为事故的归口管理部门，主要职责如下：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Times New Roman" w:cs="Times New Roman" w:eastAsia="Times New Roman" w:hAnsi="Times New Roman"/>
        </w:rPr>
        <w:t xml:space="preserve">a）</w:t>
      </w:r>
      <w:r>
        <w:rPr>
          <w:sz w:val="28"/>
          <w:szCs w:val="28"/>
          <w:rFonts w:ascii="宋体" w:cs="宋体" w:eastAsia="宋体" w:hAnsi="宋体"/>
        </w:rPr>
        <w:t xml:space="preserve">设备设施事故发生后，生产运营部负责组织对现场设备设施事故原因进行调查、事故责任判定以及事故处理工作，并组织事故责任单位开展事故归零工作。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5.2 事故责任单位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sz w:val="28"/>
          <w:szCs w:val="28"/>
          <w:rFonts w:ascii="宋体" w:cs="宋体" w:eastAsia="宋体" w:hAnsi="宋体"/>
        </w:rPr>
        <w:t xml:space="preserve">事故责任单位负责事故管理工作主要职责如下：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Times New Roman" w:cs="Times New Roman" w:eastAsia="Times New Roman" w:hAnsi="Times New Roman"/>
        </w:rPr>
        <w:t xml:space="preserve">a）</w:t>
      </w:r>
      <w:r>
        <w:rPr>
          <w:sz w:val="28"/>
          <w:szCs w:val="28"/>
          <w:rFonts w:ascii="宋体" w:cs="宋体" w:eastAsia="宋体" w:hAnsi="宋体"/>
        </w:rPr>
        <w:t xml:space="preserve">事故责任单位负责事故发生后现场保护及立即上报工作；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Times New Roman" w:cs="Times New Roman" w:eastAsia="Times New Roman" w:hAnsi="Times New Roman"/>
        </w:rPr>
        <w:t xml:space="preserve">b）</w:t>
      </w:r>
      <w:r>
        <w:rPr>
          <w:sz w:val="28"/>
          <w:szCs w:val="28"/>
          <w:rFonts w:ascii="宋体" w:cs="宋体" w:eastAsia="宋体" w:hAnsi="宋体"/>
        </w:rPr>
        <w:t xml:space="preserve">事故责任单位负责制定事故整改措施以及整改措施实施工作。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黑体" w:cs="黑体" w:eastAsia="黑体" w:hAnsi="黑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  要求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6.1 合规管理要求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    </w:t>
      </w:r>
      <w:r>
        <w:rPr>
          <w:sz w:val="28"/>
          <w:szCs w:val="28"/>
          <w:rFonts w:ascii="宋体" w:cs="宋体" w:eastAsia="宋体" w:hAnsi="宋体"/>
        </w:rPr>
        <w:t xml:space="preserve">无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6.2 风险管理要求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10"/>
      </w:tblGrid>
      <w:tr>
        <w:trPr>
          <w:tblHeader w:val="false"/>
          <w:trHeight w:val="630" w:hRule="atLeast"/>
        </w:trPr>
        <w:tc>
          <w:tcPr>
            <w:tcW w:type="dxa" w:w="831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  <w:r>
              <w:rPr>
                <w:sz w:val="28"/>
                <w:szCs w:val="28"/>
                <w:rFonts w:ascii="宋体" w:cs="宋体" w:eastAsia="宋体" w:hAnsi="宋体"/>
              </w:rPr>
              <w:t xml:space="preserve">1</w:t>
            </w:r>
          </w:p>
        </w:tc>
      </w:tr>
    </w:tbl>
    <w:p>
      <w:pPr>
        <w:sectPr>
          <w:headerReference w:type="default" r:id="rId10"/>
          <w:footerReference w:type="default" r:id="rId11"/>
          <w:pgSz w:w="11906" w:h="16838" w:orient="portrait"/>
          <w:pgMar w:top="1440" w:right="1802" w:bottom="1440" w:left="1802" w:header="708" w:footer="708" w:gutter="0"/>
          <w:pgNumType w:start="3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5"/>
        <w:gridCol w:w="6225"/>
      </w:tblGrid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风险主题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引发事故层面扩大风险</w:t>
            </w:r>
          </w:p>
        </w:tc>
      </w:tr>
      <w:tr>
        <w:trPr>
          <w:tblHeader w:val="false"/>
          <w:trHeight w:val="108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风险描述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存在使用单位操作人员在设备设施发生事故后未按要求进行上报，引发设备设施事故扩大的风险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0"/>
        <w:gridCol w:w="2070"/>
        <w:gridCol w:w="2070"/>
        <w:gridCol w:w="2070"/>
      </w:tblGrid>
      <w:tr>
        <w:trPr>
          <w:tblHeader w:val="false"/>
          <w:trHeight w:val="630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密级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公开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发生可能性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影响程度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应对措施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接受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5"/>
        <w:gridCol w:w="6225"/>
      </w:tblGrid>
      <w:tr>
        <w:trPr>
          <w:tblHeader w:val="false"/>
          <w:trHeight w:val="108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具体应对措施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严格履行设备设施事故上报管理要求，做好报告工作。</w:t>
            </w:r>
          </w:p>
        </w:tc>
      </w:tr>
    </w:tbl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7  流程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7.1 </w:t>
      </w:r>
      <w:r>
        <w:rPr>
          <w:sz w:val="28"/>
          <w:szCs w:val="28"/>
          <w:rFonts w:ascii="黑体" w:cs="黑体" w:eastAsia="黑体" w:hAnsi="黑体"/>
        </w:rPr>
        <w:t xml:space="preserve">设备设施事故处理</w:t>
      </w:r>
      <w:r>
        <w:rPr>
          <w:sz w:val="28"/>
          <w:szCs w:val="28"/>
          <w:rFonts w:ascii="黑体" w:cs="黑体" w:eastAsia="黑体" w:hAnsi="黑体"/>
        </w:rPr>
        <w:t xml:space="preserve">流程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sz w:val="28"/>
          <w:szCs w:val="28"/>
          <w:rFonts w:ascii="黑体" w:cs="黑体" w:eastAsia="黑体" w:hAnsi="黑体"/>
        </w:rPr>
        <w:t xml:space="preserve">7.1.1 </w:t>
      </w:r>
      <w:r>
        <w:rPr>
          <w:sz w:val="28"/>
          <w:szCs w:val="28"/>
          <w:rFonts w:ascii="黑体" w:cs="黑体" w:eastAsia="黑体" w:hAnsi="黑体"/>
        </w:rPr>
        <w:t xml:space="preserve">设备设施事故处理</w:t>
      </w:r>
      <w:r>
        <w:rPr>
          <w:sz w:val="28"/>
          <w:szCs w:val="28"/>
          <w:rFonts w:ascii="黑体" w:cs="黑体" w:eastAsia="黑体" w:hAnsi="黑体"/>
        </w:rPr>
        <w:t xml:space="preserve">流程图</w:t>
      </w:r>
    </w:p>
    <w:p>
      <w:pPr>
        <w:sectPr>
          <w:headerReference w:type="default" r:id="rId12"/>
          <w:footerReference w:type="default" r:id="rId13"/>
          <w:pgSz w:w="11906" w:h="16838" w:orient="portrait"/>
          <w:pgMar w:top="1440" w:right="1802" w:bottom="1440" w:left="1802" w:header="708" w:footer="708" w:gutter="0"/>
          <w:pgNumType w:start="4" w:fmt="decimal"/>
          <w:docGrid w:linePitch="360"/>
        </w:sectPr>
      </w:pPr>
    </w:p>
    <w:p>
      <w:pPr>
        <w:spacing w:before="0" w:after="0"/>
        <w:jc w:val="both"/>
      </w:pPr>
      <w:r>
        <w:drawing>
          <wp:inline distT="0" distB="0" distL="0" distR="0">
            <wp:extent cx="1435553" cy="8315325"/>
            <wp:effectExtent b="0" l="0" r="0" t="0"/>
            <wp:docPr id="1" name="CfgDocProcElem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553" cy="831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14"/>
          <w:footerReference w:type="default" r:id="rId15"/>
          <w:pgSz w:w="11906" w:h="16838" w:orient="portrait"/>
          <w:pgMar w:top="1440" w:right="1802" w:bottom="1440" w:left="1802" w:header="708" w:footer="708" w:gutter="0"/>
          <w:pgNumType w:start="5" w:fmt="decimal"/>
          <w:docGrid w:linePitch="360"/>
        </w:sectPr>
      </w:pP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sz w:val="28"/>
          <w:szCs w:val="28"/>
          <w:rFonts w:ascii="宋体" w:cs="宋体" w:eastAsia="宋体" w:hAnsi="宋体"/>
        </w:rPr>
        <w:t xml:space="preserve">7.1.2</w:t>
      </w:r>
      <w:r>
        <w:rPr>
          <w:sz w:val="28"/>
          <w:szCs w:val="28"/>
          <w:rFonts w:ascii="宋体" w:cs="宋体" w:eastAsia="宋体" w:hAnsi="宋体"/>
        </w:rPr>
        <w:t xml:space="preserve">设备设施事故处理</w:t>
      </w:r>
      <w:r>
        <w:rPr>
          <w:sz w:val="28"/>
          <w:szCs w:val="28"/>
          <w:rFonts w:ascii="宋体" w:cs="宋体" w:eastAsia="宋体" w:hAnsi="宋体"/>
        </w:rPr>
        <w:t xml:space="preserve">流程说明表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tbl>
      <w:tblPr>
        <w:tblW w:type="auto" w:w="1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310"/>
      </w:tblGrid>
      <w:tr>
        <w:trPr>
          <w:tblHeader w:val="false"/>
          <w:trHeight w:val="630" w:hRule="atLeast"/>
        </w:trPr>
        <w:tc>
          <w:tcPr>
            <w:tcW w:type="dxa" w:w="831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（1）上报本单位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5"/>
        <w:gridCol w:w="6225"/>
      </w:tblGrid>
      <w:tr>
        <w:trPr>
          <w:tblHeader w:val="false"/>
          <w:trHeight w:val="1575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设备设施操作人员在设备设施发生事故后，应立即停止操作，保护好自身安全，并于5分钟内上报本单位设备设施联络员和主管领导。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活动周期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1小时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0"/>
        <w:gridCol w:w="2070"/>
        <w:gridCol w:w="2070"/>
        <w:gridCol w:w="2070"/>
      </w:tblGrid>
      <w:tr>
        <w:trPr>
          <w:tblHeader w:val="false"/>
          <w:trHeight w:val="4050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设备设施操作人员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生产单元铆装钳工、生产单元喷漆工、零件交付工区下料工、钣金工区设备操作工、复材工区设备操作工、交付工区设备操作工</w:t>
            </w:r>
          </w:p>
        </w:tc>
      </w:tr>
      <w:tr>
        <w:trPr>
          <w:tblHeader w:val="false"/>
          <w:trHeight w:val="1080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设备设施发生事故后、口头报告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口头报告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5"/>
        <w:gridCol w:w="6225"/>
      </w:tblGrid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引发事故层面扩大风险</w:t>
            </w:r>
          </w:p>
        </w:tc>
      </w:tr>
    </w:tbl>
    <w:tbl>
      <w:tblPr>
        <w:tblW w:type="auto" w:w="1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310"/>
      </w:tblGrid>
      <w:tr>
        <w:trPr>
          <w:tblHeader w:val="false"/>
          <w:trHeight w:val="630" w:hRule="atLeast"/>
        </w:trPr>
        <w:tc>
          <w:tcPr>
            <w:tcW w:type="dxa" w:w="831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（2）向生产保障室进行报告</w:t>
            </w:r>
          </w:p>
        </w:tc>
      </w:tr>
    </w:tbl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16"/>
          <w:footerReference w:type="default" r:id="rId17"/>
          <w:pgSz w:w="11906" w:h="16838" w:orient="portrait"/>
          <w:pgMar w:top="1440" w:right="1802" w:bottom="1440" w:left="1802" w:header="708" w:footer="708" w:gutter="0"/>
          <w:pgNumType w:start="6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5"/>
        <w:gridCol w:w="6225"/>
      </w:tblGrid>
      <w:tr>
        <w:trPr>
          <w:tblHeader w:val="false"/>
          <w:trHeight w:val="459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1、使用单位主管领导应立即组织班组人员保护好事故现场，并于10分钟内向生产保障室报告。</w:t>
            </w:r>
          </w:p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2、如使用单位发生设备设施事故后，未在10分钟之内报告生产保障室或未保护事故现场的，直接认定设备设施使用单位负设备设施事故的全部责任。</w:t>
            </w:r>
          </w:p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3、出现事故后，使用单位应在24小时内向生产保障室提交FM1409-16。</w:t>
            </w:r>
          </w:p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4、重大、特大事故发生后，生产保障室应在事故发生后立即向公司主管副总经理报告。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活动周期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1天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0"/>
        <w:gridCol w:w="2070"/>
        <w:gridCol w:w="2070"/>
        <w:gridCol w:w="2070"/>
      </w:tblGrid>
      <w:tr>
        <w:trPr>
          <w:tblHeader w:val="false"/>
          <w:trHeight w:val="4545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事故责任单位主管领导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四十厂生产副厂长、三十五厂生产副厂长、物流仓储中心副主任、型号装配中心生产副主任、零件制造中心生产副主任、三十九厂生产副厂长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口头报告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口头报告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5"/>
        <w:gridCol w:w="6225"/>
      </w:tblGrid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tbl>
      <w:tblPr>
        <w:tblW w:type="auto" w:w="1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310"/>
      </w:tblGrid>
      <w:tr>
        <w:trPr>
          <w:tblHeader w:val="false"/>
          <w:trHeight w:val="630" w:hRule="atLeast"/>
        </w:trPr>
        <w:tc>
          <w:tcPr>
            <w:tcW w:type="dxa" w:w="831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（3）设备设施事故原因调查</w:t>
            </w:r>
          </w:p>
        </w:tc>
      </w:tr>
    </w:tbl>
    <w:p>
      <w:pPr>
        <w:sectPr>
          <w:headerReference w:type="default" r:id="rId18"/>
          <w:footerReference w:type="default" r:id="rId19"/>
          <w:pgSz w:w="11906" w:h="16838" w:orient="portrait"/>
          <w:pgMar w:top="1440" w:right="1802" w:bottom="1440" w:left="1802" w:header="708" w:footer="708" w:gutter="0"/>
          <w:pgNumType w:start="7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5"/>
        <w:gridCol w:w="6225"/>
      </w:tblGrid>
      <w:tr>
        <w:trPr>
          <w:tblHeader w:val="false"/>
          <w:trHeight w:val="4575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1、生产保障室接到设备设施事故报告后，组织召开现场事故分析会。</w:t>
            </w:r>
          </w:p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2、现场事故分析会由生产保障室设备设施主管领导主持，使用单位的设备设施主管领导及技术员、操作员参加，相关设备设施维保人员参加。</w:t>
            </w:r>
          </w:p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3、与会人员根据事故经过及现场状态分析，确定事故原因，制定事故应急处置措施并进行事故责任判定。如事故原因认定不清，由生产保障室协调外部资源共同进行事故原因分析。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活动周期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1月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0"/>
        <w:gridCol w:w="2070"/>
        <w:gridCol w:w="2070"/>
        <w:gridCol w:w="2070"/>
      </w:tblGrid>
      <w:tr>
        <w:trPr>
          <w:tblHeader w:val="false"/>
          <w:trHeight w:val="1575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生产保障室主管领导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生产保障室主任、生产保障室技术工程师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口头报告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确定事故原因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5"/>
        <w:gridCol w:w="6225"/>
      </w:tblGrid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tbl>
      <w:tblPr>
        <w:tblW w:type="auto" w:w="1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310"/>
      </w:tblGrid>
      <w:tr>
        <w:trPr>
          <w:tblHeader w:val="false"/>
          <w:trHeight w:val="630" w:hRule="atLeast"/>
        </w:trPr>
        <w:tc>
          <w:tcPr>
            <w:tcW w:type="dxa" w:w="831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（4）填写设备设施事故报告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5"/>
        <w:gridCol w:w="6225"/>
      </w:tblGrid>
      <w:tr>
        <w:trPr>
          <w:tblHeader w:val="false"/>
          <w:trHeight w:val="108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事故原因确定后，使用单位应填写设备设施事故报告。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活动周期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1天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0"/>
        <w:gridCol w:w="2070"/>
        <w:gridCol w:w="2070"/>
        <w:gridCol w:w="2070"/>
      </w:tblGrid>
      <w:tr>
        <w:trPr>
          <w:tblHeader w:val="false"/>
          <w:trHeight w:val="1575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使用单位联络员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三十九厂生产控制室计划员、生产控制室计划员</w:t>
            </w:r>
          </w:p>
        </w:tc>
      </w:tr>
    </w:tbl>
    <w:p>
      <w:pPr>
        <w:sectPr>
          <w:headerReference w:type="default" r:id="rId20"/>
          <w:footerReference w:type="default" r:id="rId21"/>
          <w:pgSz w:w="11906" w:h="16838" w:orient="portrait"/>
          <w:pgMar w:top="1440" w:right="1802" w:bottom="1440" w:left="1802" w:header="708" w:footer="708" w:gutter="0"/>
          <w:pgNumType w:start="8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0"/>
        <w:gridCol w:w="2070"/>
        <w:gridCol w:w="2070"/>
        <w:gridCol w:w="2070"/>
      </w:tblGrid>
      <w:tr>
        <w:trPr>
          <w:tblHeader w:val="false"/>
          <w:trHeight w:val="1080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确定事故原因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FM1409-16设备设施事故报告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5"/>
        <w:gridCol w:w="6225"/>
      </w:tblGrid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tbl>
      <w:tblPr>
        <w:tblW w:type="auto" w:w="1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310"/>
      </w:tblGrid>
      <w:tr>
        <w:trPr>
          <w:tblHeader w:val="false"/>
          <w:trHeight w:val="630" w:hRule="atLeast"/>
        </w:trPr>
        <w:tc>
          <w:tcPr>
            <w:tcW w:type="dxa" w:w="831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（5）批准设备设施事故报告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5"/>
        <w:gridCol w:w="6225"/>
      </w:tblGrid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事故责任单位责任人批准设备设施事故报告。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活动周期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1天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0"/>
        <w:gridCol w:w="2070"/>
        <w:gridCol w:w="2070"/>
        <w:gridCol w:w="2070"/>
      </w:tblGrid>
      <w:tr>
        <w:trPr>
          <w:tblHeader w:val="false"/>
          <w:trHeight w:val="3555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事故责任单位责任人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四十厂厂长、三十五厂厂长、物流仓储中心主任、型号装配中心主任、零件制造中心主任、三十九厂厂长</w:t>
            </w:r>
          </w:p>
        </w:tc>
      </w:tr>
      <w:tr>
        <w:trPr>
          <w:tblHeader w:val="false"/>
          <w:trHeight w:val="1080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FM1409-16设备设施事故报告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FM1409-16设备设施事故报告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5"/>
        <w:gridCol w:w="6225"/>
      </w:tblGrid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tbl>
      <w:tblPr>
        <w:tblW w:type="auto" w:w="1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310"/>
      </w:tblGrid>
      <w:tr>
        <w:trPr>
          <w:tblHeader w:val="false"/>
          <w:trHeight w:val="1095" w:hRule="atLeast"/>
        </w:trPr>
        <w:tc>
          <w:tcPr>
            <w:tcW w:type="dxa" w:w="831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（6）填写设备设施</w:t>
            </w:r>
          </w:p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事故整改措施</w:t>
            </w:r>
          </w:p>
        </w:tc>
      </w:tr>
    </w:tbl>
    <w:p>
      <w:pPr>
        <w:sectPr>
          <w:headerReference w:type="default" r:id="rId22"/>
          <w:footerReference w:type="default" r:id="rId23"/>
          <w:pgSz w:w="11906" w:h="16838" w:orient="portrait"/>
          <w:pgMar w:top="1440" w:right="1802" w:bottom="1440" w:left="1802" w:header="708" w:footer="708" w:gutter="0"/>
          <w:pgNumType w:start="9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5"/>
        <w:gridCol w:w="6225"/>
      </w:tblGrid>
      <w:tr>
        <w:trPr>
          <w:tblHeader w:val="false"/>
          <w:trHeight w:val="2085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1、事故原因确认后，由事故责任单位制定事故整改措施，提交FM1409-17并完成审批。</w:t>
            </w:r>
          </w:p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2、生产保障室审查事故整改措施的充分性、完整性及有效性，并监督事故整改措施的实施情况。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活动周期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1月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0"/>
        <w:gridCol w:w="2070"/>
        <w:gridCol w:w="2070"/>
        <w:gridCol w:w="2070"/>
      </w:tblGrid>
      <w:tr>
        <w:trPr>
          <w:tblHeader w:val="false"/>
          <w:trHeight w:val="1575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使用单位联络员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三十九厂生产控制室计划员、生产控制室计划员</w:t>
            </w:r>
          </w:p>
        </w:tc>
      </w:tr>
      <w:tr>
        <w:trPr>
          <w:tblHeader w:val="false"/>
          <w:trHeight w:val="1575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FM1409-16设备设施事故报告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FM1409-17设备设施事故整改措施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5"/>
        <w:gridCol w:w="6225"/>
      </w:tblGrid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tbl>
      <w:tblPr>
        <w:tblW w:type="auto" w:w="1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310"/>
      </w:tblGrid>
      <w:tr>
        <w:trPr>
          <w:tblHeader w:val="false"/>
          <w:trHeight w:val="630" w:hRule="atLeast"/>
        </w:trPr>
        <w:tc>
          <w:tcPr>
            <w:tcW w:type="dxa" w:w="831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（7）审查设备设施事故整改措施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5"/>
        <w:gridCol w:w="6225"/>
      </w:tblGrid>
      <w:tr>
        <w:trPr>
          <w:tblHeader w:val="false"/>
          <w:trHeight w:val="108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事故责任单位主管领导审查设备设施事故整改措施。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活动周期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7天</w:t>
            </w:r>
          </w:p>
        </w:tc>
      </w:tr>
    </w:tbl>
    <w:p>
      <w:pPr>
        <w:sectPr>
          <w:headerReference w:type="default" r:id="rId24"/>
          <w:footerReference w:type="default" r:id="rId25"/>
          <w:pgSz w:w="11906" w:h="16838" w:orient="portrait"/>
          <w:pgMar w:top="1440" w:right="1802" w:bottom="1440" w:left="1802" w:header="708" w:footer="708" w:gutter="0"/>
          <w:pgNumType w:start="10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0"/>
        <w:gridCol w:w="2070"/>
        <w:gridCol w:w="2070"/>
        <w:gridCol w:w="2070"/>
      </w:tblGrid>
      <w:tr>
        <w:trPr>
          <w:tblHeader w:val="false"/>
          <w:trHeight w:val="4545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事故责任单位主管领导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四十厂生产副厂长、三十五厂生产副厂长、物流仓储中心副主任、型号装配中心生产副主任、零件制造中心生产副主任、三十九厂生产副厂长</w:t>
            </w:r>
          </w:p>
        </w:tc>
      </w:tr>
      <w:tr>
        <w:trPr>
          <w:tblHeader w:val="false"/>
          <w:trHeight w:val="1575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FM1409-17设备设施事故整改措施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FM1409-17设备设施事故整改措施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5"/>
        <w:gridCol w:w="6225"/>
      </w:tblGrid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tbl>
      <w:tblPr>
        <w:tblW w:type="auto" w:w="1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310"/>
      </w:tblGrid>
      <w:tr>
        <w:trPr>
          <w:tblHeader w:val="false"/>
          <w:trHeight w:val="630" w:hRule="atLeast"/>
        </w:trPr>
        <w:tc>
          <w:tcPr>
            <w:tcW w:type="dxa" w:w="831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（8）核查设备设施事故整改措施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5"/>
        <w:gridCol w:w="6225"/>
      </w:tblGrid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生产保障室技术员核查设备设施事故整改措施。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活动周期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7天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0"/>
        <w:gridCol w:w="2070"/>
        <w:gridCol w:w="2070"/>
        <w:gridCol w:w="2070"/>
      </w:tblGrid>
      <w:tr>
        <w:trPr>
          <w:tblHeader w:val="false"/>
          <w:trHeight w:val="1065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生产保障室技术员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生产保障室技术员</w:t>
            </w:r>
          </w:p>
        </w:tc>
      </w:tr>
      <w:tr>
        <w:trPr>
          <w:tblHeader w:val="false"/>
          <w:trHeight w:val="1575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FM1409-17设备设施事故整改措施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FM1409-17设备设施事故整改措施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5"/>
        <w:gridCol w:w="6225"/>
      </w:tblGrid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p>
      <w:pPr>
        <w:sectPr>
          <w:headerReference w:type="default" r:id="rId26"/>
          <w:footerReference w:type="default" r:id="rId27"/>
          <w:pgSz w:w="11906" w:h="16838" w:orient="portrait"/>
          <w:pgMar w:top="1440" w:right="1802" w:bottom="1440" w:left="1802" w:header="708" w:footer="708" w:gutter="0"/>
          <w:pgNumType w:start="11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5"/>
        <w:gridCol w:w="6225"/>
      </w:tblGrid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tbl>
      <w:tblPr>
        <w:tblW w:type="auto" w:w="1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310"/>
      </w:tblGrid>
      <w:tr>
        <w:trPr>
          <w:tblHeader w:val="false"/>
          <w:trHeight w:val="630" w:hRule="atLeast"/>
        </w:trPr>
        <w:tc>
          <w:tcPr>
            <w:tcW w:type="dxa" w:w="831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（9）复核设备设施事故整改措施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5"/>
        <w:gridCol w:w="6225"/>
      </w:tblGrid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生产保障室主任复核设备设施事故整改措施。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活动周期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7天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0"/>
        <w:gridCol w:w="2070"/>
        <w:gridCol w:w="2070"/>
        <w:gridCol w:w="2070"/>
      </w:tblGrid>
      <w:tr>
        <w:trPr>
          <w:tblHeader w:val="false"/>
          <w:trHeight w:val="630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生产保障室主任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生产保障室主任</w:t>
            </w:r>
          </w:p>
        </w:tc>
      </w:tr>
      <w:tr>
        <w:trPr>
          <w:tblHeader w:val="false"/>
          <w:trHeight w:val="1575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FM1409-17设备设施事故整改措施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FM1409-17设备设施事故整改措施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5"/>
        <w:gridCol w:w="6225"/>
      </w:tblGrid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tbl>
      <w:tblPr>
        <w:tblW w:type="auto" w:w="1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310"/>
      </w:tblGrid>
      <w:tr>
        <w:trPr>
          <w:tblHeader w:val="false"/>
          <w:trHeight w:val="630" w:hRule="atLeast"/>
        </w:trPr>
        <w:tc>
          <w:tcPr>
            <w:tcW w:type="dxa" w:w="831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（10）批准设备设施事故整改措施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5"/>
        <w:gridCol w:w="6225"/>
      </w:tblGrid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生产运营部部长批准设备设施事故整改措施。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活动周期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7天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0"/>
        <w:gridCol w:w="2070"/>
        <w:gridCol w:w="2070"/>
        <w:gridCol w:w="2070"/>
      </w:tblGrid>
      <w:tr>
        <w:trPr>
          <w:tblHeader w:val="false"/>
          <w:trHeight w:val="630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生产运营部部长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生产运营部部长</w:t>
            </w:r>
          </w:p>
        </w:tc>
      </w:tr>
      <w:tr>
        <w:trPr>
          <w:tblHeader w:val="false"/>
          <w:trHeight w:val="1575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FM1409-17设备设施事故整改措施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FM1409-17设备设施事故整改措施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5"/>
        <w:gridCol w:w="6225"/>
      </w:tblGrid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p>
      <w:pPr>
        <w:sectPr>
          <w:headerReference w:type="default" r:id="rId28"/>
          <w:footerReference w:type="default" r:id="rId29"/>
          <w:pgSz w:w="11906" w:h="16838" w:orient="portrait"/>
          <w:pgMar w:top="1440" w:right="1802" w:bottom="1440" w:left="1802" w:header="708" w:footer="708" w:gutter="0"/>
          <w:pgNumType w:start="12" w:fmt="decimal"/>
          <w:docGrid w:linePitch="360"/>
        </w:sectPr>
      </w:pPr>
    </w:p>
    <w:tbl>
      <w:tblPr>
        <w:tblW w:type="auto" w:w="1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310"/>
      </w:tblGrid>
      <w:tr>
        <w:trPr>
          <w:tblHeader w:val="false"/>
          <w:trHeight w:val="630" w:hRule="atLeast"/>
        </w:trPr>
        <w:tc>
          <w:tcPr>
            <w:tcW w:type="dxa" w:w="831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（11）填写设备设施事故处理表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5"/>
        <w:gridCol w:w="6225"/>
      </w:tblGrid>
      <w:tr>
        <w:trPr>
          <w:tblHeader w:val="false"/>
          <w:trHeight w:val="13185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1、设备设施事故处理</w:t>
            </w:r>
          </w:p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指设备设施发生事故后，所开展的应急管理活动，核心是控损失、查原因、追责任、防再发。</w:t>
            </w:r>
          </w:p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2、设备设施事故的划分</w:t>
            </w:r>
          </w:p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由于设施设备事故，按设备设施造成修理费用多少分为一般事故、重大事故及特大事故。其划分标准如下：</w:t>
            </w:r>
          </w:p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a）一般事故：设备设施事故修理费用（含备件费用）在五千元（含五千元）以上、二万元以下的；</w:t>
            </w:r>
          </w:p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b）重大事故：设备设施事故修理费用（含备件费用）在二万元（含二万元）以上、十五万元以下的；</w:t>
            </w:r>
          </w:p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c）特大事故：设备设施事故修理费用（含备件费用）在十五万元（含十五万元）以上的。</w:t>
            </w:r>
          </w:p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3、设备设施事故处理</w:t>
            </w:r>
          </w:p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3.1、对发生的设备设施事故要做到“四不放过”原则：</w:t>
            </w:r>
          </w:p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a）事故原因分析不清不放过；</w:t>
            </w:r>
          </w:p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b）没有防范措施不放过；</w:t>
            </w:r>
          </w:p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c）事故责任者没受到处理不放过；</w:t>
            </w:r>
          </w:p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d）事故责任人和相关人员未受到教育不放过。</w:t>
            </w:r>
          </w:p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3.2、生产保障室依据设备设施事故的划分标准，填写FM1409-18，并完成审批。</w:t>
            </w:r>
          </w:p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3.3、对设备设施事故责任单位，按照公司相关标准执行考核。</w:t>
            </w:r>
          </w:p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3.4、对事故责任人，视情节严重程度，按公司员工政纪处理相关要求执行。</w:t>
            </w:r>
          </w:p>
        </w:tc>
      </w:tr>
    </w:tbl>
    <w:p>
      <w:pPr>
        <w:sectPr>
          <w:headerReference w:type="default" r:id="rId30"/>
          <w:footerReference w:type="default" r:id="rId31"/>
          <w:pgSz w:w="11906" w:h="16838" w:orient="portrait"/>
          <w:pgMar w:top="1440" w:right="1802" w:bottom="1440" w:left="1802" w:header="708" w:footer="708" w:gutter="0"/>
          <w:pgNumType w:start="13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5"/>
        <w:gridCol w:w="6225"/>
      </w:tblGrid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活动周期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1月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0"/>
        <w:gridCol w:w="2070"/>
        <w:gridCol w:w="2070"/>
        <w:gridCol w:w="2070"/>
      </w:tblGrid>
      <w:tr>
        <w:trPr>
          <w:tblHeader w:val="false"/>
          <w:trHeight w:val="1065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生产保障室技术员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生产保障室技术员</w:t>
            </w:r>
          </w:p>
        </w:tc>
      </w:tr>
      <w:tr>
        <w:trPr>
          <w:tblHeader w:val="false"/>
          <w:trHeight w:val="1080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FM1409-18设备设施事故处理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FM1409-18设备设施事故处理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5"/>
        <w:gridCol w:w="6225"/>
      </w:tblGrid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tbl>
      <w:tblPr>
        <w:tblW w:type="auto" w:w="1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310"/>
      </w:tblGrid>
      <w:tr>
        <w:trPr>
          <w:tblHeader w:val="false"/>
          <w:trHeight w:val="630" w:hRule="atLeast"/>
        </w:trPr>
        <w:tc>
          <w:tcPr>
            <w:tcW w:type="dxa" w:w="831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（12）核对设备设施事故处理表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5"/>
        <w:gridCol w:w="6225"/>
      </w:tblGrid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生产保障室主任核对核对设备设施事故处理。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活动周期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1月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0"/>
        <w:gridCol w:w="2070"/>
        <w:gridCol w:w="2070"/>
        <w:gridCol w:w="2070"/>
      </w:tblGrid>
      <w:tr>
        <w:trPr>
          <w:tblHeader w:val="false"/>
          <w:trHeight w:val="630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生产保障室主任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生产保障室主任</w:t>
            </w:r>
          </w:p>
        </w:tc>
      </w:tr>
      <w:tr>
        <w:trPr>
          <w:tblHeader w:val="false"/>
          <w:trHeight w:val="1080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FM1409-18设备设施事故处理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FM1409-18设备设施事故处理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5"/>
        <w:gridCol w:w="6225"/>
      </w:tblGrid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tbl>
      <w:tblPr>
        <w:tblW w:type="auto" w:w="1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310"/>
      </w:tblGrid>
      <w:tr>
        <w:trPr>
          <w:tblHeader w:val="false"/>
          <w:trHeight w:val="630" w:hRule="atLeast"/>
        </w:trPr>
        <w:tc>
          <w:tcPr>
            <w:tcW w:type="dxa" w:w="831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（13）审核设备设施事故处理表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5"/>
        <w:gridCol w:w="6225"/>
      </w:tblGrid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生产运营部部长审核设备设施事故处理结果。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活动周期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1月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0"/>
        <w:gridCol w:w="2070"/>
        <w:gridCol w:w="2070"/>
        <w:gridCol w:w="2070"/>
      </w:tblGrid>
      <w:tr>
        <w:trPr>
          <w:tblHeader w:val="false"/>
          <w:trHeight w:val="630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生产运营部部长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生产运营部部长</w:t>
            </w:r>
          </w:p>
        </w:tc>
      </w:tr>
      <w:tr>
        <w:trPr>
          <w:tblHeader w:val="false"/>
          <w:trHeight w:val="510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FM1409-18设备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FM1409-18设备</w:t>
            </w:r>
          </w:p>
        </w:tc>
      </w:tr>
    </w:tbl>
    <w:p>
      <w:pPr>
        <w:sectPr>
          <w:headerReference w:type="default" r:id="rId32"/>
          <w:footerReference w:type="default" r:id="rId33"/>
          <w:pgSz w:w="11906" w:h="16838" w:orient="portrait"/>
          <w:pgMar w:top="1440" w:right="1802" w:bottom="1440" w:left="1802" w:header="708" w:footer="708" w:gutter="0"/>
          <w:pgNumType w:start="14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0"/>
        <w:gridCol w:w="2070"/>
        <w:gridCol w:w="2070"/>
        <w:gridCol w:w="2070"/>
      </w:tblGrid>
      <w:tr>
        <w:trPr>
          <w:tblHeader w:val="false"/>
          <w:trHeight w:val="630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设施事故处理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设施事故处理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5"/>
        <w:gridCol w:w="6225"/>
      </w:tblGrid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tbl>
      <w:tblPr>
        <w:tblW w:type="auto" w:w="1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310"/>
      </w:tblGrid>
      <w:tr>
        <w:trPr>
          <w:tblHeader w:val="false"/>
          <w:trHeight w:val="630" w:hRule="atLeast"/>
        </w:trPr>
        <w:tc>
          <w:tcPr>
            <w:tcW w:type="dxa" w:w="831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（14）批准设备设施事故处理表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5"/>
        <w:gridCol w:w="6225"/>
      </w:tblGrid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主管副总经理批准设备设施事故处理。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活动周期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1月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0"/>
        <w:gridCol w:w="2070"/>
        <w:gridCol w:w="2070"/>
        <w:gridCol w:w="2070"/>
      </w:tblGrid>
      <w:tr>
        <w:trPr>
          <w:tblHeader w:val="false"/>
          <w:trHeight w:val="1080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主管副总经理/项目总师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副总经理</w:t>
            </w:r>
          </w:p>
        </w:tc>
      </w:tr>
      <w:tr>
        <w:trPr>
          <w:tblHeader w:val="false"/>
          <w:trHeight w:val="1080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FM1409-18设备设施事故处理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FM1409-18设备设施事故处理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5"/>
        <w:gridCol w:w="6225"/>
      </w:tblGrid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tbl>
      <w:tblPr>
        <w:tblW w:type="auto" w:w="1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310"/>
      </w:tblGrid>
      <w:tr>
        <w:trPr>
          <w:tblHeader w:val="false"/>
          <w:trHeight w:val="630" w:hRule="atLeast"/>
        </w:trPr>
        <w:tc>
          <w:tcPr>
            <w:tcW w:type="dxa" w:w="831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（15）填写设备设施整改归零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5"/>
        <w:gridCol w:w="6225"/>
      </w:tblGrid>
      <w:tr>
        <w:trPr>
          <w:tblHeader w:val="false"/>
          <w:trHeight w:val="1575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设备设施事故处理完成后，生产保障室组织事故责任单位填写FM1409-19，进行设备设施事故整改归零工作。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活动周期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1月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0"/>
        <w:gridCol w:w="2070"/>
        <w:gridCol w:w="2070"/>
        <w:gridCol w:w="2070"/>
      </w:tblGrid>
      <w:tr>
        <w:trPr>
          <w:tblHeader w:val="false"/>
          <w:trHeight w:val="1575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使用单位联络员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三十九厂生产控制室计划员、生产控制室计划员</w:t>
            </w:r>
          </w:p>
        </w:tc>
      </w:tr>
      <w:tr>
        <w:trPr>
          <w:tblHeader w:val="false"/>
          <w:trHeight w:val="510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FM1409-18设备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FM1409-19设备</w:t>
            </w:r>
          </w:p>
        </w:tc>
      </w:tr>
    </w:tbl>
    <w:p>
      <w:pPr>
        <w:sectPr>
          <w:headerReference w:type="default" r:id="rId34"/>
          <w:footerReference w:type="default" r:id="rId35"/>
          <w:pgSz w:w="11906" w:h="16838" w:orient="portrait"/>
          <w:pgMar w:top="1440" w:right="1802" w:bottom="1440" w:left="1802" w:header="708" w:footer="708" w:gutter="0"/>
          <w:pgNumType w:start="15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0"/>
        <w:gridCol w:w="2070"/>
        <w:gridCol w:w="2070"/>
        <w:gridCol w:w="2070"/>
      </w:tblGrid>
      <w:tr>
        <w:trPr>
          <w:tblHeader w:val="false"/>
          <w:trHeight w:val="1080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设施事故处理</w:t>
            </w:r>
          </w:p>
          <w:p>
            <w:pPr>
              <w:spacing w:before="0" w:after="0"/>
              <w:jc w:val="left"/>
            </w:pP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设施事故整改归零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5"/>
        <w:gridCol w:w="6225"/>
      </w:tblGrid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tbl>
      <w:tblPr>
        <w:tblW w:type="auto" w:w="1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310"/>
      </w:tblGrid>
      <w:tr>
        <w:trPr>
          <w:tblHeader w:val="false"/>
          <w:trHeight w:val="630" w:hRule="atLeast"/>
        </w:trPr>
        <w:tc>
          <w:tcPr>
            <w:tcW w:type="dxa" w:w="831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（16）核对设备设施整改归零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5"/>
        <w:gridCol w:w="6225"/>
      </w:tblGrid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事故单位责任人核对设备设施整改归零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活动周期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7天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0"/>
        <w:gridCol w:w="2070"/>
        <w:gridCol w:w="2070"/>
        <w:gridCol w:w="2070"/>
      </w:tblGrid>
      <w:tr>
        <w:trPr>
          <w:tblHeader w:val="false"/>
          <w:trHeight w:val="3555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事故责任单位责任人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四十厂厂长、三十五厂厂长、物流仓储中心主任、型号装配中心主任、零件制造中心主任、三十九厂厂长</w:t>
            </w:r>
          </w:p>
        </w:tc>
      </w:tr>
      <w:tr>
        <w:trPr>
          <w:tblHeader w:val="false"/>
          <w:trHeight w:val="1575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FM1409-19设备设施事故整改归零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FM1409-19设备设施事故整改归零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5"/>
        <w:gridCol w:w="6225"/>
      </w:tblGrid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tbl>
      <w:tblPr>
        <w:tblW w:type="auto" w:w="1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310"/>
      </w:tblGrid>
      <w:tr>
        <w:trPr>
          <w:tblHeader w:val="false"/>
          <w:trHeight w:val="630" w:hRule="atLeast"/>
        </w:trPr>
        <w:tc>
          <w:tcPr>
            <w:tcW w:type="dxa" w:w="831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（17）给出设备设施整改归零意见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5"/>
        <w:gridCol w:w="6225"/>
      </w:tblGrid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生产保障室技术员给出设备设施整改归零意见。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活动周期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7天</w:t>
            </w:r>
          </w:p>
        </w:tc>
      </w:tr>
    </w:tbl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36"/>
          <w:footerReference w:type="default" r:id="rId37"/>
          <w:pgSz w:w="11906" w:h="16838" w:orient="portrait"/>
          <w:pgMar w:top="1440" w:right="1802" w:bottom="1440" w:left="1802" w:header="708" w:footer="708" w:gutter="0"/>
          <w:pgNumType w:start="16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0"/>
        <w:gridCol w:w="2070"/>
        <w:gridCol w:w="2070"/>
        <w:gridCol w:w="2070"/>
      </w:tblGrid>
      <w:tr>
        <w:trPr>
          <w:tblHeader w:val="false"/>
          <w:trHeight w:val="1065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生产保障室技术员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生产保障室技术员</w:t>
            </w:r>
          </w:p>
        </w:tc>
      </w:tr>
      <w:tr>
        <w:trPr>
          <w:tblHeader w:val="false"/>
          <w:trHeight w:val="1575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FM1409-19设备设施事故整改归零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FM1409-19设备设施事故整改归零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5"/>
        <w:gridCol w:w="6225"/>
      </w:tblGrid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tbl>
      <w:tblPr>
        <w:tblW w:type="auto" w:w="1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310"/>
      </w:tblGrid>
      <w:tr>
        <w:trPr>
          <w:tblHeader w:val="false"/>
          <w:trHeight w:val="630" w:hRule="atLeast"/>
        </w:trPr>
        <w:tc>
          <w:tcPr>
            <w:tcW w:type="dxa" w:w="831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（18）复核设备设施整改归零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5"/>
        <w:gridCol w:w="6225"/>
      </w:tblGrid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生产保障室主任复核设备设施整改归零。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活动周期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7天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0"/>
        <w:gridCol w:w="2070"/>
        <w:gridCol w:w="2070"/>
        <w:gridCol w:w="2070"/>
      </w:tblGrid>
      <w:tr>
        <w:trPr>
          <w:tblHeader w:val="false"/>
          <w:trHeight w:val="630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生产保障室主任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生产保障室主任</w:t>
            </w:r>
          </w:p>
        </w:tc>
      </w:tr>
      <w:tr>
        <w:trPr>
          <w:tblHeader w:val="false"/>
          <w:trHeight w:val="1575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FM1409-19设备设施事故整改归零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FM1409-19设备设施事故整改归零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5"/>
        <w:gridCol w:w="6225"/>
      </w:tblGrid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tbl>
      <w:tblPr>
        <w:tblW w:type="auto" w:w="1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310"/>
      </w:tblGrid>
      <w:tr>
        <w:trPr>
          <w:tblHeader w:val="false"/>
          <w:trHeight w:val="630" w:hRule="atLeast"/>
        </w:trPr>
        <w:tc>
          <w:tcPr>
            <w:tcW w:type="dxa" w:w="831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（19）审核设备设施整改归零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5"/>
        <w:gridCol w:w="6225"/>
      </w:tblGrid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生产运营部部长审核设备设施整改归零。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活动周期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7天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0"/>
        <w:gridCol w:w="2070"/>
        <w:gridCol w:w="2070"/>
        <w:gridCol w:w="2070"/>
      </w:tblGrid>
      <w:tr>
        <w:trPr>
          <w:tblHeader w:val="false"/>
          <w:trHeight w:val="630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生产运营部部长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生产运营部部长</w:t>
            </w:r>
          </w:p>
        </w:tc>
      </w:tr>
    </w:tbl>
    <w:p>
      <w:pPr>
        <w:sectPr>
          <w:headerReference w:type="default" r:id="rId38"/>
          <w:footerReference w:type="default" r:id="rId39"/>
          <w:pgSz w:w="11906" w:h="16838" w:orient="portrait"/>
          <w:pgMar w:top="1440" w:right="1802" w:bottom="1440" w:left="1802" w:header="708" w:footer="708" w:gutter="0"/>
          <w:pgNumType w:start="17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0"/>
        <w:gridCol w:w="2070"/>
        <w:gridCol w:w="2070"/>
        <w:gridCol w:w="2070"/>
      </w:tblGrid>
      <w:tr>
        <w:trPr>
          <w:tblHeader w:val="false"/>
          <w:trHeight w:val="1575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FM1409-19设备设施事故整改归零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FM1409-19设备设施事故整改归零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5"/>
        <w:gridCol w:w="6225"/>
      </w:tblGrid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tbl>
      <w:tblPr>
        <w:tblW w:type="auto" w:w="1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310"/>
      </w:tblGrid>
      <w:tr>
        <w:trPr>
          <w:tblHeader w:val="false"/>
          <w:trHeight w:val="630" w:hRule="atLeast"/>
        </w:trPr>
        <w:tc>
          <w:tcPr>
            <w:tcW w:type="dxa" w:w="831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（20）批准设备设施整改归零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5"/>
        <w:gridCol w:w="6225"/>
      </w:tblGrid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主管副总经理/项目总师批准设备设施整改归零。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活动周期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7天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0"/>
        <w:gridCol w:w="2070"/>
        <w:gridCol w:w="2070"/>
        <w:gridCol w:w="2070"/>
      </w:tblGrid>
      <w:tr>
        <w:trPr>
          <w:tblHeader w:val="false"/>
          <w:trHeight w:val="1080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主管副总经理/项目总师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副总经理</w:t>
            </w:r>
          </w:p>
        </w:tc>
      </w:tr>
      <w:tr>
        <w:trPr>
          <w:tblHeader w:val="false"/>
          <w:trHeight w:val="1575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FM1409-19设备设施事故整改归零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FM1409-19设备设施事故整改归零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5"/>
        <w:gridCol w:w="6225"/>
      </w:tblGrid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8  流程角色职责表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6315"/>
      </w:tblGrid>
      <w:tr>
        <w:trPr>
          <w:tblHeader w:val="false"/>
          <w:trHeight w:val="630" w:hRule="atLeast"/>
        </w:trPr>
        <w:tc>
          <w:tcPr>
            <w:tcW w:type="dxa" w:w="199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角色名称</w:t>
            </w:r>
          </w:p>
        </w:tc>
        <w:tc>
          <w:tcPr>
            <w:tcW w:type="dxa" w:w="631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职责</w:t>
            </w:r>
          </w:p>
        </w:tc>
      </w:tr>
      <w:tr>
        <w:trPr>
          <w:tblHeader w:val="false"/>
          <w:trHeight w:val="1095" w:hRule="atLeast"/>
        </w:trPr>
        <w:tc>
          <w:tcPr>
            <w:tcW w:type="dxa" w:w="199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设备设施单位操作人员</w:t>
            </w:r>
          </w:p>
        </w:tc>
        <w:tc>
          <w:tcPr>
            <w:tcW w:type="dxa" w:w="631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负责事故发生后现场保护及立即上报工作。</w:t>
            </w:r>
          </w:p>
          <w:p>
            <w:pPr>
              <w:spacing w:before="0" w:after="0"/>
              <w:jc w:val="left"/>
            </w:pPr>
          </w:p>
        </w:tc>
      </w:tr>
    </w:tbl>
    <w:p>
      <w:pPr>
        <w:sectPr>
          <w:headerReference w:type="default" r:id="rId40"/>
          <w:footerReference w:type="default" r:id="rId41"/>
          <w:pgSz w:w="11906" w:h="16838" w:orient="portrait"/>
          <w:pgMar w:top="1440" w:right="1802" w:bottom="1440" w:left="1802" w:header="708" w:footer="708" w:gutter="0"/>
          <w:pgNumType w:start="18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6315"/>
      </w:tblGrid>
      <w:tr>
        <w:trPr>
          <w:tblHeader w:val="false"/>
          <w:trHeight w:val="1575" w:hRule="atLeast"/>
        </w:trPr>
        <w:tc>
          <w:tcPr>
            <w:tcW w:type="dxa" w:w="199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事故责任单位主管领导</w:t>
            </w:r>
          </w:p>
        </w:tc>
        <w:tc>
          <w:tcPr>
            <w:tcW w:type="dxa" w:w="631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批准设备设施事故报告、审核设备设施整改措施、审核设备设施事故整改归零、审核设备设施事故整改归零。</w:t>
            </w:r>
          </w:p>
        </w:tc>
      </w:tr>
      <w:tr>
        <w:trPr>
          <w:tblHeader w:val="false"/>
          <w:trHeight w:val="1080" w:hRule="atLeast"/>
        </w:trPr>
        <w:tc>
          <w:tcPr>
            <w:tcW w:type="dxa" w:w="199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生产保障室主管领导</w:t>
            </w:r>
          </w:p>
        </w:tc>
        <w:tc>
          <w:tcPr>
            <w:tcW w:type="dxa" w:w="631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组织现场事故分析会</w:t>
            </w:r>
          </w:p>
        </w:tc>
      </w:tr>
      <w:tr>
        <w:trPr>
          <w:tblHeader w:val="false"/>
          <w:trHeight w:val="1080" w:hRule="atLeast"/>
        </w:trPr>
        <w:tc>
          <w:tcPr>
            <w:tcW w:type="dxa" w:w="199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事故责任单位联络员</w:t>
            </w:r>
          </w:p>
        </w:tc>
        <w:tc>
          <w:tcPr>
            <w:tcW w:type="dxa" w:w="631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填写设备设施事故报告、填写设备设施事故改措施、填写设备设施事故整改归零。</w:t>
            </w:r>
          </w:p>
        </w:tc>
      </w:tr>
      <w:tr>
        <w:trPr>
          <w:tblHeader w:val="false"/>
          <w:trHeight w:val="1080" w:hRule="atLeast"/>
        </w:trPr>
        <w:tc>
          <w:tcPr>
            <w:tcW w:type="dxa" w:w="199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生产保障室技术员</w:t>
            </w:r>
          </w:p>
        </w:tc>
        <w:tc>
          <w:tcPr>
            <w:tcW w:type="dxa" w:w="631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审查设备设施事故整改措施、填写设备设施事故处理、审查设备设施事故整改归零。</w:t>
            </w:r>
          </w:p>
        </w:tc>
      </w:tr>
      <w:tr>
        <w:trPr>
          <w:tblHeader w:val="false"/>
          <w:trHeight w:val="1080" w:hRule="atLeast"/>
        </w:trPr>
        <w:tc>
          <w:tcPr>
            <w:tcW w:type="dxa" w:w="199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生产保障室主任</w:t>
            </w:r>
          </w:p>
        </w:tc>
        <w:tc>
          <w:tcPr>
            <w:tcW w:type="dxa" w:w="631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审核设备设施事故整改措施、审查设备设施事故处理、审查设备设施事故整改归零。</w:t>
            </w:r>
          </w:p>
        </w:tc>
      </w:tr>
      <w:tr>
        <w:trPr>
          <w:tblHeader w:val="false"/>
          <w:trHeight w:val="1080" w:hRule="atLeast"/>
        </w:trPr>
        <w:tc>
          <w:tcPr>
            <w:tcW w:type="dxa" w:w="199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生产运营部部长</w:t>
            </w:r>
          </w:p>
        </w:tc>
        <w:tc>
          <w:tcPr>
            <w:tcW w:type="dxa" w:w="631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批准设备设施事故整改措施、审查设备设施事故处理、审核设备设施事故整改归零。</w:t>
            </w:r>
          </w:p>
        </w:tc>
      </w:tr>
      <w:tr>
        <w:trPr>
          <w:tblHeader w:val="false"/>
          <w:trHeight w:val="1080" w:hRule="atLeast"/>
        </w:trPr>
        <w:tc>
          <w:tcPr>
            <w:tcW w:type="dxa" w:w="199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主管副总经理</w:t>
            </w:r>
          </w:p>
        </w:tc>
        <w:tc>
          <w:tcPr>
            <w:tcW w:type="dxa" w:w="631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批准设备设施事故处理、批准设备设施事故整改归零。</w:t>
            </w:r>
          </w:p>
        </w:tc>
      </w:tr>
    </w:tbl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黑体" w:cs="黑体" w:eastAsia="黑体" w:hAnsi="黑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9 流程绩效指标表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 </w:t>
      </w:r>
      <w:r>
        <w:rPr>
          <w:sz w:val="28"/>
          <w:szCs w:val="28"/>
          <w:rFonts w:ascii="宋体" w:cs="宋体" w:eastAsia="宋体" w:hAnsi="宋体"/>
        </w:rPr>
        <w:t xml:space="preserve"> 无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10  建立如下管理标准支持本程序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    </w:t>
      </w:r>
      <w:r>
        <w:rPr>
          <w:sz w:val="28"/>
          <w:szCs w:val="28"/>
          <w:rFonts w:ascii="宋体" w:cs="宋体" w:eastAsia="宋体" w:hAnsi="宋体"/>
        </w:rPr>
        <w:t xml:space="preserve">无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黑体" w:cs="黑体" w:eastAsia="黑体" w:hAnsi="黑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11  记录控制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  <w:shd w:fill="ffffff" w:color="auto" w:val="clear"/>
        </w:rPr>
        <w:t xml:space="preserve">    相关记录的填写和维护按文件GLC231008要求执行。</w:t>
      </w:r>
    </w:p>
    <w:p>
      <w:pPr>
        <w:spacing w:before="0" w:after="0" w:line="210" w:lineRule="exact"/>
      </w:pPr>
      <w:r>
        <w:rPr>
          <w:color w:val="1b324f"/>
          <w:sz w:val="21"/>
          <w:szCs w:val="21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sectPr>
      <w:headerReference w:type="default" r:id="rId42"/>
      <w:footerReference w:type="default" r:id="rId43"/>
      <w:pgSz w:w="11906" w:h="16838" w:orient="portrait"/>
      <w:pgMar w:top="1440" w:right="1802" w:bottom="1440" w:left="1802" w:header="708" w:footer="708" w:gutter="0"/>
      <w:pgNumType w:start="19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9</w:t>
    </w:r>
    <w:r>
      <w:t xml:space="preserve">0</w:t>
    </w:r>
    <w:r>
      <w:t xml:space="preserve">4</w:t>
    </w:r>
    <w:r>
      <w:t xml:space="preserve">-</w:t>
    </w:r>
    <w:r>
      <w:t xml:space="preserve">B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9</w:t>
    </w:r>
    <w:r>
      <w:t xml:space="preserve">0</w:t>
    </w:r>
    <w:r>
      <w:t xml:space="preserve">4</w:t>
    </w:r>
    <w:r>
      <w:t xml:space="preserve">-</w:t>
    </w:r>
    <w:r>
      <w:t xml:space="preserve">B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9</w:t>
    </w:r>
    <w:r>
      <w:t xml:space="preserve">0</w:t>
    </w:r>
    <w:r>
      <w:t xml:space="preserve">4</w:t>
    </w:r>
    <w:r>
      <w:t xml:space="preserve">-</w:t>
    </w:r>
    <w:r>
      <w:t xml:space="preserve">B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9</w:t>
    </w:r>
    <w:r>
      <w:t xml:space="preserve">0</w:t>
    </w:r>
    <w:r>
      <w:t xml:space="preserve">4</w:t>
    </w:r>
    <w:r>
      <w:t xml:space="preserve">-</w:t>
    </w:r>
    <w:r>
      <w:t xml:space="preserve">B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9</w:t>
    </w:r>
    <w:r>
      <w:t xml:space="preserve">0</w:t>
    </w:r>
    <w:r>
      <w:t xml:space="preserve">4</w:t>
    </w:r>
    <w:r>
      <w:t xml:space="preserve">-</w:t>
    </w:r>
    <w:r>
      <w:t xml:space="preserve">B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9</w:t>
    </w:r>
    <w:r>
      <w:t xml:space="preserve">0</w:t>
    </w:r>
    <w:r>
      <w:t xml:space="preserve">4</w:t>
    </w:r>
    <w:r>
      <w:t xml:space="preserve">-</w:t>
    </w:r>
    <w:r>
      <w:t xml:space="preserve">B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9</w:t>
    </w:r>
    <w:r>
      <w:t xml:space="preserve">0</w:t>
    </w:r>
    <w:r>
      <w:t xml:space="preserve">4</w:t>
    </w:r>
    <w:r>
      <w:t xml:space="preserve">-</w:t>
    </w:r>
    <w:r>
      <w:t xml:space="preserve">B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9</w:t>
    </w:r>
    <w:r>
      <w:t xml:space="preserve">0</w:t>
    </w:r>
    <w:r>
      <w:t xml:space="preserve">4</w:t>
    </w:r>
    <w:r>
      <w:t xml:space="preserve">-</w:t>
    </w:r>
    <w:r>
      <w:t xml:space="preserve">B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9</w:t>
    </w:r>
    <w:r>
      <w:t xml:space="preserve">0</w:t>
    </w:r>
    <w:r>
      <w:t xml:space="preserve">4</w:t>
    </w:r>
    <w:r>
      <w:t xml:space="preserve">-</w:t>
    </w:r>
    <w:r>
      <w:t xml:space="preserve">B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9</w:t>
    </w:r>
    <w:r>
      <w:t xml:space="preserve">0</w:t>
    </w:r>
    <w:r>
      <w:t xml:space="preserve">4</w:t>
    </w:r>
    <w:r>
      <w:t xml:space="preserve">-</w:t>
    </w:r>
    <w:r>
      <w:t xml:space="preserve">B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9</w:t>
    </w:r>
    <w:r>
      <w:t xml:space="preserve">0</w:t>
    </w:r>
    <w:r>
      <w:t xml:space="preserve">4</w:t>
    </w:r>
    <w:r>
      <w:t xml:space="preserve">-</w:t>
    </w:r>
    <w:r>
      <w:t xml:space="preserve">B</w: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9</w:t>
    </w:r>
    <w:r>
      <w:t xml:space="preserve">0</w:t>
    </w:r>
    <w:r>
      <w:t xml:space="preserve">4</w:t>
    </w:r>
    <w:r>
      <w:t xml:space="preserve">-</w:t>
    </w:r>
    <w:r>
      <w:t xml:space="preserve">B</w: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9</w:t>
    </w:r>
    <w:r>
      <w:t xml:space="preserve">0</w:t>
    </w:r>
    <w:r>
      <w:t xml:space="preserve">4</w:t>
    </w:r>
    <w:r>
      <w:t xml:space="preserve">-</w:t>
    </w:r>
    <w:r>
      <w:t xml:space="preserve">B</w:t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9</w:t>
    </w:r>
    <w:r>
      <w:t xml:space="preserve">0</w:t>
    </w:r>
    <w:r>
      <w:t xml:space="preserve">4</w:t>
    </w:r>
    <w:r>
      <w:t xml:space="preserve">-</w:t>
    </w:r>
    <w:r>
      <w:t xml:space="preserve">B</w:t>
    </w: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9</w:t>
    </w:r>
    <w:r>
      <w:t xml:space="preserve">0</w:t>
    </w:r>
    <w:r>
      <w:t xml:space="preserve">4</w:t>
    </w:r>
    <w:r>
      <w:t xml:space="preserve">-</w:t>
    </w:r>
    <w:r>
      <w:t xml:space="preserve">B</w:t>
    </w: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9</w:t>
    </w:r>
    <w:r>
      <w:t xml:space="preserve">0</w:t>
    </w:r>
    <w:r>
      <w:t xml:space="preserve">4</w:t>
    </w:r>
    <w:r>
      <w:t xml:space="preserve">-</w:t>
    </w:r>
    <w:r>
      <w:t xml:space="preserve">B</w:t>
    </w: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9</w:t>
    </w:r>
    <w:r>
      <w:t xml:space="preserve">0</w:t>
    </w:r>
    <w:r>
      <w:t xml:space="preserve">4</w:t>
    </w:r>
    <w:r>
      <w:t xml:space="preserve">-</w:t>
    </w:r>
    <w:r>
      <w:t xml:space="preserve">B</w:t>
    </w: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9</w:t>
    </w:r>
    <w:r>
      <w:t xml:space="preserve">0</w:t>
    </w:r>
    <w:r>
      <w:t xml:space="preserve">4</w:t>
    </w:r>
    <w:r>
      <w:t xml:space="preserve">-</w:t>
    </w:r>
    <w:r>
      <w:t xml:space="preserve">B</w:t>
    </w:r>
  </w:p>
</w:hdr>
</file>

<file path=word/header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9</w:t>
    </w:r>
    <w:r>
      <w:t xml:space="preserve">0</w:t>
    </w:r>
    <w:r>
      <w:t xml:space="preserve">4</w:t>
    </w:r>
    <w:r>
      <w:t xml:space="preserve">-</w:t>
    </w:r>
    <w:r>
      <w:t xml:space="preserve">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  <w:doNotExpandShiftReturn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  <w:rFonts w:ascii="宋体" w:cs="宋体" w:eastAsia="宋体" w:hAnsi="宋体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40" w:after="330"/>
    </w:pPr>
    <w:rPr>
      <w:b/>
      <w:bCs/>
      <w:color w:val="000000"/>
      <w:sz w:val="44"/>
      <w:szCs w:val="44"/>
    </w:rPr>
  </w:style>
  <w:style w:type="paragraph" w:styleId="Heading2">
    <w:name w:val="Heading 2"/>
    <w:basedOn w:val="Normal"/>
    <w:next w:val="Normal"/>
    <w:qFormat/>
    <w:pPr>
      <w:spacing w:before="260" w:after="260"/>
    </w:pPr>
    <w:rPr>
      <w:b/>
      <w:bCs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60" w:after="260"/>
    </w:pPr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pPr>
      <w:spacing w:before="280" w:after="290"/>
    </w:pPr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80" w:after="290"/>
    </w:pPr>
    <w:rPr>
      <w:b/>
      <w:bCs/>
      <w:color w:val="000000"/>
      <w:sz w:val="28"/>
      <w:szCs w:val="28"/>
    </w:rPr>
  </w:style>
  <w:style w:type="paragraph" w:styleId="Heading6">
    <w:name w:val="Heading 6"/>
    <w:basedOn w:val="Normal"/>
    <w:next w:val="Normal"/>
    <w:qFormat/>
    <w:pPr>
      <w:spacing w:before="240" w:after="64"/>
    </w:pPr>
    <w:rPr>
      <w:b/>
      <w:bCs/>
      <w:color w:val="000000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Relationship Id="rId14" Type="http://schemas.openxmlformats.org/officeDocument/2006/relationships/header" Target="header5.xml"/><Relationship Id="rId15" Type="http://schemas.openxmlformats.org/officeDocument/2006/relationships/footer" Target="footer5.xml"/><Relationship Id="rId16" Type="http://schemas.openxmlformats.org/officeDocument/2006/relationships/header" Target="header6.xml"/><Relationship Id="rId17" Type="http://schemas.openxmlformats.org/officeDocument/2006/relationships/footer" Target="footer6.xml"/><Relationship Id="rId18" Type="http://schemas.openxmlformats.org/officeDocument/2006/relationships/header" Target="header7.xml"/><Relationship Id="rId19" Type="http://schemas.openxmlformats.org/officeDocument/2006/relationships/footer" Target="footer7.xml"/><Relationship Id="rId20" Type="http://schemas.openxmlformats.org/officeDocument/2006/relationships/header" Target="header8.xml"/><Relationship Id="rId21" Type="http://schemas.openxmlformats.org/officeDocument/2006/relationships/footer" Target="footer8.xml"/><Relationship Id="rId22" Type="http://schemas.openxmlformats.org/officeDocument/2006/relationships/header" Target="header9.xml"/><Relationship Id="rId23" Type="http://schemas.openxmlformats.org/officeDocument/2006/relationships/footer" Target="footer9.xml"/><Relationship Id="rId24" Type="http://schemas.openxmlformats.org/officeDocument/2006/relationships/header" Target="header10.xml"/><Relationship Id="rId25" Type="http://schemas.openxmlformats.org/officeDocument/2006/relationships/footer" Target="footer10.xml"/><Relationship Id="rId26" Type="http://schemas.openxmlformats.org/officeDocument/2006/relationships/header" Target="header11.xml"/><Relationship Id="rId27" Type="http://schemas.openxmlformats.org/officeDocument/2006/relationships/footer" Target="footer11.xml"/><Relationship Id="rId28" Type="http://schemas.openxmlformats.org/officeDocument/2006/relationships/header" Target="header12.xml"/><Relationship Id="rId29" Type="http://schemas.openxmlformats.org/officeDocument/2006/relationships/footer" Target="footer12.xml"/><Relationship Id="rId30" Type="http://schemas.openxmlformats.org/officeDocument/2006/relationships/header" Target="header13.xml"/><Relationship Id="rId31" Type="http://schemas.openxmlformats.org/officeDocument/2006/relationships/footer" Target="footer13.xml"/><Relationship Id="rId32" Type="http://schemas.openxmlformats.org/officeDocument/2006/relationships/header" Target="header14.xml"/><Relationship Id="rId33" Type="http://schemas.openxmlformats.org/officeDocument/2006/relationships/footer" Target="footer14.xml"/><Relationship Id="rId34" Type="http://schemas.openxmlformats.org/officeDocument/2006/relationships/header" Target="header15.xml"/><Relationship Id="rId35" Type="http://schemas.openxmlformats.org/officeDocument/2006/relationships/footer" Target="footer15.xml"/><Relationship Id="rId36" Type="http://schemas.openxmlformats.org/officeDocument/2006/relationships/header" Target="header16.xml"/><Relationship Id="rId37" Type="http://schemas.openxmlformats.org/officeDocument/2006/relationships/footer" Target="footer16.xml"/><Relationship Id="rId38" Type="http://schemas.openxmlformats.org/officeDocument/2006/relationships/header" Target="header17.xml"/><Relationship Id="rId39" Type="http://schemas.openxmlformats.org/officeDocument/2006/relationships/footer" Target="footer17.xml"/><Relationship Id="rId40" Type="http://schemas.openxmlformats.org/officeDocument/2006/relationships/header" Target="header18.xml"/><Relationship Id="rId41" Type="http://schemas.openxmlformats.org/officeDocument/2006/relationships/footer" Target="footer18.xml"/><Relationship Id="rId42" Type="http://schemas.openxmlformats.org/officeDocument/2006/relationships/header" Target="header19.xml"/><Relationship Id="rId43" Type="http://schemas.openxmlformats.org/officeDocument/2006/relationships/footer" Target="footer19.xml"/><Relationship Id="rId44" Type="http://schemas.openxmlformats.org/officeDocument/2006/relationships/image" Target="media/co9r__zjn6n4adwkxuyej.png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er12.xml.rels><?xml version="1.0" encoding="UTF-8"?><Relationships xmlns="http://schemas.openxmlformats.org/package/2006/relationships"/>
</file>

<file path=word/_rels/footer13.xml.rels><?xml version="1.0" encoding="UTF-8"?><Relationships xmlns="http://schemas.openxmlformats.org/package/2006/relationships"/>
</file>

<file path=word/_rels/footer14.xml.rels><?xml version="1.0" encoding="UTF-8"?><Relationships xmlns="http://schemas.openxmlformats.org/package/2006/relationships"/>
</file>

<file path=word/_rels/footer15.xml.rels><?xml version="1.0" encoding="UTF-8"?><Relationships xmlns="http://schemas.openxmlformats.org/package/2006/relationships"/>
</file>

<file path=word/_rels/footer16.xml.rels><?xml version="1.0" encoding="UTF-8"?><Relationships xmlns="http://schemas.openxmlformats.org/package/2006/relationships"/>
</file>

<file path=word/_rels/footer17.xml.rels><?xml version="1.0" encoding="UTF-8"?><Relationships xmlns="http://schemas.openxmlformats.org/package/2006/relationships"/>
</file>

<file path=word/_rels/footer18.xml.rels><?xml version="1.0" encoding="UTF-8"?><Relationships xmlns="http://schemas.openxmlformats.org/package/2006/relationships"/>
</file>

<file path=word/_rels/footer19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word/_rels/header12.xml.rels><?xml version="1.0" encoding="UTF-8"?><Relationships xmlns="http://schemas.openxmlformats.org/package/2006/relationships"/>
</file>

<file path=word/_rels/header13.xml.rels><?xml version="1.0" encoding="UTF-8"?><Relationships xmlns="http://schemas.openxmlformats.org/package/2006/relationships"/>
</file>

<file path=word/_rels/header14.xml.rels><?xml version="1.0" encoding="UTF-8"?><Relationships xmlns="http://schemas.openxmlformats.org/package/2006/relationships"/>
</file>

<file path=word/_rels/header15.xml.rels><?xml version="1.0" encoding="UTF-8"?><Relationships xmlns="http://schemas.openxmlformats.org/package/2006/relationships"/>
</file>

<file path=word/_rels/header16.xml.rels><?xml version="1.0" encoding="UTF-8"?><Relationships xmlns="http://schemas.openxmlformats.org/package/2006/relationships"/>
</file>

<file path=word/_rels/header17.xml.rels><?xml version="1.0" encoding="UTF-8"?><Relationships xmlns="http://schemas.openxmlformats.org/package/2006/relationships"/>
</file>

<file path=word/_rels/header18.xml.rels><?xml version="1.0" encoding="UTF-8"?><Relationships xmlns="http://schemas.openxmlformats.org/package/2006/relationships"/>
</file>

<file path=word/_rels/header19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2026-05-22T02:54:50.230Z</dcterms:created>
  <dcterms:modified xsi:type="dcterms:W3CDTF">2026-05-22T02:54:50.230Z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