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Lorem Ipsum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</w:t>
      </w:r>
      <w:commentRangeStart w:id="0"/>
      <w:r w:rsidDel="00000000" w:rsidR="00000000" w:rsidRPr="00000000">
        <w:rPr>
          <w:sz w:val="21"/>
          <w:szCs w:val="21"/>
          <w:highlight w:val="white"/>
          <w:rtl w:val="0"/>
        </w:rPr>
        <w:t xml:space="preserve">unchanged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 It was popularised in the 1960s with the release of Letraset sheets containing Lorem Ipsum passages, and more recently with desktop publishing software like Aldus PageMaker </w:t>
      </w:r>
      <w:commentRangeStart w:id="1"/>
      <w:r w:rsidDel="00000000" w:rsidR="00000000" w:rsidRPr="00000000">
        <w:rPr>
          <w:sz w:val="21"/>
          <w:szCs w:val="21"/>
          <w:highlight w:val="white"/>
          <w:rtl w:val="0"/>
        </w:rPr>
        <w:t xml:space="preserve">including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versions of Lorem Ipsum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briel Chittolina" w:id="1" w:date="2025-11-13T12:50:22Z"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again</w:t>
      </w:r>
    </w:p>
  </w:comment>
  <w:comment w:author="Gabriel Chittolina" w:id="0" w:date="2025-11-13T12:50:16Z"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there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