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CellSpacing w:w="15" w:type="dxa"/>
        <w:tblLook w:val="04A0" w:firstRow="1" w:lastRow="0" w:firstColumn="1" w:lastColumn="0" w:noHBand="0" w:noVBand="1"/>
      </w:tblPr>
      <w:tblGrid>
        <w:gridCol w:w="9360"/>
      </w:tblGrid>
      <w:tr w:rsidR="00474EAA" w:rsidRPr="00474EAA" w14:paraId="6B37F121" w14:textId="77777777">
        <w:trPr>
          <w:tblCellSpacing w:w="15" w:type="dxa"/>
        </w:trPr>
        <w:tc>
          <w:tcPr>
            <w:tcW w:w="1500" w:type="dxa"/>
            <w:tcMar>
              <w:top w:w="15" w:type="dxa"/>
              <w:left w:w="15" w:type="dxa"/>
              <w:bottom w:w="15" w:type="dxa"/>
              <w:right w:w="15" w:type="dxa"/>
            </w:tcMar>
            <w:vAlign w:val="center"/>
            <w:hideMark/>
          </w:tcPr>
          <w:p w14:paraId="72EC3847" w14:textId="315D9EF0" w:rsidR="00474EAA" w:rsidRPr="00474EAA" w:rsidRDefault="00474EAA" w:rsidP="00474EAA">
            <w:r w:rsidRPr="00474EAA">
              <w:drawing>
                <wp:inline distT="0" distB="0" distL="0" distR="0" wp14:anchorId="43A18098" wp14:editId="7DAEAE32">
                  <wp:extent cx="5924550" cy="838200"/>
                  <wp:effectExtent l="0" t="0" r="0" b="0"/>
                  <wp:docPr id="1188800132" name="Picture 10" descr="AbbVie Panel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bbVie Panel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tc>
      </w:tr>
      <w:tr w:rsidR="00474EAA" w:rsidRPr="00474EAA" w14:paraId="623970C2" w14:textId="77777777">
        <w:trPr>
          <w:tblCellSpacing w:w="15" w:type="dxa"/>
        </w:trPr>
        <w:tc>
          <w:tcPr>
            <w:tcW w:w="0" w:type="auto"/>
            <w:tcMar>
              <w:top w:w="225" w:type="dxa"/>
              <w:left w:w="15" w:type="dxa"/>
              <w:bottom w:w="15" w:type="dxa"/>
              <w:right w:w="15" w:type="dxa"/>
            </w:tcMar>
            <w:vAlign w:val="center"/>
            <w:hideMark/>
          </w:tcPr>
          <w:p w14:paraId="5C2A6A36" w14:textId="77777777" w:rsidR="00474EAA" w:rsidRPr="00474EAA" w:rsidRDefault="00474EAA" w:rsidP="00474EAA">
            <w:r w:rsidRPr="00474EAA">
              <w:rPr>
                <w:b/>
                <w:bCs/>
              </w:rPr>
              <w:t xml:space="preserve">Dear </w:t>
            </w:r>
            <w:r w:rsidRPr="00474EAA">
              <w:t xml:space="preserve">Suyash Nagumalli, </w:t>
            </w:r>
          </w:p>
        </w:tc>
      </w:tr>
      <w:tr w:rsidR="00474EAA" w:rsidRPr="00474EAA" w14:paraId="4A91B0AC" w14:textId="77777777">
        <w:trPr>
          <w:tblCellSpacing w:w="15" w:type="dxa"/>
        </w:trPr>
        <w:tc>
          <w:tcPr>
            <w:tcW w:w="0" w:type="auto"/>
            <w:tcMar>
              <w:top w:w="15" w:type="dxa"/>
              <w:left w:w="15" w:type="dxa"/>
              <w:bottom w:w="15" w:type="dxa"/>
              <w:right w:w="15" w:type="dxa"/>
            </w:tcMar>
            <w:vAlign w:val="center"/>
            <w:hideMark/>
          </w:tcPr>
          <w:p w14:paraId="50A7A5D5" w14:textId="77777777" w:rsidR="00474EAA" w:rsidRPr="00474EAA" w:rsidRDefault="00474EAA" w:rsidP="00474EAA">
            <w:pPr>
              <w:rPr>
                <w:b/>
                <w:bCs/>
              </w:rPr>
            </w:pPr>
            <w:r w:rsidRPr="00474EAA">
              <w:rPr>
                <w:b/>
                <w:bCs/>
              </w:rPr>
              <w:t>Welcome to AbbVie!</w:t>
            </w:r>
          </w:p>
        </w:tc>
      </w:tr>
      <w:tr w:rsidR="00474EAA" w:rsidRPr="00474EAA" w14:paraId="21315AF0" w14:textId="77777777">
        <w:trPr>
          <w:tblCellSpacing w:w="15" w:type="dxa"/>
        </w:trPr>
        <w:tc>
          <w:tcPr>
            <w:tcW w:w="0" w:type="auto"/>
            <w:tcMar>
              <w:top w:w="15" w:type="dxa"/>
              <w:left w:w="15" w:type="dxa"/>
              <w:bottom w:w="15" w:type="dxa"/>
              <w:right w:w="15" w:type="dxa"/>
            </w:tcMar>
            <w:vAlign w:val="center"/>
            <w:hideMark/>
          </w:tcPr>
          <w:p w14:paraId="52339D96" w14:textId="77777777" w:rsidR="00474EAA" w:rsidRPr="00474EAA" w:rsidRDefault="00474EAA" w:rsidP="00474EAA">
            <w:r w:rsidRPr="00474EAA">
              <w:t>This email serves as an introduction to our Corporate Card Program, Travel and Expense policies, and Expense Reporting.</w:t>
            </w:r>
          </w:p>
        </w:tc>
      </w:tr>
      <w:tr w:rsidR="00474EAA" w:rsidRPr="00474EAA" w14:paraId="5A1C591C" w14:textId="77777777">
        <w:trPr>
          <w:tblCellSpacing w:w="15" w:type="dxa"/>
        </w:trPr>
        <w:tc>
          <w:tcPr>
            <w:tcW w:w="0" w:type="auto"/>
            <w:tcMar>
              <w:top w:w="225" w:type="dxa"/>
              <w:left w:w="15" w:type="dxa"/>
              <w:bottom w:w="15" w:type="dxa"/>
              <w:right w:w="15" w:type="dxa"/>
            </w:tcMar>
            <w:vAlign w:val="center"/>
            <w:hideMark/>
          </w:tcPr>
          <w:p w14:paraId="7D7A5BB0" w14:textId="2DED1286" w:rsidR="00474EAA" w:rsidRPr="00474EAA" w:rsidRDefault="00474EAA" w:rsidP="00474EAA">
            <w:r w:rsidRPr="00474EAA">
              <w:drawing>
                <wp:inline distT="0" distB="0" distL="0" distR="0" wp14:anchorId="25CF1CDD" wp14:editId="6494722D">
                  <wp:extent cx="1371600" cy="885825"/>
                  <wp:effectExtent l="0" t="0" r="0" b="9525"/>
                  <wp:docPr id="1503725660"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85825"/>
                          </a:xfrm>
                          <a:prstGeom prst="rect">
                            <a:avLst/>
                          </a:prstGeom>
                          <a:noFill/>
                          <a:ln>
                            <a:noFill/>
                          </a:ln>
                        </pic:spPr>
                      </pic:pic>
                    </a:graphicData>
                  </a:graphic>
                </wp:inline>
              </w:drawing>
            </w:r>
          </w:p>
        </w:tc>
      </w:tr>
      <w:tr w:rsidR="00474EAA" w:rsidRPr="00474EAA" w14:paraId="0F36A829" w14:textId="77777777">
        <w:trPr>
          <w:tblCellSpacing w:w="15" w:type="dxa"/>
        </w:trPr>
        <w:tc>
          <w:tcPr>
            <w:tcW w:w="0" w:type="auto"/>
            <w:tcBorders>
              <w:top w:val="nil"/>
              <w:left w:val="nil"/>
              <w:bottom w:val="double" w:sz="6" w:space="0" w:color="000000"/>
              <w:right w:val="nil"/>
            </w:tcBorders>
            <w:tcMar>
              <w:top w:w="225" w:type="dxa"/>
              <w:left w:w="15" w:type="dxa"/>
              <w:bottom w:w="15" w:type="dxa"/>
              <w:right w:w="15" w:type="dxa"/>
            </w:tcMar>
            <w:vAlign w:val="center"/>
            <w:hideMark/>
          </w:tcPr>
          <w:p w14:paraId="0C936FDA" w14:textId="77777777" w:rsidR="00474EAA" w:rsidRPr="00474EAA" w:rsidRDefault="00474EAA" w:rsidP="00474EAA">
            <w:pPr>
              <w:rPr>
                <w:b/>
                <w:bCs/>
              </w:rPr>
            </w:pPr>
            <w:r w:rsidRPr="00474EAA">
              <w:rPr>
                <w:b/>
                <w:bCs/>
              </w:rPr>
              <w:t>Corporate Card Program:</w:t>
            </w:r>
          </w:p>
        </w:tc>
      </w:tr>
      <w:tr w:rsidR="00474EAA" w:rsidRPr="00474EAA" w14:paraId="5F5780CE" w14:textId="77777777">
        <w:trPr>
          <w:tblCellSpacing w:w="15" w:type="dxa"/>
        </w:trPr>
        <w:tc>
          <w:tcPr>
            <w:tcW w:w="0" w:type="auto"/>
            <w:tcMar>
              <w:top w:w="15" w:type="dxa"/>
              <w:left w:w="15" w:type="dxa"/>
              <w:bottom w:w="15" w:type="dxa"/>
              <w:right w:w="15" w:type="dxa"/>
            </w:tcMar>
            <w:vAlign w:val="center"/>
            <w:hideMark/>
          </w:tcPr>
          <w:p w14:paraId="3EDDD595" w14:textId="77777777" w:rsidR="00474EAA" w:rsidRPr="00474EAA" w:rsidRDefault="00474EAA" w:rsidP="00474EAA">
            <w:r w:rsidRPr="00474EAA">
              <w:t xml:space="preserve">AbbVie provides a Corporate Card (T&amp;E, Meeting and/or P-Cards) to eligible employees to facilitate business-related expenses. Please discuss with your manager if you will require a Corporate Card for travel or business-related purchases. Corporate Cards must NOT be used for personal transactions/purchases, per AbbVie policy. </w:t>
            </w:r>
          </w:p>
        </w:tc>
      </w:tr>
      <w:tr w:rsidR="00474EAA" w:rsidRPr="00474EAA" w14:paraId="6F2CB841" w14:textId="77777777">
        <w:trPr>
          <w:tblCellSpacing w:w="15" w:type="dxa"/>
        </w:trPr>
        <w:tc>
          <w:tcPr>
            <w:tcW w:w="0" w:type="auto"/>
            <w:tcMar>
              <w:top w:w="225" w:type="dxa"/>
              <w:left w:w="15" w:type="dxa"/>
              <w:bottom w:w="15" w:type="dxa"/>
              <w:right w:w="15" w:type="dxa"/>
            </w:tcMar>
            <w:vAlign w:val="center"/>
            <w:hideMark/>
          </w:tcPr>
          <w:p w14:paraId="3AF54A35" w14:textId="77777777" w:rsidR="00474EAA" w:rsidRPr="00474EAA" w:rsidRDefault="00474EAA" w:rsidP="00474EAA">
            <w:r w:rsidRPr="00474EAA">
              <w:t xml:space="preserve">If you require a Corporate Card, click </w:t>
            </w:r>
            <w:hyperlink r:id="rId7" w:history="1">
              <w:r w:rsidRPr="00474EAA">
                <w:rPr>
                  <w:rStyle w:val="Hyperlink"/>
                </w:rPr>
                <w:t>here</w:t>
              </w:r>
            </w:hyperlink>
            <w:r w:rsidRPr="00474EAA">
              <w:t xml:space="preserve"> to request it through our Card Tool. You will receive an email notification once the request has been approved/declined by your manager. </w:t>
            </w:r>
          </w:p>
        </w:tc>
      </w:tr>
      <w:tr w:rsidR="00474EAA" w:rsidRPr="00474EAA" w14:paraId="6796CE80" w14:textId="77777777">
        <w:trPr>
          <w:tblCellSpacing w:w="15" w:type="dxa"/>
        </w:trPr>
        <w:tc>
          <w:tcPr>
            <w:tcW w:w="0" w:type="auto"/>
            <w:tcMar>
              <w:top w:w="225" w:type="dxa"/>
              <w:left w:w="15" w:type="dxa"/>
              <w:bottom w:w="15" w:type="dxa"/>
              <w:right w:w="15" w:type="dxa"/>
            </w:tcMar>
            <w:vAlign w:val="center"/>
            <w:hideMark/>
          </w:tcPr>
          <w:p w14:paraId="21A59020" w14:textId="77777777" w:rsidR="00474EAA" w:rsidRPr="00474EAA" w:rsidRDefault="00474EAA" w:rsidP="00474EAA">
            <w:r w:rsidRPr="00474EAA">
              <w:rPr>
                <w:b/>
                <w:bCs/>
                <w:u w:val="single"/>
              </w:rPr>
              <w:t>Using the Corporate Card:</w:t>
            </w:r>
            <w:r w:rsidRPr="00474EAA">
              <w:t xml:space="preserve"> </w:t>
            </w:r>
          </w:p>
        </w:tc>
      </w:tr>
      <w:tr w:rsidR="00474EAA" w:rsidRPr="00474EAA" w14:paraId="16560B2A" w14:textId="77777777">
        <w:trPr>
          <w:tblCellSpacing w:w="15" w:type="dxa"/>
        </w:trPr>
        <w:tc>
          <w:tcPr>
            <w:tcW w:w="0" w:type="auto"/>
            <w:tcMar>
              <w:top w:w="225" w:type="dxa"/>
              <w:left w:w="15" w:type="dxa"/>
              <w:bottom w:w="15" w:type="dxa"/>
              <w:right w:w="15" w:type="dxa"/>
            </w:tcMar>
            <w:vAlign w:val="center"/>
            <w:hideMark/>
          </w:tcPr>
          <w:p w14:paraId="1F7CEB27" w14:textId="77777777" w:rsidR="00474EAA" w:rsidRPr="00474EAA" w:rsidRDefault="00474EAA" w:rsidP="00474EAA">
            <w:r w:rsidRPr="00474EAA">
              <w:t xml:space="preserve">The AbbVie Corporate Card should be used for business-related purchases such as travel, accommodations, and other expenses. However, only certain purchases can be paid via Corporate Card even if a vendor accepts a credit card. </w:t>
            </w:r>
          </w:p>
        </w:tc>
      </w:tr>
      <w:tr w:rsidR="00474EAA" w:rsidRPr="00474EAA" w14:paraId="0B001DFA" w14:textId="77777777">
        <w:trPr>
          <w:tblCellSpacing w:w="15" w:type="dxa"/>
        </w:trPr>
        <w:tc>
          <w:tcPr>
            <w:tcW w:w="0" w:type="auto"/>
            <w:tcMar>
              <w:top w:w="225" w:type="dxa"/>
              <w:left w:w="15" w:type="dxa"/>
              <w:bottom w:w="15" w:type="dxa"/>
              <w:right w:w="15" w:type="dxa"/>
            </w:tcMar>
            <w:vAlign w:val="center"/>
            <w:hideMark/>
          </w:tcPr>
          <w:p w14:paraId="7DF7157B" w14:textId="77777777" w:rsidR="00474EAA" w:rsidRPr="00474EAA" w:rsidRDefault="00474EAA" w:rsidP="00474EAA">
            <w:r w:rsidRPr="00474EAA">
              <w:lastRenderedPageBreak/>
              <w:t xml:space="preserve">Please familiarize yourself with AbbVie's </w:t>
            </w:r>
            <w:hyperlink r:id="rId8" w:anchor="!/" w:history="1">
              <w:r w:rsidRPr="00474EAA">
                <w:rPr>
                  <w:rStyle w:val="Hyperlink"/>
                </w:rPr>
                <w:t>Guide 2Buy</w:t>
              </w:r>
            </w:hyperlink>
            <w:r w:rsidRPr="00474EAA">
              <w:t xml:space="preserve"> to ensure you are using the Corporate Card correctly. The Guide 2Buy contains information on allowable purchases and correct forms of payment. </w:t>
            </w:r>
          </w:p>
        </w:tc>
      </w:tr>
      <w:tr w:rsidR="00474EAA" w:rsidRPr="00474EAA" w14:paraId="49B1406B" w14:textId="77777777">
        <w:trPr>
          <w:tblCellSpacing w:w="15" w:type="dxa"/>
        </w:trPr>
        <w:tc>
          <w:tcPr>
            <w:tcW w:w="0" w:type="auto"/>
            <w:tcMar>
              <w:top w:w="225" w:type="dxa"/>
              <w:left w:w="15" w:type="dxa"/>
              <w:bottom w:w="15" w:type="dxa"/>
              <w:right w:w="15" w:type="dxa"/>
            </w:tcMar>
            <w:vAlign w:val="center"/>
            <w:hideMark/>
          </w:tcPr>
          <w:p w14:paraId="1E8AB0E7" w14:textId="77777777" w:rsidR="00474EAA" w:rsidRPr="00474EAA" w:rsidRDefault="00474EAA" w:rsidP="00474EAA">
            <w:r w:rsidRPr="00474EAA">
              <w:rPr>
                <w:b/>
                <w:bCs/>
                <w:u w:val="single"/>
              </w:rPr>
              <w:t>Reminders:</w:t>
            </w:r>
            <w:r w:rsidRPr="00474EAA">
              <w:t xml:space="preserve"> </w:t>
            </w:r>
          </w:p>
        </w:tc>
      </w:tr>
      <w:tr w:rsidR="00474EAA" w:rsidRPr="00474EAA" w14:paraId="39101599" w14:textId="77777777">
        <w:trPr>
          <w:tblCellSpacing w:w="15" w:type="dxa"/>
        </w:trPr>
        <w:tc>
          <w:tcPr>
            <w:tcW w:w="0" w:type="auto"/>
            <w:tcMar>
              <w:top w:w="225" w:type="dxa"/>
              <w:left w:w="15" w:type="dxa"/>
              <w:bottom w:w="15" w:type="dxa"/>
              <w:right w:w="15" w:type="dxa"/>
            </w:tcMar>
            <w:vAlign w:val="center"/>
            <w:hideMark/>
          </w:tcPr>
          <w:p w14:paraId="3001330C" w14:textId="77777777" w:rsidR="00474EAA" w:rsidRPr="00474EAA" w:rsidRDefault="00474EAA" w:rsidP="00474EAA">
            <w:r w:rsidRPr="00474EAA">
              <w:t xml:space="preserve">Corporate Cards must NOT be used for personal transactions/purchases, per AbbVie policy. </w:t>
            </w:r>
          </w:p>
        </w:tc>
      </w:tr>
      <w:tr w:rsidR="00474EAA" w:rsidRPr="00474EAA" w14:paraId="1C4F655C" w14:textId="77777777">
        <w:trPr>
          <w:tblCellSpacing w:w="15" w:type="dxa"/>
        </w:trPr>
        <w:tc>
          <w:tcPr>
            <w:tcW w:w="0" w:type="auto"/>
            <w:tcMar>
              <w:top w:w="15" w:type="dxa"/>
              <w:left w:w="15" w:type="dxa"/>
              <w:bottom w:w="15" w:type="dxa"/>
              <w:right w:w="15" w:type="dxa"/>
            </w:tcMar>
            <w:vAlign w:val="center"/>
            <w:hideMark/>
          </w:tcPr>
          <w:p w14:paraId="391957F0" w14:textId="77777777" w:rsidR="00474EAA" w:rsidRPr="00474EAA" w:rsidRDefault="00474EAA" w:rsidP="00474EAA">
            <w:r w:rsidRPr="00474EAA">
              <w:t xml:space="preserve">To learn more about our Corporate Cards, please go to </w:t>
            </w:r>
            <w:hyperlink r:id="rId9" w:history="1">
              <w:r w:rsidRPr="00474EAA">
                <w:rPr>
                  <w:rStyle w:val="Hyperlink"/>
                </w:rPr>
                <w:t>AbbVie's Global Corporate Card website.</w:t>
              </w:r>
            </w:hyperlink>
            <w:r w:rsidRPr="00474EAA">
              <w:t xml:space="preserve"> </w:t>
            </w:r>
          </w:p>
        </w:tc>
      </w:tr>
      <w:tr w:rsidR="00474EAA" w:rsidRPr="00474EAA" w14:paraId="18AFB91B" w14:textId="77777777">
        <w:trPr>
          <w:tblCellSpacing w:w="15" w:type="dxa"/>
        </w:trPr>
        <w:tc>
          <w:tcPr>
            <w:tcW w:w="0" w:type="auto"/>
            <w:tcMar>
              <w:top w:w="225" w:type="dxa"/>
              <w:left w:w="15" w:type="dxa"/>
              <w:bottom w:w="15" w:type="dxa"/>
              <w:right w:w="15" w:type="dxa"/>
            </w:tcMar>
            <w:vAlign w:val="center"/>
            <w:hideMark/>
          </w:tcPr>
          <w:p w14:paraId="2CF045BA" w14:textId="0E3A80C3" w:rsidR="00474EAA" w:rsidRPr="00474EAA" w:rsidRDefault="00474EAA" w:rsidP="00474EAA">
            <w:r w:rsidRPr="00474EAA">
              <w:drawing>
                <wp:inline distT="0" distB="0" distL="0" distR="0" wp14:anchorId="1593155E" wp14:editId="58108E93">
                  <wp:extent cx="1485900" cy="828675"/>
                  <wp:effectExtent l="0" t="0" r="0" b="9525"/>
                  <wp:docPr id="1018597541" name="Picture 8"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828675"/>
                          </a:xfrm>
                          <a:prstGeom prst="rect">
                            <a:avLst/>
                          </a:prstGeom>
                          <a:noFill/>
                          <a:ln>
                            <a:noFill/>
                          </a:ln>
                        </pic:spPr>
                      </pic:pic>
                    </a:graphicData>
                  </a:graphic>
                </wp:inline>
              </w:drawing>
            </w:r>
          </w:p>
        </w:tc>
      </w:tr>
      <w:tr w:rsidR="00474EAA" w:rsidRPr="00474EAA" w14:paraId="10177193" w14:textId="77777777">
        <w:trPr>
          <w:tblCellSpacing w:w="15" w:type="dxa"/>
        </w:trPr>
        <w:tc>
          <w:tcPr>
            <w:tcW w:w="0" w:type="auto"/>
            <w:tcBorders>
              <w:top w:val="nil"/>
              <w:left w:val="nil"/>
              <w:bottom w:val="double" w:sz="6" w:space="0" w:color="000000"/>
              <w:right w:val="nil"/>
            </w:tcBorders>
            <w:tcMar>
              <w:top w:w="225" w:type="dxa"/>
              <w:left w:w="15" w:type="dxa"/>
              <w:bottom w:w="15" w:type="dxa"/>
              <w:right w:w="15" w:type="dxa"/>
            </w:tcMar>
            <w:vAlign w:val="center"/>
            <w:hideMark/>
          </w:tcPr>
          <w:p w14:paraId="285CEDB1" w14:textId="77777777" w:rsidR="00474EAA" w:rsidRPr="00474EAA" w:rsidRDefault="00474EAA" w:rsidP="00474EAA">
            <w:pPr>
              <w:rPr>
                <w:b/>
                <w:bCs/>
              </w:rPr>
            </w:pPr>
            <w:r w:rsidRPr="00474EAA">
              <w:rPr>
                <w:b/>
                <w:bCs/>
              </w:rPr>
              <w:t>Travel:</w:t>
            </w:r>
          </w:p>
        </w:tc>
      </w:tr>
      <w:tr w:rsidR="00474EAA" w:rsidRPr="00474EAA" w14:paraId="60C6772E" w14:textId="77777777">
        <w:trPr>
          <w:tblCellSpacing w:w="15" w:type="dxa"/>
        </w:trPr>
        <w:tc>
          <w:tcPr>
            <w:tcW w:w="0" w:type="auto"/>
            <w:tcMar>
              <w:top w:w="225" w:type="dxa"/>
              <w:left w:w="15" w:type="dxa"/>
              <w:bottom w:w="15" w:type="dxa"/>
              <w:right w:w="15" w:type="dxa"/>
            </w:tcMar>
            <w:vAlign w:val="center"/>
            <w:hideMark/>
          </w:tcPr>
          <w:p w14:paraId="6E6CD8CF" w14:textId="77777777" w:rsidR="00474EAA" w:rsidRPr="00474EAA" w:rsidRDefault="00474EAA" w:rsidP="00474EAA">
            <w:r w:rsidRPr="00474EAA">
              <w:t xml:space="preserve">AbbVie uses </w:t>
            </w:r>
            <w:hyperlink r:id="rId11" w:history="1">
              <w:r w:rsidRPr="00474EAA">
                <w:rPr>
                  <w:rStyle w:val="Hyperlink"/>
                </w:rPr>
                <w:t>Concur Travel and Expense (CTE)</w:t>
              </w:r>
            </w:hyperlink>
            <w:r w:rsidRPr="00474EAA">
              <w:t xml:space="preserve"> to book business-related travel online. </w:t>
            </w:r>
          </w:p>
        </w:tc>
      </w:tr>
      <w:tr w:rsidR="00474EAA" w:rsidRPr="00474EAA" w14:paraId="2E46B8D2" w14:textId="77777777">
        <w:trPr>
          <w:tblCellSpacing w:w="15" w:type="dxa"/>
        </w:trPr>
        <w:tc>
          <w:tcPr>
            <w:tcW w:w="0" w:type="auto"/>
            <w:tcMar>
              <w:top w:w="225" w:type="dxa"/>
              <w:left w:w="15" w:type="dxa"/>
              <w:bottom w:w="15" w:type="dxa"/>
              <w:right w:w="15" w:type="dxa"/>
            </w:tcMar>
            <w:vAlign w:val="center"/>
            <w:hideMark/>
          </w:tcPr>
          <w:p w14:paraId="38D714D3" w14:textId="77777777" w:rsidR="00474EAA" w:rsidRPr="00474EAA" w:rsidRDefault="00474EAA" w:rsidP="00474EAA">
            <w:r w:rsidRPr="00474EAA">
              <w:rPr>
                <w:b/>
                <w:bCs/>
                <w:u w:val="single"/>
              </w:rPr>
              <w:t>Before travel:</w:t>
            </w:r>
            <w:r w:rsidRPr="00474EAA">
              <w:t xml:space="preserve"> </w:t>
            </w:r>
          </w:p>
        </w:tc>
      </w:tr>
      <w:tr w:rsidR="00474EAA" w:rsidRPr="00474EAA" w14:paraId="6F6DEAC6" w14:textId="77777777">
        <w:trPr>
          <w:tblCellSpacing w:w="15" w:type="dxa"/>
        </w:trPr>
        <w:tc>
          <w:tcPr>
            <w:tcW w:w="0" w:type="auto"/>
            <w:tcMar>
              <w:top w:w="225" w:type="dxa"/>
              <w:left w:w="15" w:type="dxa"/>
              <w:bottom w:w="15" w:type="dxa"/>
              <w:right w:w="15" w:type="dxa"/>
            </w:tcMar>
            <w:vAlign w:val="center"/>
            <w:hideMark/>
          </w:tcPr>
          <w:p w14:paraId="6A2D25C8" w14:textId="198DFE78" w:rsidR="00474EAA" w:rsidRPr="00474EAA" w:rsidRDefault="00474EAA" w:rsidP="00474EAA">
            <w:pPr>
              <w:numPr>
                <w:ilvl w:val="0"/>
                <w:numId w:val="1"/>
              </w:numPr>
            </w:pPr>
            <w:r w:rsidRPr="00474EAA">
              <w:t xml:space="preserve">Review </w:t>
            </w:r>
            <w:r w:rsidRPr="00474EAA">
              <w:drawing>
                <wp:inline distT="0" distB="0" distL="0" distR="0" wp14:anchorId="46A76AC6" wp14:editId="6656587F">
                  <wp:extent cx="152400" cy="152400"/>
                  <wp:effectExtent l="0" t="0" r="0" b="0"/>
                  <wp:docPr id="1411823417" name="Picture 7"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 w:history="1">
              <w:r w:rsidRPr="00474EAA">
                <w:rPr>
                  <w:rStyle w:val="Hyperlink"/>
                </w:rPr>
                <w:t>AbbVie's Travel Policy</w:t>
              </w:r>
            </w:hyperlink>
            <w:r w:rsidRPr="00474EAA">
              <w:t xml:space="preserve"> and </w:t>
            </w:r>
            <w:hyperlink r:id="rId14" w:history="1">
              <w:r w:rsidRPr="00474EAA">
                <w:rPr>
                  <w:rStyle w:val="Hyperlink"/>
                </w:rPr>
                <w:t>Global Travel Website</w:t>
              </w:r>
            </w:hyperlink>
            <w:r w:rsidRPr="00474EAA">
              <w:t xml:space="preserve"> to ensure compliance with all policies and procedures. </w:t>
            </w:r>
          </w:p>
          <w:p w14:paraId="610F4D29" w14:textId="77777777" w:rsidR="00474EAA" w:rsidRPr="00474EAA" w:rsidRDefault="00474EAA" w:rsidP="00474EAA">
            <w:pPr>
              <w:numPr>
                <w:ilvl w:val="0"/>
                <w:numId w:val="1"/>
              </w:numPr>
            </w:pPr>
            <w:r w:rsidRPr="00474EAA">
              <w:t xml:space="preserve">Make all air, hotel and car rental reservations with </w:t>
            </w:r>
            <w:hyperlink r:id="rId15" w:history="1">
              <w:r w:rsidRPr="00474EAA">
                <w:rPr>
                  <w:rStyle w:val="Hyperlink"/>
                </w:rPr>
                <w:t>Concur Travel and Expense (CTE)</w:t>
              </w:r>
            </w:hyperlink>
            <w:r w:rsidRPr="00474EAA">
              <w:t xml:space="preserve"> or BCD Travel </w:t>
            </w:r>
          </w:p>
          <w:p w14:paraId="23100021" w14:textId="77777777" w:rsidR="00474EAA" w:rsidRPr="00474EAA" w:rsidRDefault="00474EAA" w:rsidP="00474EAA">
            <w:pPr>
              <w:numPr>
                <w:ilvl w:val="1"/>
                <w:numId w:val="1"/>
              </w:numPr>
            </w:pPr>
            <w:r w:rsidRPr="00474EAA">
              <w:t>Use CTE for single destination trips with 4 flight segments or less</w:t>
            </w:r>
          </w:p>
          <w:p w14:paraId="37E1AA7C" w14:textId="77777777" w:rsidR="00474EAA" w:rsidRPr="00474EAA" w:rsidRDefault="00474EAA" w:rsidP="00474EAA">
            <w:pPr>
              <w:numPr>
                <w:ilvl w:val="1"/>
                <w:numId w:val="1"/>
              </w:numPr>
            </w:pPr>
            <w:r w:rsidRPr="00474EAA">
              <w:t>Call BCD Travel for complicated, multi-destination trips with 5 or more flight segments</w:t>
            </w:r>
          </w:p>
          <w:p w14:paraId="67562F3C" w14:textId="77777777" w:rsidR="00474EAA" w:rsidRPr="00474EAA" w:rsidRDefault="00474EAA" w:rsidP="00474EAA">
            <w:pPr>
              <w:numPr>
                <w:ilvl w:val="1"/>
                <w:numId w:val="1"/>
              </w:numPr>
            </w:pPr>
            <w:r w:rsidRPr="00474EAA">
              <w:t xml:space="preserve">BCD's contact information is located in CTE company notes page or on the </w:t>
            </w:r>
            <w:hyperlink r:id="rId16" w:history="1">
              <w:r w:rsidRPr="00474EAA">
                <w:rPr>
                  <w:rStyle w:val="Hyperlink"/>
                </w:rPr>
                <w:t>Global Travel website</w:t>
              </w:r>
            </w:hyperlink>
          </w:p>
          <w:p w14:paraId="705F08FB" w14:textId="77777777" w:rsidR="00474EAA" w:rsidRPr="00474EAA" w:rsidRDefault="00474EAA" w:rsidP="00474EAA">
            <w:pPr>
              <w:numPr>
                <w:ilvl w:val="0"/>
                <w:numId w:val="1"/>
              </w:numPr>
            </w:pPr>
            <w:r w:rsidRPr="00474EAA">
              <w:lastRenderedPageBreak/>
              <w:t xml:space="preserve">Sign up for Concur </w:t>
            </w:r>
            <w:r w:rsidRPr="00474EAA">
              <w:rPr>
                <w:b/>
                <w:bCs/>
              </w:rPr>
              <w:t>E-Receipts</w:t>
            </w:r>
            <w:r w:rsidRPr="00474EAA">
              <w:t xml:space="preserve"> </w:t>
            </w:r>
          </w:p>
          <w:p w14:paraId="08E86C83" w14:textId="77777777" w:rsidR="00474EAA" w:rsidRPr="00474EAA" w:rsidRDefault="00474EAA" w:rsidP="00474EAA">
            <w:pPr>
              <w:numPr>
                <w:ilvl w:val="1"/>
                <w:numId w:val="2"/>
              </w:numPr>
            </w:pPr>
            <w:r w:rsidRPr="00474EAA">
              <w:t xml:space="preserve">In Concur's desktop application, click </w:t>
            </w:r>
            <w:r w:rsidRPr="00474EAA">
              <w:rPr>
                <w:b/>
                <w:bCs/>
              </w:rPr>
              <w:t>Profile &gt; Profile Settings &gt; E-Receipts Activation</w:t>
            </w:r>
            <w:r w:rsidRPr="00474EAA">
              <w:t xml:space="preserve"> (in the </w:t>
            </w:r>
            <w:r w:rsidRPr="00474EAA">
              <w:rPr>
                <w:b/>
                <w:bCs/>
              </w:rPr>
              <w:t>Other Settings</w:t>
            </w:r>
            <w:r w:rsidRPr="00474EAA">
              <w:t xml:space="preserve"> section of the left-side menu). </w:t>
            </w:r>
          </w:p>
          <w:p w14:paraId="5797A3A6" w14:textId="77777777" w:rsidR="00474EAA" w:rsidRPr="00474EAA" w:rsidRDefault="00474EAA" w:rsidP="00474EAA">
            <w:pPr>
              <w:numPr>
                <w:ilvl w:val="1"/>
                <w:numId w:val="2"/>
              </w:numPr>
            </w:pPr>
            <w:r w:rsidRPr="00474EAA">
              <w:t>Electronic versions of receipt data can be sent directly to Concur to replace imaged paper receipts. (The availability and content of e-receipts vary depending on the vendor.) E-Receipts can help streamline hotel itemization in Concur.</w:t>
            </w:r>
          </w:p>
        </w:tc>
      </w:tr>
      <w:tr w:rsidR="00474EAA" w:rsidRPr="00474EAA" w14:paraId="04690B4C" w14:textId="77777777">
        <w:trPr>
          <w:tblCellSpacing w:w="15" w:type="dxa"/>
        </w:trPr>
        <w:tc>
          <w:tcPr>
            <w:tcW w:w="0" w:type="auto"/>
            <w:tcMar>
              <w:top w:w="225" w:type="dxa"/>
              <w:left w:w="15" w:type="dxa"/>
              <w:bottom w:w="15" w:type="dxa"/>
              <w:right w:w="15" w:type="dxa"/>
            </w:tcMar>
            <w:vAlign w:val="center"/>
            <w:hideMark/>
          </w:tcPr>
          <w:p w14:paraId="66D4951B" w14:textId="4635C69C" w:rsidR="00474EAA" w:rsidRPr="00474EAA" w:rsidRDefault="00474EAA" w:rsidP="00474EAA">
            <w:r w:rsidRPr="00474EAA">
              <w:lastRenderedPageBreak/>
              <w:drawing>
                <wp:inline distT="0" distB="0" distL="0" distR="0" wp14:anchorId="1FB80D8A" wp14:editId="14EC3EE6">
                  <wp:extent cx="1571625" cy="1047750"/>
                  <wp:effectExtent l="0" t="0" r="9525" b="0"/>
                  <wp:docPr id="139639375" name="Picture 6"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pic:spPr>
                      </pic:pic>
                    </a:graphicData>
                  </a:graphic>
                </wp:inline>
              </w:drawing>
            </w:r>
          </w:p>
        </w:tc>
      </w:tr>
      <w:tr w:rsidR="00474EAA" w:rsidRPr="00474EAA" w14:paraId="3F1AF86E" w14:textId="77777777">
        <w:trPr>
          <w:tblCellSpacing w:w="15" w:type="dxa"/>
        </w:trPr>
        <w:tc>
          <w:tcPr>
            <w:tcW w:w="0" w:type="auto"/>
            <w:tcBorders>
              <w:top w:val="nil"/>
              <w:left w:val="nil"/>
              <w:bottom w:val="double" w:sz="6" w:space="0" w:color="000000"/>
              <w:right w:val="nil"/>
            </w:tcBorders>
            <w:tcMar>
              <w:top w:w="225" w:type="dxa"/>
              <w:left w:w="15" w:type="dxa"/>
              <w:bottom w:w="15" w:type="dxa"/>
              <w:right w:w="15" w:type="dxa"/>
            </w:tcMar>
            <w:vAlign w:val="center"/>
            <w:hideMark/>
          </w:tcPr>
          <w:p w14:paraId="4CE317F5" w14:textId="77777777" w:rsidR="00474EAA" w:rsidRPr="00474EAA" w:rsidRDefault="00474EAA" w:rsidP="00474EAA">
            <w:pPr>
              <w:rPr>
                <w:b/>
                <w:bCs/>
              </w:rPr>
            </w:pPr>
            <w:r w:rsidRPr="00474EAA">
              <w:rPr>
                <w:b/>
                <w:bCs/>
              </w:rPr>
              <w:t xml:space="preserve">Expense Reports: </w:t>
            </w:r>
          </w:p>
        </w:tc>
      </w:tr>
      <w:tr w:rsidR="00474EAA" w:rsidRPr="00474EAA" w14:paraId="4E73AF19" w14:textId="77777777">
        <w:trPr>
          <w:tblCellSpacing w:w="15" w:type="dxa"/>
        </w:trPr>
        <w:tc>
          <w:tcPr>
            <w:tcW w:w="0" w:type="auto"/>
            <w:tcMar>
              <w:top w:w="15" w:type="dxa"/>
              <w:left w:w="15" w:type="dxa"/>
              <w:bottom w:w="15" w:type="dxa"/>
              <w:right w:w="15" w:type="dxa"/>
            </w:tcMar>
            <w:vAlign w:val="center"/>
            <w:hideMark/>
          </w:tcPr>
          <w:p w14:paraId="08B9796B" w14:textId="77777777" w:rsidR="00474EAA" w:rsidRPr="00474EAA" w:rsidRDefault="00474EAA" w:rsidP="00474EAA">
            <w:hyperlink r:id="rId18" w:history="1">
              <w:r w:rsidRPr="00474EAA">
                <w:rPr>
                  <w:rStyle w:val="Hyperlink"/>
                </w:rPr>
                <w:t>Concur Travel and Expense (CTE)</w:t>
              </w:r>
            </w:hyperlink>
            <w:r w:rsidRPr="00474EAA">
              <w:t xml:space="preserve"> is used to submit travel and Corporate Card transactions.</w:t>
            </w:r>
          </w:p>
        </w:tc>
      </w:tr>
      <w:tr w:rsidR="00474EAA" w:rsidRPr="00474EAA" w14:paraId="7AC01808" w14:textId="77777777">
        <w:trPr>
          <w:tblCellSpacing w:w="15" w:type="dxa"/>
        </w:trPr>
        <w:tc>
          <w:tcPr>
            <w:tcW w:w="0" w:type="auto"/>
            <w:tcMar>
              <w:top w:w="225" w:type="dxa"/>
              <w:left w:w="15" w:type="dxa"/>
              <w:bottom w:w="15" w:type="dxa"/>
              <w:right w:w="15" w:type="dxa"/>
            </w:tcMar>
            <w:vAlign w:val="center"/>
            <w:hideMark/>
          </w:tcPr>
          <w:p w14:paraId="471138E2" w14:textId="77777777" w:rsidR="00474EAA" w:rsidRPr="00474EAA" w:rsidRDefault="00474EAA" w:rsidP="00474EAA">
            <w:r w:rsidRPr="00474EAA">
              <w:rPr>
                <w:b/>
                <w:bCs/>
                <w:u w:val="single"/>
              </w:rPr>
              <w:t xml:space="preserve">Expense Reporting with CTE: </w:t>
            </w:r>
          </w:p>
        </w:tc>
      </w:tr>
      <w:tr w:rsidR="00474EAA" w:rsidRPr="00474EAA" w14:paraId="256A8D6C" w14:textId="77777777">
        <w:trPr>
          <w:tblCellSpacing w:w="15" w:type="dxa"/>
        </w:trPr>
        <w:tc>
          <w:tcPr>
            <w:tcW w:w="0" w:type="auto"/>
            <w:tcMar>
              <w:top w:w="225" w:type="dxa"/>
              <w:left w:w="15" w:type="dxa"/>
              <w:bottom w:w="15" w:type="dxa"/>
              <w:right w:w="15" w:type="dxa"/>
            </w:tcMar>
            <w:vAlign w:val="center"/>
            <w:hideMark/>
          </w:tcPr>
          <w:p w14:paraId="3666D442" w14:textId="77777777" w:rsidR="00474EAA" w:rsidRPr="00474EAA" w:rsidRDefault="00474EAA" w:rsidP="00474EAA">
            <w:pPr>
              <w:numPr>
                <w:ilvl w:val="0"/>
                <w:numId w:val="3"/>
              </w:numPr>
            </w:pPr>
            <w:r w:rsidRPr="00474EAA">
              <w:t xml:space="preserve">Every employee incurring expenses, whether through the Corporate Card or out-of-pocket, is required to submit an expense report in CTE within 30 days of the transaction date and in accordance with AbbVie's </w:t>
            </w:r>
            <w:hyperlink r:id="rId19" w:history="1">
              <w:r w:rsidRPr="00474EAA">
                <w:rPr>
                  <w:rStyle w:val="Hyperlink"/>
                </w:rPr>
                <w:t>Employee Business Expense Policy.</w:t>
              </w:r>
            </w:hyperlink>
            <w:r w:rsidRPr="00474EAA">
              <w:t xml:space="preserve"> </w:t>
            </w:r>
          </w:p>
          <w:p w14:paraId="21E9AA71" w14:textId="77777777" w:rsidR="00474EAA" w:rsidRPr="00474EAA" w:rsidRDefault="00474EAA" w:rsidP="00474EAA">
            <w:pPr>
              <w:numPr>
                <w:ilvl w:val="0"/>
                <w:numId w:val="3"/>
              </w:numPr>
            </w:pPr>
            <w:r w:rsidRPr="00474EAA">
              <w:t xml:space="preserve">To learn more about expense reporting and for additional resources/guidance, visit </w:t>
            </w:r>
            <w:hyperlink r:id="rId20" w:history="1">
              <w:r w:rsidRPr="00474EAA">
                <w:rPr>
                  <w:rStyle w:val="Hyperlink"/>
                </w:rPr>
                <w:t>AbbVie's SAP Learning Center</w:t>
              </w:r>
            </w:hyperlink>
            <w:r w:rsidRPr="00474EAA">
              <w:t xml:space="preserve"> (enter "Concur" in the search field).</w:t>
            </w:r>
          </w:p>
          <w:p w14:paraId="1C3C68F3" w14:textId="77777777" w:rsidR="00474EAA" w:rsidRPr="00474EAA" w:rsidRDefault="00474EAA" w:rsidP="00474EAA">
            <w:pPr>
              <w:numPr>
                <w:ilvl w:val="0"/>
                <w:numId w:val="3"/>
              </w:numPr>
            </w:pPr>
            <w:r w:rsidRPr="00474EAA">
              <w:t xml:space="preserve">Download and use the SAP Concur </w:t>
            </w:r>
            <w:r w:rsidRPr="00474EAA">
              <w:rPr>
                <w:b/>
                <w:bCs/>
              </w:rPr>
              <w:t>Mobile App</w:t>
            </w:r>
          </w:p>
          <w:p w14:paraId="5492F915" w14:textId="77777777" w:rsidR="00474EAA" w:rsidRPr="00474EAA" w:rsidRDefault="00474EAA" w:rsidP="00474EAA">
            <w:pPr>
              <w:numPr>
                <w:ilvl w:val="0"/>
                <w:numId w:val="3"/>
              </w:numPr>
            </w:pPr>
            <w:hyperlink r:id="rId21" w:history="1">
              <w:r w:rsidRPr="00474EAA">
                <w:rPr>
                  <w:rStyle w:val="Hyperlink"/>
                </w:rPr>
                <w:t>ExpenseIt</w:t>
              </w:r>
            </w:hyperlink>
            <w:r w:rsidRPr="00474EAA">
              <w:t xml:space="preserve"> is a service that turns your receipts into expense entries in CTE for you. Next time you are traveling, you don't have to wait until you get back to your computer to start your expense report--simply take photos of your receipts as you receive them, and ExpenseIt takes care of the rest by turning your receipts into expense entries automatically. Consolidate transactions and submit no more than </w:t>
            </w:r>
            <w:r w:rsidRPr="00474EAA">
              <w:lastRenderedPageBreak/>
              <w:t xml:space="preserve">1 expense report per month (for non-Field based employees). This will support cost savings for AbbVie through lower expense report volumes. </w:t>
            </w:r>
          </w:p>
        </w:tc>
      </w:tr>
      <w:tr w:rsidR="00474EAA" w:rsidRPr="00474EAA" w14:paraId="7D8654AE" w14:textId="77777777">
        <w:trPr>
          <w:tblCellSpacing w:w="15" w:type="dxa"/>
        </w:trPr>
        <w:tc>
          <w:tcPr>
            <w:tcW w:w="0" w:type="auto"/>
            <w:tcMar>
              <w:top w:w="225" w:type="dxa"/>
              <w:left w:w="15" w:type="dxa"/>
              <w:bottom w:w="15" w:type="dxa"/>
              <w:right w:w="15" w:type="dxa"/>
            </w:tcMar>
            <w:vAlign w:val="center"/>
            <w:hideMark/>
          </w:tcPr>
          <w:p w14:paraId="03C02634" w14:textId="77777777" w:rsidR="00474EAA" w:rsidRPr="00474EAA" w:rsidRDefault="00474EAA" w:rsidP="00474EAA">
            <w:pPr>
              <w:rPr>
                <w:u w:val="single"/>
              </w:rPr>
            </w:pPr>
            <w:r w:rsidRPr="00474EAA">
              <w:rPr>
                <w:b/>
                <w:bCs/>
                <w:u w:val="single"/>
              </w:rPr>
              <w:lastRenderedPageBreak/>
              <w:t>Additional Support:</w:t>
            </w:r>
            <w:r w:rsidRPr="00474EAA">
              <w:rPr>
                <w:u w:val="single"/>
              </w:rPr>
              <w:t xml:space="preserve"> </w:t>
            </w:r>
          </w:p>
        </w:tc>
      </w:tr>
      <w:tr w:rsidR="00474EAA" w:rsidRPr="00474EAA" w14:paraId="2B51D29E" w14:textId="77777777">
        <w:trPr>
          <w:tblCellSpacing w:w="15" w:type="dxa"/>
        </w:trPr>
        <w:tc>
          <w:tcPr>
            <w:tcW w:w="0" w:type="auto"/>
            <w:tcMar>
              <w:top w:w="225" w:type="dxa"/>
              <w:left w:w="15" w:type="dxa"/>
              <w:bottom w:w="15" w:type="dxa"/>
              <w:right w:w="15" w:type="dxa"/>
            </w:tcMar>
            <w:vAlign w:val="center"/>
            <w:hideMark/>
          </w:tcPr>
          <w:p w14:paraId="256B9578" w14:textId="77777777" w:rsidR="00474EAA" w:rsidRPr="00474EAA" w:rsidRDefault="00474EAA" w:rsidP="00474EAA">
            <w:r w:rsidRPr="00474EAA">
              <w:t>If you have questions or need assistance, please reach out to the respective teams at their shared mailbox:</w:t>
            </w:r>
          </w:p>
        </w:tc>
      </w:tr>
      <w:tr w:rsidR="00474EAA" w:rsidRPr="00474EAA" w14:paraId="2D58F782" w14:textId="77777777">
        <w:trPr>
          <w:tblCellSpacing w:w="15" w:type="dxa"/>
        </w:trPr>
        <w:tc>
          <w:tcPr>
            <w:tcW w:w="0" w:type="auto"/>
            <w:tcMar>
              <w:top w:w="225" w:type="dxa"/>
              <w:left w:w="15" w:type="dxa"/>
              <w:bottom w:w="15" w:type="dxa"/>
              <w:right w:w="15"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097"/>
              <w:gridCol w:w="2296"/>
              <w:gridCol w:w="3500"/>
            </w:tblGrid>
            <w:tr w:rsidR="00474EAA" w:rsidRPr="00474EAA" w14:paraId="0575E5E3" w14:textId="77777777">
              <w:tc>
                <w:tcPr>
                  <w:tcW w:w="0" w:type="auto"/>
                  <w:tcBorders>
                    <w:top w:val="outset" w:sz="6" w:space="0" w:color="auto"/>
                    <w:left w:val="outset" w:sz="6" w:space="0" w:color="auto"/>
                    <w:bottom w:val="outset" w:sz="6" w:space="0" w:color="auto"/>
                    <w:right w:val="outset" w:sz="6" w:space="0" w:color="auto"/>
                  </w:tcBorders>
                  <w:shd w:val="clear" w:color="auto" w:fill="0000FF"/>
                  <w:tcMar>
                    <w:top w:w="15" w:type="dxa"/>
                    <w:left w:w="15" w:type="dxa"/>
                    <w:bottom w:w="15" w:type="dxa"/>
                    <w:right w:w="15" w:type="dxa"/>
                  </w:tcMar>
                  <w:vAlign w:val="center"/>
                  <w:hideMark/>
                </w:tcPr>
                <w:p w14:paraId="7D09CFCF" w14:textId="77777777" w:rsidR="00474EAA" w:rsidRPr="00474EAA" w:rsidRDefault="00474EAA" w:rsidP="00474EAA">
                  <w:pPr>
                    <w:rPr>
                      <w:b/>
                      <w:bCs/>
                    </w:rPr>
                  </w:pPr>
                  <w:r w:rsidRPr="00474EAA">
                    <w:rPr>
                      <w:b/>
                      <w:bCs/>
                    </w:rPr>
                    <w:t>Corporate Card Admin Team</w:t>
                  </w:r>
                </w:p>
              </w:tc>
              <w:tc>
                <w:tcPr>
                  <w:tcW w:w="0" w:type="auto"/>
                  <w:tcBorders>
                    <w:top w:val="outset" w:sz="6" w:space="0" w:color="auto"/>
                    <w:left w:val="outset" w:sz="6" w:space="0" w:color="auto"/>
                    <w:bottom w:val="outset" w:sz="6" w:space="0" w:color="auto"/>
                    <w:right w:val="outset" w:sz="6" w:space="0" w:color="auto"/>
                  </w:tcBorders>
                  <w:shd w:val="clear" w:color="auto" w:fill="0000FF"/>
                  <w:tcMar>
                    <w:top w:w="15" w:type="dxa"/>
                    <w:left w:w="15" w:type="dxa"/>
                    <w:bottom w:w="15" w:type="dxa"/>
                    <w:right w:w="15" w:type="dxa"/>
                  </w:tcMar>
                  <w:vAlign w:val="center"/>
                  <w:hideMark/>
                </w:tcPr>
                <w:p w14:paraId="7C764549" w14:textId="77777777" w:rsidR="00474EAA" w:rsidRPr="00474EAA" w:rsidRDefault="00474EAA" w:rsidP="00474EAA">
                  <w:pPr>
                    <w:rPr>
                      <w:b/>
                      <w:bCs/>
                    </w:rPr>
                  </w:pPr>
                  <w:r w:rsidRPr="00474EAA">
                    <w:rPr>
                      <w:b/>
                      <w:bCs/>
                    </w:rPr>
                    <w:t>Travel Services Team</w:t>
                  </w:r>
                </w:p>
              </w:tc>
              <w:tc>
                <w:tcPr>
                  <w:tcW w:w="0" w:type="auto"/>
                  <w:tcBorders>
                    <w:top w:val="outset" w:sz="6" w:space="0" w:color="auto"/>
                    <w:left w:val="outset" w:sz="6" w:space="0" w:color="auto"/>
                    <w:bottom w:val="outset" w:sz="6" w:space="0" w:color="auto"/>
                    <w:right w:val="outset" w:sz="6" w:space="0" w:color="auto"/>
                  </w:tcBorders>
                  <w:shd w:val="clear" w:color="auto" w:fill="0000FF"/>
                  <w:tcMar>
                    <w:top w:w="15" w:type="dxa"/>
                    <w:left w:w="15" w:type="dxa"/>
                    <w:bottom w:w="15" w:type="dxa"/>
                    <w:right w:w="15" w:type="dxa"/>
                  </w:tcMar>
                  <w:vAlign w:val="center"/>
                  <w:hideMark/>
                </w:tcPr>
                <w:p w14:paraId="604D02EB" w14:textId="77777777" w:rsidR="00474EAA" w:rsidRPr="00474EAA" w:rsidRDefault="00474EAA" w:rsidP="00474EAA">
                  <w:pPr>
                    <w:rPr>
                      <w:b/>
                      <w:bCs/>
                    </w:rPr>
                  </w:pPr>
                  <w:r w:rsidRPr="00474EAA">
                    <w:rPr>
                      <w:b/>
                      <w:bCs/>
                    </w:rPr>
                    <w:t>Expense Reporting Team</w:t>
                  </w:r>
                </w:p>
              </w:tc>
            </w:tr>
            <w:tr w:rsidR="00474EAA" w:rsidRPr="00474EAA" w14:paraId="43AD6F25" w14:textId="77777777">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00FA40" w14:textId="77777777" w:rsidR="00474EAA" w:rsidRPr="00474EAA" w:rsidRDefault="00474EAA" w:rsidP="00474EAA">
                  <w:hyperlink r:id="rId22" w:history="1">
                    <w:r w:rsidRPr="00474EAA">
                      <w:rPr>
                        <w:rStyle w:val="Hyperlink"/>
                      </w:rPr>
                      <w:t>corporatecard@abbvie.com</w:t>
                    </w:r>
                  </w:hyperlink>
                  <w:r w:rsidRPr="00474EAA">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8D395A" w14:textId="77777777" w:rsidR="00474EAA" w:rsidRPr="00474EAA" w:rsidRDefault="00474EAA" w:rsidP="00474EAA">
                  <w:hyperlink r:id="rId23" w:history="1">
                    <w:r w:rsidRPr="00474EAA">
                      <w:rPr>
                        <w:rStyle w:val="Hyperlink"/>
                      </w:rPr>
                      <w:t>travel@abbvie.com</w:t>
                    </w:r>
                  </w:hyperlink>
                  <w:r w:rsidRPr="00474EAA">
                    <w:t xml:space="preserv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DDEBD8" w14:textId="77777777" w:rsidR="00474EAA" w:rsidRPr="00474EAA" w:rsidRDefault="00474EAA" w:rsidP="00474EAA">
                  <w:hyperlink r:id="rId24" w:history="1">
                    <w:r w:rsidRPr="00474EAA">
                      <w:rPr>
                        <w:rStyle w:val="Hyperlink"/>
                      </w:rPr>
                      <w:t>cteexpenseservices@abbvie.com</w:t>
                    </w:r>
                  </w:hyperlink>
                  <w:r w:rsidRPr="00474EAA">
                    <w:t xml:space="preserve"> </w:t>
                  </w:r>
                </w:p>
              </w:tc>
            </w:tr>
          </w:tbl>
          <w:p w14:paraId="6F8DC8B0" w14:textId="77777777" w:rsidR="00474EAA" w:rsidRPr="00474EAA" w:rsidRDefault="00474EAA" w:rsidP="00474EAA"/>
        </w:tc>
      </w:tr>
      <w:tr w:rsidR="00474EAA" w:rsidRPr="00474EAA" w14:paraId="518D9148" w14:textId="77777777">
        <w:trPr>
          <w:tblCellSpacing w:w="15" w:type="dxa"/>
        </w:trPr>
        <w:tc>
          <w:tcPr>
            <w:tcW w:w="0" w:type="auto"/>
            <w:tcMar>
              <w:top w:w="15" w:type="dxa"/>
              <w:left w:w="15" w:type="dxa"/>
              <w:bottom w:w="15" w:type="dxa"/>
              <w:right w:w="15" w:type="dxa"/>
            </w:tcMar>
            <w:vAlign w:val="center"/>
            <w:hideMark/>
          </w:tcPr>
          <w:p w14:paraId="491BFB89" w14:textId="77777777" w:rsidR="00474EAA" w:rsidRPr="00474EAA" w:rsidRDefault="00474EAA" w:rsidP="00474EAA">
            <w:r w:rsidRPr="00474EAA">
              <w:t xml:space="preserve">This email was sent from a mailbox which is not monitored, replies to this email will not be received </w:t>
            </w:r>
          </w:p>
        </w:tc>
      </w:tr>
    </w:tbl>
    <w:p w14:paraId="16B19533" w14:textId="77777777" w:rsidR="00512A69" w:rsidRDefault="00512A69"/>
    <w:sectPr w:rsidR="0051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D29CE"/>
    <w:multiLevelType w:val="multilevel"/>
    <w:tmpl w:val="DB18D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3850E00"/>
    <w:multiLevelType w:val="multilevel"/>
    <w:tmpl w:val="8E1EA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6847002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4369797">
    <w:abstractNumId w:val="0"/>
    <w:lvlOverride w:ilvl="0">
      <w:startOverride w:val="1"/>
    </w:lvlOverride>
    <w:lvlOverride w:ilvl="1">
      <w:lvl w:ilvl="1">
        <w:start w:val="1"/>
        <w:numFmt w:val="lowerLetter"/>
        <w:lvlText w:val="%2."/>
        <w:lvlJc w:val="left"/>
        <w:pPr>
          <w:ind w:left="0" w:firstLine="0"/>
        </w:pPr>
        <w:rPr>
          <w:rFonts w:ascii="Courier New" w:hAnsi="Courier New"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5388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AA"/>
    <w:rsid w:val="0014043D"/>
    <w:rsid w:val="00474EAA"/>
    <w:rsid w:val="00512A69"/>
    <w:rsid w:val="007318D3"/>
    <w:rsid w:val="009419D3"/>
    <w:rsid w:val="00C05056"/>
    <w:rsid w:val="00C3596C"/>
    <w:rsid w:val="00D55B01"/>
    <w:rsid w:val="00E11B01"/>
    <w:rsid w:val="00E1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DD6A"/>
  <w15:chartTrackingRefBased/>
  <w15:docId w15:val="{F0DD2F95-C591-40D5-8F48-1C80C493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EAA"/>
    <w:rPr>
      <w:rFonts w:eastAsiaTheme="majorEastAsia" w:cstheme="majorBidi"/>
      <w:color w:val="272727" w:themeColor="text1" w:themeTint="D8"/>
    </w:rPr>
  </w:style>
  <w:style w:type="paragraph" w:styleId="Title">
    <w:name w:val="Title"/>
    <w:basedOn w:val="Normal"/>
    <w:next w:val="Normal"/>
    <w:link w:val="TitleChar"/>
    <w:uiPriority w:val="10"/>
    <w:qFormat/>
    <w:rsid w:val="0047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EAA"/>
    <w:pPr>
      <w:spacing w:before="160"/>
      <w:jc w:val="center"/>
    </w:pPr>
    <w:rPr>
      <w:i/>
      <w:iCs/>
      <w:color w:val="404040" w:themeColor="text1" w:themeTint="BF"/>
    </w:rPr>
  </w:style>
  <w:style w:type="character" w:customStyle="1" w:styleId="QuoteChar">
    <w:name w:val="Quote Char"/>
    <w:basedOn w:val="DefaultParagraphFont"/>
    <w:link w:val="Quote"/>
    <w:uiPriority w:val="29"/>
    <w:rsid w:val="00474EAA"/>
    <w:rPr>
      <w:i/>
      <w:iCs/>
      <w:color w:val="404040" w:themeColor="text1" w:themeTint="BF"/>
    </w:rPr>
  </w:style>
  <w:style w:type="paragraph" w:styleId="ListParagraph">
    <w:name w:val="List Paragraph"/>
    <w:basedOn w:val="Normal"/>
    <w:uiPriority w:val="34"/>
    <w:qFormat/>
    <w:rsid w:val="00474EAA"/>
    <w:pPr>
      <w:ind w:left="720"/>
      <w:contextualSpacing/>
    </w:pPr>
  </w:style>
  <w:style w:type="character" w:styleId="IntenseEmphasis">
    <w:name w:val="Intense Emphasis"/>
    <w:basedOn w:val="DefaultParagraphFont"/>
    <w:uiPriority w:val="21"/>
    <w:qFormat/>
    <w:rsid w:val="00474EAA"/>
    <w:rPr>
      <w:i/>
      <w:iCs/>
      <w:color w:val="0F4761" w:themeColor="accent1" w:themeShade="BF"/>
    </w:rPr>
  </w:style>
  <w:style w:type="paragraph" w:styleId="IntenseQuote">
    <w:name w:val="Intense Quote"/>
    <w:basedOn w:val="Normal"/>
    <w:next w:val="Normal"/>
    <w:link w:val="IntenseQuoteChar"/>
    <w:uiPriority w:val="30"/>
    <w:qFormat/>
    <w:rsid w:val="0047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EAA"/>
    <w:rPr>
      <w:i/>
      <w:iCs/>
      <w:color w:val="0F4761" w:themeColor="accent1" w:themeShade="BF"/>
    </w:rPr>
  </w:style>
  <w:style w:type="character" w:styleId="IntenseReference">
    <w:name w:val="Intense Reference"/>
    <w:basedOn w:val="DefaultParagraphFont"/>
    <w:uiPriority w:val="32"/>
    <w:qFormat/>
    <w:rsid w:val="00474EAA"/>
    <w:rPr>
      <w:b/>
      <w:bCs/>
      <w:smallCaps/>
      <w:color w:val="0F4761" w:themeColor="accent1" w:themeShade="BF"/>
      <w:spacing w:val="5"/>
    </w:rPr>
  </w:style>
  <w:style w:type="character" w:styleId="Hyperlink">
    <w:name w:val="Hyperlink"/>
    <w:basedOn w:val="DefaultParagraphFont"/>
    <w:uiPriority w:val="99"/>
    <w:unhideWhenUsed/>
    <w:rsid w:val="00474EAA"/>
    <w:rPr>
      <w:color w:val="467886" w:themeColor="hyperlink"/>
      <w:u w:val="single"/>
    </w:rPr>
  </w:style>
  <w:style w:type="character" w:styleId="UnresolvedMention">
    <w:name w:val="Unresolved Mention"/>
    <w:basedOn w:val="DefaultParagraphFont"/>
    <w:uiPriority w:val="99"/>
    <w:semiHidden/>
    <w:unhideWhenUsed/>
    <w:rsid w:val="00474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2b2.abbvienet.com/" TargetMode="External"/><Relationship Id="rId13" Type="http://schemas.openxmlformats.org/officeDocument/2006/relationships/hyperlink" Target="https://abbvie.sharepoint.com/teams/OVPortal/Shared%20Documents/United%20States%20IL%20Lake%20County%20-%20QA%20(Operations)/Operations/Policy/OneV-1506293.pdf" TargetMode="External"/><Relationship Id="rId18" Type="http://schemas.openxmlformats.org/officeDocument/2006/relationships/hyperlink" Target="https://nam12.safelinks.protection.outlook.com/?url=https%3A%2F%2Fcte.abbvie.com%2F%23%2F%3D05%257C02%257Cmolly.gross%40abbvie.com%257C5c8743d39747468e0d4708dc2be9c5ba%257C6f4d03de95514ba1a25bdce6f5ab7ace%257C0%257C0%257C638433530243281823%257CUnknown%257CTWFpbGZsb3d8eyJWIjoiMC4wLjAwMDAiLCJQIjoiV2luMzIiLCJBTiI6Ik1haWwiLCJXVCI6Mn0%3D%257C0%257C%257C%257C%3DgeWRVKLqD2pxPPVpH8qDI%2F4Qe868VaP%2FwxZYKfUagTM%3D%3D0&amp;data=05%7C02%7Csuyash.nagumalli%40abbvie.com%7C4a3369f7973c45647d4108ddf5218761%7C6f4d03de95514ba1a25bdce6f5ab7ace%7C0%7C0%7C638936248204513178%7CUnknown%7CTWFpbGZsb3d8eyJFbXB0eU1hcGkiOnRydWUsIlYiOiIwLjAuMDAwMCIsIlAiOiJXaW4zMiIsIkFOIjoiTWFpbCIsIldUIjoyfQ%3D%3D%7C0%7C%7C%7C&amp;sdata=FaMyRhx84FCIF6pvj2ebs5G5P%2FhVr6eAz9IvjxU4h4Q%3D&amp;reserved=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po.abbvienet.com/GPOTraining/Simulations/CTE/ExpenseIT%20for%20mobile%20app.pdf" TargetMode="External"/><Relationship Id="rId7" Type="http://schemas.openxmlformats.org/officeDocument/2006/relationships/hyperlink" Target="https://abbvie1.outsystemsenterprise.com/Cards/Home"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bbvie.sharepoint.com/teams/GlobalTravel/SitePages/Travel_Agency_Services.aspx" TargetMode="External"/><Relationship Id="rId20" Type="http://schemas.openxmlformats.org/officeDocument/2006/relationships/hyperlink" Target="https://spteams.abbvienet.com/corp/aslc/Pages/ProcessSteps.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am12.safelinks.protection.outlook.com/?url=https%3A%2F%2Fcte.abbvie.com%2F%23%2F%3D05%257C02%257Cmolly.gross%40abbvie.com%257C5c8743d39747468e0d4708dc2be9c5ba%257C6f4d03de95514ba1a25bdce6f5ab7ace%257C0%257C0%257C638433530243281823%257CUnknown%257CTWFpbGZsb3d8eyJWIjoiMC4wLjAwMDAiLCJQIjoiV2luMzIiLCJBTiI6Ik1haWwiLCJXVCI6Mn0%3D%257C0%257C%257C%257C%3DgeWRVKLqD2pxPPVpH8qDI%2F4Qe868VaP%2FwxZYKfUagTM%3D%3D0&amp;data=05%7C02%7Csuyash.nagumalli%40abbvie.com%7C4a3369f7973c45647d4108ddf5218761%7C6f4d03de95514ba1a25bdce6f5ab7ace%7C0%7C0%7C638936248204423364%7CUnknown%7CTWFpbGZsb3d8eyJFbXB0eU1hcGkiOnRydWUsIlYiOiIwLjAuMDAwMCIsIlAiOiJXaW4zMiIsIkFOIjoiTWFpbCIsIldUIjoyfQ%3D%3D%7C0%7C%7C%7C&amp;sdata=lwD7jXVXJQnvAq7AAFc4ORciJrtpyU7KfrT1KKF6uSw%3D&amp;reserved=0" TargetMode="External"/><Relationship Id="rId24" Type="http://schemas.openxmlformats.org/officeDocument/2006/relationships/hyperlink" Target="mailto:cteexpenseservices@abbvie.com" TargetMode="External"/><Relationship Id="rId5" Type="http://schemas.openxmlformats.org/officeDocument/2006/relationships/image" Target="media/image1.png"/><Relationship Id="rId15" Type="http://schemas.openxmlformats.org/officeDocument/2006/relationships/hyperlink" Target="https://nam12.safelinks.protection.outlook.com/?url=https%3A%2F%2Fcte.abbvie.com%2F%23%2F%3D05%257C02%257Cmolly.gross%40abbvie.com%257C5c8743d39747468e0d4708dc2be9c5ba%257C6f4d03de95514ba1a25bdce6f5ab7ace%257C0%257C0%257C638433530243281823%257CUnknown%257CTWFpbGZsb3d8eyJWIjoiMC4wLjAwMDAiLCJQIjoiV2luMzIiLCJBTiI6Ik1haWwiLCJXVCI6Mn0%3D%257C0%257C%257C%257C%3DgeWRVKLqD2pxPPVpH8qDI%2F4Qe868VaP%2FwxZYKfUagTM%3D%3D0&amp;data=05%7C02%7Csuyash.nagumalli%40abbvie.com%7C4a3369f7973c45647d4108ddf5218761%7C6f4d03de95514ba1a25bdce6f5ab7ace%7C0%7C0%7C638936248204473358%7CUnknown%7CTWFpbGZsb3d8eyJFbXB0eU1hcGkiOnRydWUsIlYiOiIwLjAuMDAwMCIsIlAiOiJXaW4zMiIsIkFOIjoiTWFpbCIsIldUIjoyfQ%3D%3D%7C0%7C%7C%7C&amp;sdata=1ZoCUAgQS5sEr%2FkuCch1O1O5IAlnebjLbOwb10sMxII%3D&amp;reserved=0" TargetMode="External"/><Relationship Id="rId23" Type="http://schemas.openxmlformats.org/officeDocument/2006/relationships/hyperlink" Target="mailto:travel@abbvie.com" TargetMode="External"/><Relationship Id="rId10" Type="http://schemas.openxmlformats.org/officeDocument/2006/relationships/image" Target="media/image3.jpeg"/><Relationship Id="rId19" Type="http://schemas.openxmlformats.org/officeDocument/2006/relationships/hyperlink" Target="https://abbvie.sharepoint.com/teams/acctgcoe/policies/Policies/CFM5010.AV.pdf?web=1" TargetMode="External"/><Relationship Id="rId4" Type="http://schemas.openxmlformats.org/officeDocument/2006/relationships/webSettings" Target="webSettings.xml"/><Relationship Id="rId9" Type="http://schemas.openxmlformats.org/officeDocument/2006/relationships/hyperlink" Target="https://abbvie.sharepoint.com/teams/CC/SitePages/United-States.aspx" TargetMode="External"/><Relationship Id="rId14" Type="http://schemas.openxmlformats.org/officeDocument/2006/relationships/hyperlink" Target="https://abbvie.sharepoint.com/teams/GlobalTravel/SitePages/home.aspx" TargetMode="External"/><Relationship Id="rId22" Type="http://schemas.openxmlformats.org/officeDocument/2006/relationships/hyperlink" Target="mailto:Corporatecard@abbv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6087</Characters>
  <Application>Microsoft Office Word</Application>
  <DocSecurity>0</DocSecurity>
  <Lines>50</Lines>
  <Paragraphs>14</Paragraphs>
  <ScaleCrop>false</ScaleCrop>
  <Company>Abbvie</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Nagumalli, Suyash</dc:creator>
  <cp:keywords/>
  <dc:description/>
  <cp:lastModifiedBy>Nagumalli, Suyash</cp:lastModifiedBy>
  <cp:revision>1</cp:revision>
  <dcterms:created xsi:type="dcterms:W3CDTF">2025-09-16T15:49:00Z</dcterms:created>
  <dcterms:modified xsi:type="dcterms:W3CDTF">2025-09-16T15:50:00Z</dcterms:modified>
</cp:coreProperties>
</file>