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year</w:t>
      </w:r>
      <w:r>
        <w:t xml:space="preserve"> </w:t>
      </w:r>
      <w:r>
        <w:t xml:space="preserve">progress</w:t>
      </w:r>
      <w:r>
        <w:t xml:space="preserve"> </w:t>
      </w:r>
      <w:r>
        <w:t xml:space="preserve">review</w:t>
      </w:r>
    </w:p>
    <w:p>
      <w:pPr>
        <w:pStyle w:val="Author"/>
      </w:pPr>
      <w:r>
        <w:t xml:space="preserve">Nicholas</w:t>
      </w:r>
      <w:r>
        <w:t xml:space="preserve"> </w:t>
      </w:r>
      <w:r>
        <w:t xml:space="preserve">Harbour</w:t>
      </w:r>
    </w:p>
    <w:p>
      <w:pPr>
        <w:pStyle w:val="Date"/>
      </w:pPr>
      <w:r>
        <w:t xml:space="preserve">2024-09-02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Thanks to my supervisors: Markus Owen and Matthew Hubbard!!</w:t>
      </w:r>
    </w:p>
    <w:p>
      <w:pPr>
        <w:pStyle w:val="BodyText"/>
      </w:pPr>
      <w:r>
        <w:t xml:space="preserve">This is a Quarto book.</w:t>
      </w:r>
    </w:p>
    <w:p>
      <w:pPr>
        <w:pStyle w:val="BodyText"/>
      </w:pPr>
      <w:r>
        <w:t xml:space="preserve">Example reference</w:t>
      </w:r>
      <w:r>
        <w:t xml:space="preserve"> </w:t>
      </w:r>
      <w:r>
        <w:t xml:space="preserve">(Knuth 1984)</w:t>
      </w:r>
    </w:p>
    <w:bookmarkEnd w:id="20"/>
    <w:bookmarkStart w:id="57" w:name="sec-lit-review"/>
    <w:p>
      <w:pPr>
        <w:pStyle w:val="Heading1"/>
      </w:pPr>
      <w:r>
        <w:t xml:space="preserve">1. Literature review</w:t>
      </w:r>
    </w:p>
    <w:p>
      <w:pPr>
        <w:pStyle w:val="FirstParagraph"/>
      </w:pPr>
      <w:r>
        <w:t xml:space="preserve">In this chapter we present a brief literature review of stem cells in cancer and the modeling approaches that have been used.</w:t>
      </w:r>
    </w:p>
    <w:bookmarkStart w:id="21" w:name="sec-introduction"/>
    <w:p>
      <w:pPr>
        <w:pStyle w:val="Heading2"/>
      </w:pPr>
      <w:r>
        <w:t xml:space="preserve">1.1 Introduction</w:t>
      </w:r>
    </w:p>
    <w:p>
      <w:pPr>
        <w:pStyle w:val="FirstParagraph"/>
      </w:pPr>
      <w:r>
        <w:t xml:space="preserve">Stem cells are defined as cells that have the ability to perpetuate themselves through self-renewal and to generate mature cells of a particular tissue through differentiation</w:t>
      </w:r>
      <w:r>
        <w:t xml:space="preserve"> </w:t>
      </w:r>
      <w:r>
        <w:t xml:space="preserve">(Reya et al. 2001)</w:t>
      </w:r>
      <w:r>
        <w:t xml:space="preserve">. Stem cells are fundamental to tissue maintenance and repair; they also play a critical role in cancer development and in determining the outcomes of cancer treatment</w:t>
      </w:r>
      <w:r>
        <w:t xml:space="preserve"> </w:t>
      </w:r>
      <w:r>
        <w:t xml:space="preserve">(Weiss, Komarova, and Rodriguez-Brenes 2017)</w:t>
      </w:r>
      <w:r>
        <w:t xml:space="preserve">.</w:t>
      </w:r>
    </w:p>
    <w:bookmarkEnd w:id="21"/>
    <w:bookmarkStart w:id="22" w:name="sec-stem-cells-in-cancer"/>
    <w:p>
      <w:pPr>
        <w:pStyle w:val="Heading2"/>
      </w:pPr>
      <w:r>
        <w:t xml:space="preserve">1.2 Stem cells in cancer</w:t>
      </w:r>
    </w:p>
    <w:p>
      <w:pPr>
        <w:pStyle w:val="FirstParagraph"/>
      </w:pPr>
      <w:r>
        <w:t xml:space="preserve">Perhaps the most important and useful property of stem cells is that of self-renewal. Self-renewal is crucial to stem cell function, because it is required by the majority of stem cells to persist for the lifetime of the animal. Moreover, whereas stem cells from different organs may vary in their developmental potential, all stem cells must self-renew and regulate the relative balance between self-renewal and differentiation. Understanding the regulation of normal stem cell self-renewal is also fundamental to understanding the regulation of cancer cell proliferation, because cancer can be considered to be a disease of unregulated self-renewal</w:t>
      </w:r>
      <w:r>
        <w:t xml:space="preserve"> </w:t>
      </w:r>
      <w:r>
        <w:t xml:space="preserve">(Reya et al. 2001)</w:t>
      </w:r>
      <w:r>
        <w:t xml:space="preserve">.</w:t>
      </w:r>
    </w:p>
    <w:p>
      <w:pPr>
        <w:pStyle w:val="BodyText"/>
      </w:pPr>
      <w:r>
        <w:t xml:space="preserve">Numerous arguments suggest a stem-cell origin for human cancers. First, it is worth noting that stem cells possess many of the features that constitute the tumour phenotype, including self-renewal and essentially unlimited replicative potential</w:t>
      </w:r>
      <w:r>
        <w:t xml:space="preserve"> </w:t>
      </w:r>
      <w:r>
        <w:t xml:space="preserve">(Hanahan and Weinberg 2000)</w:t>
      </w:r>
      <w:r>
        <w:t xml:space="preserve">. Second, the mutations that initiate tumour formation seem to accumulate in cells that persist throughout life, as suggested by the exponential increase of cancer incidence with age</w:t>
      </w:r>
      <w:r>
        <w:t xml:space="preserve"> </w:t>
      </w:r>
      <w:r>
        <w:t xml:space="preserve">(Meza et al. 2008)</w:t>
      </w:r>
      <w:r>
        <w:t xml:space="preserve">. This is thought to reflect a requirement for between four and seven mutations in a single cell to effect malignant transformation</w:t>
      </w:r>
      <w:r>
        <w:t xml:space="preserve"> </w:t>
      </w:r>
      <w:r>
        <w:t xml:space="preserve">(Hanahan and Weinberg 2000)</w:t>
      </w:r>
      <w:r>
        <w:t xml:space="preserve">. Similarly, cancer formation from cells that persist throughout life is suggested by an increased incidence in adults of skin tumours such as melanoma after higher childhood exposure to a mutagenic agent such as ultraviolet solar radiation</w:t>
      </w:r>
      <w:r>
        <w:t xml:space="preserve"> </w:t>
      </w:r>
      <w:r>
        <w:t xml:space="preserve">(Balk 2011)</w:t>
      </w:r>
      <w:r>
        <w:t xml:space="preserve">. Normal somatic stem cells are strong candidates for such persistent cells. An alternative explanation would be that mutation within a more differentiated cell might break the normal growth-regulatory mechanisms that limit its proliferative capacity and result in a persistent clone of proliferating cells. However, this seems less likely because non-stem cells are generally destined for terminal differentiation within a time window too short for acquisition of sequential mutations that must affect two copies of a wild-type tumour suppressor</w:t>
      </w:r>
      <w:r>
        <w:t xml:space="preserve"> </w:t>
      </w:r>
      <w:r>
        <w:t xml:space="preserve">(Reya et al. 2001)</w:t>
      </w:r>
      <w:r>
        <w:t xml:space="preserve">.</w:t>
      </w:r>
    </w:p>
    <w:p>
      <w:pPr>
        <w:pStyle w:val="BodyText"/>
      </w:pPr>
      <w:r>
        <w:t xml:space="preserve">The identification of a stem cell origin for human cancers was first identified in leukaemia’s, perhaps because the hight fraction of stem cells in haematopoietic system, when it was discovered that some, but not all, cancer cells where able to initiate tumours of the blood</w:t>
      </w:r>
      <w:r>
        <w:t xml:space="preserve"> </w:t>
      </w:r>
      <w:r>
        <w:t xml:space="preserve">(Taipale and Beachy 2001; Lapidot et al. 1994; Bonnet and Dick 1997)</w:t>
      </w:r>
      <w:r>
        <w:t xml:space="preserve">. More recently CSCs have been identified in many solid tumours including breast, colon and brain</w:t>
      </w:r>
      <w:r>
        <w:t xml:space="preserve"> </w:t>
      </w:r>
      <w:r>
        <w:t xml:space="preserve">(Al-Hajj et al. 2003; Ricci-Vitiani et al. 2007; Ignatova et al. 2002; Hemmati et al. 2003; Singh et al. 2004; Galli et al. 2004)</w:t>
      </w:r>
      <w:r>
        <w:t xml:space="preserve">. In GBM, cells expressing the CD133 cell surface protein marker (also found on neural stem cells) have been identified as having stem cell properties</w:t>
      </w:r>
      <w:r>
        <w:t xml:space="preserve"> </w:t>
      </w:r>
      <w:r>
        <w:rPr>
          <w:i/>
          <w:iCs/>
        </w:rPr>
        <w:t xml:space="preserve">in vitro</w:t>
      </w:r>
      <w:r>
        <w:t xml:space="preserve"> </w:t>
      </w:r>
      <w:r>
        <w:t xml:space="preserve">(Singh et al. 2003)</w:t>
      </w:r>
      <w:r>
        <w:t xml:space="preserve">. Furthermore, when tested using a xenograft assay, it was found that injection of as few as 100 CD133+ cells produced a tumour that could be serially transplanted and was phenotypically similar to the patients original tumour, while injection of</w:t>
      </w:r>
      <w:r>
        <w:t xml:space="preserve"> </w:t>
      </w:r>
      <m:oMath>
        <m:sSup>
          <m:e>
            <m:r>
              <m:t>10</m:t>
            </m:r>
          </m:e>
          <m:sup>
            <m:r>
              <m:t>5</m:t>
            </m:r>
          </m:sup>
        </m:sSup>
      </m:oMath>
      <w:r>
        <w:t xml:space="preserve"> </w:t>
      </w:r>
      <w:r>
        <w:t xml:space="preserve">CD133- cells engrafted but did not cause a tumour</w:t>
      </w:r>
      <w:r>
        <w:t xml:space="preserve"> </w:t>
      </w:r>
      <w:r>
        <w:t xml:space="preserve">(Singh et al. 2004)</w:t>
      </w:r>
      <w:r>
        <w:t xml:space="preserve">. This provides strong evidence that there is a small subpopulation of glioma stem cells that have the unique ability to initiate tumours, while the majority of cells cannot.</w:t>
      </w:r>
    </w:p>
    <w:bookmarkEnd w:id="22"/>
    <w:bookmarkStart w:id="23" w:name="X8a63d4ba5d8285e8f2d30aa1db805787eba0b78"/>
    <w:p>
      <w:pPr>
        <w:pStyle w:val="Heading2"/>
      </w:pPr>
      <w:r>
        <w:t xml:space="preserve">1.3 Cancer stem cells and treatment resistance</w:t>
      </w:r>
    </w:p>
    <w:p>
      <w:pPr>
        <w:pStyle w:val="FirstParagraph"/>
      </w:pPr>
      <w:r>
        <w:t xml:space="preserve">Radiation therapy is the most common form of treatment across all cancers, with around 50% of all cancer patients receiving radiotherapy at some point in their treatment</w:t>
      </w:r>
      <w:r>
        <w:t xml:space="preserve"> </w:t>
      </w:r>
      <w:r>
        <w:t xml:space="preserve">(Baskar et al. 2012)</w:t>
      </w:r>
      <w:r>
        <w:t xml:space="preserve">. However, in addition to being tumor initiating, CSCs are highly resistant to both radio- and chemo-therapy through preferential activation of the DNA damage checkpoint response and an increase in DNA repair capacity</w:t>
      </w:r>
      <w:r>
        <w:t xml:space="preserve"> </w:t>
      </w:r>
      <w:r>
        <w:t xml:space="preserve">(Bao et al. 2006; Tang et al. 2021; Rich 2007; Schonberg et al. 2014)</w:t>
      </w:r>
      <w:r>
        <w:t xml:space="preserve">. In glioma, experimental results have shown that both in culture and mouse models CD133-expressing stem cells survive radiation in larger proportions than the majority of tumour cells which lack CD133 expression; these results suggest that CSC confer radio-resistance in GBM and ultimately are the source of tumour recurrence after radiation</w:t>
      </w:r>
      <w:r>
        <w:t xml:space="preserve"> </w:t>
      </w:r>
      <w:r>
        <w:t xml:space="preserve">(Bao et al. 2006)</w:t>
      </w:r>
      <w:r>
        <w:t xml:space="preserve">.</w:t>
      </w:r>
    </w:p>
    <w:p>
      <w:pPr>
        <w:pStyle w:val="BodyText"/>
      </w:pPr>
      <w:r>
        <w:t xml:space="preserve">In addition to being resistant to treatment CSCs also engage in a synergistic relationship with the surrounding tumor microenvironment (TME) to promote angiogenesis, proliferation, migration, tumor survival, and immune evasion</w:t>
      </w:r>
      <w:r>
        <w:t xml:space="preserve"> </w:t>
      </w:r>
      <w:r>
        <w:t xml:space="preserve">(Ma et al. 2018; Rich 2007)</w:t>
      </w:r>
      <w:r>
        <w:t xml:space="preserve">. Taken together this highlights the important role CSC play in determining tumour response to therapy. There is a desperate need for targeted therapies that either directly kill CSCs or sensitize CSCs to cytotoxic therapies in order to improve treatment outcomes.</w:t>
      </w:r>
    </w:p>
    <w:bookmarkEnd w:id="23"/>
    <w:bookmarkStart w:id="44" w:name="X25303973c6f5bf44616cee44cde2525a77bf639"/>
    <w:p>
      <w:pPr>
        <w:pStyle w:val="Heading2"/>
      </w:pPr>
      <w:r>
        <w:t xml:space="preserve">1.4 Mathematical models of cancer stem cell dynamics</w:t>
      </w:r>
    </w:p>
    <w:p>
      <w:pPr>
        <w:pStyle w:val="FirstParagraph"/>
      </w:pPr>
      <w:r>
        <w:t xml:space="preserve">Many different mathematical models have been developed to model stem cell dynamics. Understanding CSC kinetics and interaction with their non-stem counterparts is still spares and theoretic/mathematical models may help elucidate their role in cancer progression and treatment response. Here we focus on a small subset of models that are used in the literature that cover a wide range of modelling techniques.</w:t>
      </w:r>
    </w:p>
    <w:p>
      <w:pPr>
        <w:pStyle w:val="BodyText"/>
      </w:pPr>
      <w:r>
        <w:t xml:space="preserve">Many of the following models use slightly different terminology to refer to the non-stem cell population such as cancer cell, progenitor cells or tumour cells, for clarity we will refer to non-stem cells always as tumour cells (TCs) throughout this review.</w:t>
      </w:r>
    </w:p>
    <w:bookmarkStart w:id="26" w:name="sec-agent-based-model"/>
    <w:p>
      <w:pPr>
        <w:pStyle w:val="Heading3"/>
      </w:pPr>
      <w:r>
        <w:t xml:space="preserve">1.4.1 Agent-based model</w:t>
      </w:r>
    </w:p>
    <w:p>
      <w:pPr>
        <w:pStyle w:val="FirstParagraph"/>
      </w:pPr>
      <w:r>
        <w:t xml:space="preserve">in</w:t>
      </w:r>
      <w:r>
        <w:t xml:space="preserve"> </w:t>
      </w:r>
      <w:r>
        <w:t xml:space="preserve">(Enderling et al. 2009)</w:t>
      </w:r>
      <w:r>
        <w:t xml:space="preserve"> </w:t>
      </w:r>
      <w:r>
        <w:t xml:space="preserve">and</w:t>
      </w:r>
      <w:r>
        <w:t xml:space="preserve"> </w:t>
      </w:r>
      <w:r>
        <w:t xml:space="preserve">(Gao et al. 2013)</w:t>
      </w:r>
      <w:r>
        <w:t xml:space="preserve"> </w:t>
      </w:r>
      <w:r>
        <w:t xml:space="preserve">the authors develop an agent-based model (ABM) to study the dynamics of CSCs and TCs in a tumour. It is assumed that tumours are a heterogenous mix of CSCs and TCs. Cells are considered as individual entities with a cell cycle and limited proliferation capacity</w:t>
      </w:r>
      <w:r>
        <w:t xml:space="preserve"> </w:t>
      </w:r>
      <m:oMath>
        <m:r>
          <m:t>ρ</m:t>
        </m:r>
        <m:r>
          <m:rPr>
            <m:sty m:val="p"/>
          </m:rPr>
          <m:t>=</m:t>
        </m:r>
        <m:d>
          <m:dPr>
            <m:begChr m:val="["/>
            <m:endChr m:val="]"/>
            <m:sepChr m:val=""/>
            <m:grow/>
          </m:dPr>
          <m:e>
            <m:r>
              <m:t>0</m:t>
            </m:r>
            <m:r>
              <m:rPr>
                <m:sty m:val="p"/>
              </m:rPr>
              <m:t>,</m:t>
            </m:r>
            <m:sSub>
              <m:e>
                <m:r>
                  <m:t>ρ</m:t>
                </m:r>
              </m:e>
              <m:sub>
                <m:r>
                  <m:rPr>
                    <m:nor/>
                    <m:sty m:val="p"/>
                  </m:rPr>
                  <m:t>max</m:t>
                </m:r>
              </m:sub>
            </m:sSub>
          </m:e>
        </m:d>
      </m:oMath>
      <w:r>
        <w:t xml:space="preserve">. CSCs have unlimited self-renewal, hence</w:t>
      </w:r>
      <w:r>
        <w:t xml:space="preserve"> </w:t>
      </w:r>
      <m:oMath>
        <m:sSub>
          <m:e>
            <m:r>
              <m:t>ρ</m:t>
            </m:r>
          </m:e>
          <m:sub>
            <m:r>
              <m:rPr>
                <m:nor/>
                <m:sty m:val="p"/>
              </m:rPr>
              <m:t>max</m:t>
            </m:r>
          </m:sub>
        </m:sSub>
        <m:r>
          <m:rPr>
            <m:sty m:val="p"/>
          </m:rPr>
          <m:t>=</m:t>
        </m:r>
        <m:r>
          <m:rPr>
            <m:sty m:val="p"/>
          </m:rPr>
          <m:t>∞</m:t>
        </m:r>
      </m:oMath>
      <w:r>
        <w:t xml:space="preserve">. At each cell division CSCs can undergo symmetric division with probability</w:t>
      </w:r>
      <w:r>
        <w:t xml:space="preserve"> </w:t>
      </w:r>
      <m:oMath>
        <m:r>
          <m:t>δ</m:t>
        </m:r>
      </m:oMath>
      <w:r>
        <w:t xml:space="preserve"> </w:t>
      </w:r>
      <w:r>
        <w:t xml:space="preserve">or asymmetric division with probability</w:t>
      </w:r>
      <w:r>
        <w:t xml:space="preserve"> </w:t>
      </w:r>
      <m:oMath>
        <m:r>
          <m:t>1</m:t>
        </m:r>
        <m:r>
          <m:rPr>
            <m:sty m:val="p"/>
          </m:rPr>
          <m:t>−</m:t>
        </m:r>
        <m:r>
          <m:t>δ</m:t>
        </m:r>
      </m:oMath>
      <w:r>
        <w:t xml:space="preserve">. The proliferation capacity</w:t>
      </w:r>
      <w:r>
        <w:t xml:space="preserve"> </w:t>
      </w:r>
      <m:oMath>
        <m:r>
          <m:t>ρ</m:t>
        </m:r>
      </m:oMath>
      <w:r>
        <w:t xml:space="preserve"> </w:t>
      </w:r>
      <w:r>
        <w:t xml:space="preserve">is decremented at each TC division and inherited by both daughter cells.</w:t>
      </w:r>
    </w:p>
    <w:p>
      <w:pPr>
        <w:pStyle w:val="BodyText"/>
      </w:pPr>
      <w:r>
        <w:t xml:space="preserve">Simulations of the ABM model revealed the following key results</w:t>
      </w:r>
    </w:p>
    <w:p>
      <w:pPr>
        <w:pStyle w:val="Compact"/>
        <w:numPr>
          <w:ilvl w:val="0"/>
          <w:numId w:val="1001"/>
        </w:numPr>
      </w:pPr>
      <w:r>
        <w:t xml:space="preserve">Tumours developing solely from TCs will inevitably die out, due to their limited proliferation capacity. Hence, CSCs are necessary for malignant tumour growth. This is consistent with experimental results showing only CSCs can initiate tumours</w:t>
      </w:r>
      <w:r>
        <w:t xml:space="preserve"> </w:t>
      </w:r>
      <w:r>
        <w:t xml:space="preserve">(Lapidot et al. 1994; Singh et al. 2004)</w:t>
      </w:r>
      <w:r>
        <w:t xml:space="preserve">.</w:t>
      </w:r>
    </w:p>
    <w:p>
      <w:pPr>
        <w:pStyle w:val="Compact"/>
        <w:numPr>
          <w:ilvl w:val="0"/>
          <w:numId w:val="1001"/>
        </w:numPr>
      </w:pPr>
      <w:r>
        <w:t xml:space="preserve">Tumour started without CSCs could still persist for a long time as long-term dormant lesions, but due to space limited growth remain small well below the potential maximum size of</w:t>
      </w:r>
      <w:r>
        <w:t xml:space="preserve"> </w:t>
      </w:r>
      <m:oMath>
        <m:sSup>
          <m:e>
            <m:r>
              <m:t>2</m:t>
            </m:r>
          </m:e>
          <m:sup>
            <m:sSub>
              <m:e>
                <m:r>
                  <m:t>ρ</m:t>
                </m:r>
              </m:e>
              <m:sub>
                <m:r>
                  <m:rPr>
                    <m:nor/>
                    <m:sty m:val="p"/>
                  </m:rPr>
                  <m:t>max</m:t>
                </m:r>
              </m:sub>
            </m:sSub>
          </m:sup>
        </m:sSup>
      </m:oMath>
      <w:r>
        <w:t xml:space="preserve">. This is consistent with the observation that many tumours remain dormant for many years before they start to grow</w:t>
      </w:r>
      <w:r>
        <w:t xml:space="preserve"> </w:t>
      </w:r>
      <w:r>
        <w:t xml:space="preserve">(Sweeney 1995; Neves-E-Castro 2006; Folkman and Kalluri 2004)</w:t>
      </w:r>
      <w:r>
        <w:t xml:space="preserve">.</w:t>
      </w:r>
    </w:p>
    <w:p>
      <w:pPr>
        <w:pStyle w:val="Compact"/>
        <w:numPr>
          <w:ilvl w:val="0"/>
          <w:numId w:val="1001"/>
        </w:numPr>
      </w:pPr>
      <w:r>
        <w:t xml:space="preserve">A high rate of spontaneous death of TCs actually enables room for sufficient stem cell divisions to enrich the stem cell pool and drive tumour growth. This lead to what they call the</w:t>
      </w:r>
      <w:r>
        <w:t xml:space="preserve"> </w:t>
      </w:r>
      <w:r>
        <w:t xml:space="preserve">“</w:t>
      </w:r>
      <w:r>
        <w:t xml:space="preserve">tumour growth paradox</w:t>
      </w:r>
      <w:r>
        <w:t xml:space="preserve">”</w:t>
      </w:r>
      <w:r>
        <w:t xml:space="preserve">, where counterintuitively while an increase in the death rate of TCs decreases the total number of cancer cells in the short term, in the long run it leads to an increase in the total tumour size as the tumour contains more CSCs.</w:t>
      </w:r>
    </w:p>
    <w:p>
      <w:pPr>
        <w:pStyle w:val="FirstParagraph"/>
      </w:pPr>
      <w:r>
        <w:t xml:space="preserve">Mathematically the tumour growth paradox is defined as follows.</w:t>
      </w:r>
    </w:p>
    <w:bookmarkStart w:id="25" w:name="def-tumor-growth-paradox"/>
    <w:p>
      <w:pPr>
        <w:pStyle w:val="BodyText"/>
      </w:pPr>
      <w:r>
        <w:rPr>
          <w:b/>
          <w:bCs/>
        </w:rPr>
        <w:t xml:space="preserve">Definition 1.1 (Tumour growth paradox)</w:t>
      </w:r>
      <w:r>
        <w:t xml:space="preserve"> </w:t>
      </w:r>
      <w:r>
        <w:t xml:space="preserve">Let</w:t>
      </w:r>
      <w:r>
        <w:t xml:space="preserve"> </w:t>
      </w:r>
      <m:oMath>
        <m:sSub>
          <m:e>
            <m:r>
              <m:t>N</m:t>
            </m:r>
          </m:e>
          <m:sub>
            <m:r>
              <m:t>α</m:t>
            </m:r>
          </m:sub>
        </m:sSub>
        <m:d>
          <m:dPr>
            <m:begChr m:val="("/>
            <m:endChr m:val=")"/>
            <m:sepChr m:val=""/>
            <m:grow/>
          </m:dPr>
          <m:e>
            <m:r>
              <m:t>t</m:t>
            </m:r>
          </m:e>
        </m:d>
      </m:oMath>
      <w:r>
        <w:t xml:space="preserve"> </w:t>
      </w:r>
      <w:r>
        <w:t xml:space="preserve">denote a total tumour population with death rate</w:t>
      </w:r>
      <w:r>
        <w:t xml:space="preserve"> </w:t>
      </w:r>
      <m:oMath>
        <m:r>
          <m:t>α</m:t>
        </m:r>
      </m:oMath>
      <w:r>
        <w:t xml:space="preserve"> </w:t>
      </w:r>
      <w:r>
        <w:t xml:space="preserve">for TCs. The population exhibits a tumour growth paradox if there exist death rates</w:t>
      </w:r>
      <w:r>
        <w:t xml:space="preserve"> </w:t>
      </w:r>
      <m:oMath>
        <m:sSub>
          <m:e>
            <m:r>
              <m:t>α</m:t>
            </m:r>
          </m:e>
          <m:sub>
            <m:r>
              <m:t>1</m:t>
            </m:r>
          </m:sub>
        </m:sSub>
        <m:r>
          <m:rPr>
            <m:sty m:val="p"/>
          </m:rPr>
          <m:t>&lt;</m:t>
        </m:r>
        <m:sSub>
          <m:e>
            <m:r>
              <m:t>α</m:t>
            </m:r>
          </m:e>
          <m:sub>
            <m:r>
              <m:t>2</m:t>
            </m:r>
          </m:sub>
        </m:sSub>
      </m:oMath>
      <w:r>
        <w:t xml:space="preserve"> </w:t>
      </w:r>
      <w:r>
        <w:t xml:space="preserve">and times</w:t>
      </w:r>
      <w:r>
        <w:t xml:space="preserve"> </w:t>
      </w:r>
      <m:oMath>
        <m:sSub>
          <m:e>
            <m:r>
              <m:t>t</m:t>
            </m:r>
          </m:e>
          <m:sub>
            <m:r>
              <m:t>1</m:t>
            </m:r>
          </m:sub>
        </m:sSub>
        <m:r>
          <m:rPr>
            <m:sty m:val="p"/>
          </m:rPr>
          <m:t>,</m:t>
        </m:r>
        <m:sSub>
          <m:e>
            <m:r>
              <m:t>t</m:t>
            </m:r>
          </m:e>
          <m:sub>
            <m:r>
              <m:t>2</m:t>
            </m:r>
          </m:sub>
        </m:sSub>
      </m:oMath>
      <w:r>
        <w:t xml:space="preserve"> </w:t>
      </w:r>
      <w:r>
        <w:t xml:space="preserve">and</w:t>
      </w:r>
      <w:r>
        <w:t xml:space="preserve"> </w:t>
      </w:r>
      <m:oMath>
        <m:sSub>
          <m:e>
            <m:r>
              <m:t>T</m:t>
            </m:r>
          </m:e>
          <m:sub>
            <m:r>
              <m:t>0</m:t>
            </m:r>
          </m:sub>
        </m:sSub>
      </m:oMath>
      <w:r>
        <w:t xml:space="preserve"> </w:t>
      </w:r>
      <w:r>
        <w:t xml:space="preserve">such that</w:t>
      </w:r>
    </w:p>
    <w:p>
      <w:pPr>
        <w:pStyle w:val="BodyText"/>
      </w:pPr>
      <w:bookmarkStart w:id="24" w:name="eq-tumour-growth-paradox"/>
      <m:oMathPara>
        <m:oMathParaPr>
          <m:jc m:val="center"/>
        </m:oMathParaPr>
        <m:oMath>
          <m:m>
            <m:mPr>
              <m:baseJc m:val="center"/>
              <m:plcHide m:val="on"/>
              <m:mcs>
                <m:mc>
                  <m:mcPr>
                    <m:mcJc m:val="right"/>
                    <m:count m:val="1"/>
                  </m:mcPr>
                </m:mc>
                <m:mc>
                  <m:mcPr>
                    <m:mcJc m:val="left"/>
                    <m:count m:val="1"/>
                  </m:mcPr>
                </m:mc>
              </m:mcs>
            </m:mPr>
            <m:mr>
              <m:e>
                <m:sSub>
                  <m:e>
                    <m:r>
                      <m:t>N</m:t>
                    </m:r>
                  </m:e>
                  <m:sub>
                    <m:sSub>
                      <m:e>
                        <m:r>
                          <m:t>α</m:t>
                        </m:r>
                      </m:e>
                      <m:sub>
                        <m:r>
                          <m:t>1</m:t>
                        </m:r>
                      </m:sub>
                    </m:sSub>
                  </m:sub>
                </m:sSub>
                <m:d>
                  <m:dPr>
                    <m:begChr m:val="("/>
                    <m:endChr m:val=")"/>
                    <m:sepChr m:val=""/>
                    <m:grow/>
                  </m:dPr>
                  <m:e>
                    <m:sSub>
                      <m:e>
                        <m:r>
                          <m:t>t</m:t>
                        </m:r>
                      </m:e>
                      <m:sub>
                        <m:r>
                          <m:t>1</m:t>
                        </m:r>
                      </m:sub>
                    </m:sSub>
                  </m:e>
                </m:d>
                <m:r>
                  <m:rPr>
                    <m:sty m:val="p"/>
                  </m:rPr>
                  <m:t>=</m:t>
                </m:r>
                <m:sSub>
                  <m:e>
                    <m:r>
                      <m:t>N</m:t>
                    </m:r>
                  </m:e>
                  <m:sub>
                    <m:sSub>
                      <m:e>
                        <m:r>
                          <m:t>α</m:t>
                        </m:r>
                      </m:e>
                      <m:sub>
                        <m:r>
                          <m:t>2</m:t>
                        </m:r>
                      </m:sub>
                    </m:sSub>
                  </m:sub>
                </m:sSub>
                <m:d>
                  <m:dPr>
                    <m:begChr m:val="("/>
                    <m:endChr m:val=")"/>
                    <m:sepChr m:val=""/>
                    <m:grow/>
                  </m:dPr>
                  <m:e>
                    <m:sSub>
                      <m:e>
                        <m:r>
                          <m:t>t</m:t>
                        </m:r>
                      </m:e>
                      <m:sub>
                        <m:r>
                          <m:t>2</m:t>
                        </m:r>
                      </m:sub>
                    </m:sSub>
                  </m:e>
                </m:d>
              </m:e>
              <m:e>
                <m:r>
                  <m:t> </m:t>
                </m:r>
                <m:r>
                  <m:rPr>
                    <m:nor/>
                    <m:sty m:val="p"/>
                  </m:rPr>
                  <m:t>and</m:t>
                </m:r>
                <m:r>
                  <m:t> </m:t>
                </m:r>
                <m:sSub>
                  <m:e>
                    <m:r>
                      <m:t>N</m:t>
                    </m:r>
                  </m:e>
                  <m:sub>
                    <m:sSub>
                      <m:e>
                        <m:r>
                          <m:t>α</m:t>
                        </m:r>
                      </m:e>
                      <m:sub>
                        <m:r>
                          <m:t>1</m:t>
                        </m:r>
                      </m:sub>
                    </m:sSub>
                  </m:sub>
                </m:sSub>
                <m:d>
                  <m:dPr>
                    <m:begChr m:val="("/>
                    <m:endChr m:val=")"/>
                    <m:sepChr m:val=""/>
                    <m:grow/>
                  </m:dPr>
                  <m:e>
                    <m:sSub>
                      <m:e>
                        <m:r>
                          <m:t>t</m:t>
                        </m:r>
                      </m:e>
                      <m:sub>
                        <m:r>
                          <m:t>1</m:t>
                        </m:r>
                      </m:sub>
                    </m:sSub>
                    <m:r>
                      <m:rPr>
                        <m:sty m:val="p"/>
                      </m:rPr>
                      <m:t>+</m:t>
                    </m:r>
                    <m:r>
                      <m:t>T</m:t>
                    </m:r>
                  </m:e>
                </m:d>
                <m:r>
                  <m:rPr>
                    <m:sty m:val="p"/>
                  </m:rPr>
                  <m:t>&lt;</m:t>
                </m:r>
                <m:sSub>
                  <m:e>
                    <m:r>
                      <m:t>N</m:t>
                    </m:r>
                  </m:e>
                  <m:sub>
                    <m:sSub>
                      <m:e>
                        <m:r>
                          <m:t>α</m:t>
                        </m:r>
                      </m:e>
                      <m:sub>
                        <m:r>
                          <m:t>2</m:t>
                        </m:r>
                      </m:sub>
                    </m:sSub>
                  </m:sub>
                </m:sSub>
                <m:d>
                  <m:dPr>
                    <m:begChr m:val="("/>
                    <m:endChr m:val=")"/>
                    <m:sepChr m:val=""/>
                    <m:grow/>
                  </m:dPr>
                  <m:e>
                    <m:sSub>
                      <m:e>
                        <m:r>
                          <m:t>t</m:t>
                        </m:r>
                      </m:e>
                      <m:sub>
                        <m:r>
                          <m:t>2</m:t>
                        </m:r>
                      </m:sub>
                    </m:sSub>
                    <m:r>
                      <m:rPr>
                        <m:sty m:val="p"/>
                      </m:rPr>
                      <m:t>+</m:t>
                    </m:r>
                    <m:r>
                      <m:t>T</m:t>
                    </m:r>
                  </m:e>
                </m:d>
              </m:e>
            </m:mr>
            <m:mr>
              <m:e/>
              <m:e>
                <m:r>
                  <m:rPr>
                    <m:nor/>
                    <m:sty m:val="p"/>
                  </m:rPr>
                  <m:t>for</m:t>
                </m:r>
                <m:r>
                  <m:t> </m:t>
                </m:r>
                <m:d>
                  <m:dPr>
                    <m:begChr m:val="("/>
                    <m:endChr m:val=")"/>
                    <m:sepChr m:val=""/>
                    <m:grow/>
                  </m:dPr>
                  <m:e>
                    <m:r>
                      <m:t>0</m:t>
                    </m:r>
                    <m:r>
                      <m:rPr>
                        <m:sty m:val="p"/>
                      </m:rPr>
                      <m:t>&lt;</m:t>
                    </m:r>
                    <m:r>
                      <m:t>T</m:t>
                    </m:r>
                    <m:r>
                      <m:rPr>
                        <m:sty m:val="p"/>
                      </m:rPr>
                      <m:t>&lt;</m:t>
                    </m:r>
                    <m:sSub>
                      <m:e>
                        <m:r>
                          <m:t>T</m:t>
                        </m:r>
                      </m:e>
                      <m:sub>
                        <m:r>
                          <m:t>0</m:t>
                        </m:r>
                      </m:sub>
                    </m:sSub>
                  </m:e>
                </m:d>
              </m:e>
            </m:mr>
          </m:m>
          <m:r>
            <m:t>  </m:t>
          </m:r>
          <m:d>
            <m:dPr>
              <m:begChr m:val="("/>
              <m:endChr m:val=")"/>
              <m:sepChr m:val=""/>
              <m:grow/>
            </m:dPr>
            <m:e>
              <m:r>
                <m:t>1.1</m:t>
              </m:r>
            </m:e>
          </m:d>
        </m:oMath>
      </m:oMathPara>
      <w:bookmarkEnd w:id="24"/>
    </w:p>
    <w:bookmarkEnd w:id="25"/>
    <w:bookmarkEnd w:id="26"/>
    <w:bookmarkStart w:id="32" w:name="sec-integro-differential-model"/>
    <w:p>
      <w:pPr>
        <w:pStyle w:val="Heading3"/>
      </w:pPr>
      <w:r>
        <w:t xml:space="preserve">1.4.2 Integro-differential model</w:t>
      </w:r>
    </w:p>
    <w:p>
      <w:pPr>
        <w:pStyle w:val="FirstParagraph"/>
      </w:pPr>
      <w:r>
        <w:t xml:space="preserve">Following on from the ABM developed in</w:t>
      </w:r>
      <w:r>
        <w:t xml:space="preserve"> </w:t>
      </w:r>
      <w:r>
        <w:t xml:space="preserve">(Enderling et al. 2009; Gao et al. 2013)</w:t>
      </w:r>
      <w:r>
        <w:t xml:space="preserve"> </w:t>
      </w:r>
      <w:r>
        <w:t xml:space="preserve">in</w:t>
      </w:r>
      <w:r>
        <w:t xml:space="preserve"> </w:t>
      </w:r>
      <w:r>
        <w:t xml:space="preserve">(Hillen, Enderling, and Hahnfeldt 2013)</w:t>
      </w:r>
      <w:r>
        <w:t xml:space="preserve"> </w:t>
      </w:r>
      <w:r>
        <w:t xml:space="preserve">the authors develop an integro-differential equation version of the model. The model is based on the same assumptions as in</w:t>
      </w:r>
      <w:r>
        <w:t xml:space="preserve"> </w:t>
      </w:r>
      <w:r>
        <w:t xml:space="preserve">(Enderling et al. 2009; Gao et al. 2013)</w:t>
      </w:r>
      <w:r>
        <w:t xml:space="preserve">, but this time takes the form of an integro-differential equation model. Let</w:t>
      </w:r>
      <w:r>
        <w:t xml:space="preserve"> </w:t>
      </w:r>
      <m:oMath>
        <m:r>
          <m:t>u</m:t>
        </m:r>
        <m:d>
          <m:dPr>
            <m:begChr m:val="("/>
            <m:endChr m:val=")"/>
            <m:sepChr m:val=""/>
            <m:grow/>
          </m:dPr>
          <m:e>
            <m:r>
              <m:t>x</m:t>
            </m:r>
            <m:r>
              <m:rPr>
                <m:sty m:val="p"/>
              </m:rPr>
              <m:t>,</m:t>
            </m:r>
            <m:r>
              <m:t>t</m:t>
            </m:r>
          </m:e>
        </m:d>
      </m:oMath>
      <w:r>
        <w:t xml:space="preserve"> </w:t>
      </w:r>
      <w:r>
        <w:t xml:space="preserve">denote the density (in cells per unit space i.e., the fraction of the interval</w:t>
      </w:r>
      <w:r>
        <w:t xml:space="preserve"> </w:t>
      </w:r>
      <m:oMath>
        <m:d>
          <m:dPr>
            <m:begChr m:val="("/>
            <m:endChr m:val=")"/>
            <m:sepChr m:val=""/>
            <m:grow/>
          </m:dPr>
          <m:e>
            <m:r>
              <m:t>x</m:t>
            </m:r>
            <m:r>
              <m:rPr>
                <m:sty m:val="p"/>
              </m:rPr>
              <m:t>,</m:t>
            </m:r>
            <m:r>
              <m:t>x</m:t>
            </m:r>
            <m:r>
              <m:rPr>
                <m:sty m:val="p"/>
              </m:rPr>
              <m:t>+</m:t>
            </m:r>
            <m:r>
              <m:t>d</m:t>
            </m:r>
            <m:r>
              <m:t>x</m:t>
            </m:r>
          </m:e>
        </m:d>
      </m:oMath>
      <w:r>
        <w:t xml:space="preserve"> </w:t>
      </w:r>
      <w:r>
        <w:t xml:space="preserve">physically occupied by cells), and let</w:t>
      </w:r>
      <w:r>
        <w:t xml:space="preserve"> </w:t>
      </w:r>
      <m:oMath>
        <m:r>
          <m:t>v</m:t>
        </m:r>
        <m:d>
          <m:dPr>
            <m:begChr m:val="("/>
            <m:endChr m:val=")"/>
            <m:sepChr m:val=""/>
            <m:grow/>
          </m:dPr>
          <m:e>
            <m:r>
              <m:t>x</m:t>
            </m:r>
            <m:r>
              <m:rPr>
                <m:sty m:val="p"/>
              </m:rPr>
              <m:t>,</m:t>
            </m:r>
            <m:r>
              <m:t>t</m:t>
            </m:r>
          </m:e>
        </m:d>
      </m:oMath>
      <w:r>
        <w:t xml:space="preserve"> </w:t>
      </w:r>
      <w:r>
        <w:t xml:space="preserve">denote the density of TCs. Hence, the total tumor density is denoted</w:t>
      </w:r>
      <w:r>
        <w:t xml:space="preserve"> </w:t>
      </w:r>
      <m:oMath>
        <m:r>
          <m:t>N</m:t>
        </m:r>
        <m:d>
          <m:dPr>
            <m:begChr m:val="("/>
            <m:endChr m:val=")"/>
            <m:sepChr m:val=""/>
            <m:grow/>
          </m:dPr>
          <m:e>
            <m:r>
              <m:t>x</m:t>
            </m:r>
            <m:r>
              <m:rPr>
                <m:sty m:val="p"/>
              </m:rPr>
              <m:t>,</m:t>
            </m:r>
            <m:r>
              <m:t>t</m:t>
            </m:r>
          </m:e>
        </m:d>
        <m:r>
          <m:rPr>
            <m:sty m:val="p"/>
          </m:rPr>
          <m:t>=</m:t>
        </m:r>
        <m:r>
          <m:t>u</m:t>
        </m:r>
        <m:d>
          <m:dPr>
            <m:begChr m:val="("/>
            <m:endChr m:val=")"/>
            <m:sepChr m:val=""/>
            <m:grow/>
          </m:dPr>
          <m:e>
            <m:r>
              <m:t>x</m:t>
            </m:r>
            <m:r>
              <m:rPr>
                <m:sty m:val="p"/>
              </m:rPr>
              <m:t>,</m:t>
            </m:r>
            <m:r>
              <m:t>t</m:t>
            </m:r>
          </m:e>
        </m:d>
        <m:r>
          <m:rPr>
            <m:sty m:val="p"/>
          </m:rPr>
          <m:t>+</m:t>
        </m:r>
        <m:r>
          <m:t>v</m:t>
        </m:r>
        <m:d>
          <m:dPr>
            <m:begChr m:val="("/>
            <m:endChr m:val=")"/>
            <m:sepChr m:val=""/>
            <m:grow/>
          </m:dPr>
          <m:e>
            <m:r>
              <m:t>x</m:t>
            </m:r>
            <m:r>
              <m:rPr>
                <m:sty m:val="p"/>
              </m:rPr>
              <m:t>,</m:t>
            </m:r>
            <m:r>
              <m:t>t</m:t>
            </m:r>
          </m:e>
        </m:d>
      </m:oMath>
      <w:r>
        <w:t xml:space="preserve">. For this analysis cells are assumed to be very small compared to the size of the tissue domain</w:t>
      </w:r>
      <w:r>
        <w:t xml:space="preserve"> </w:t>
      </w:r>
      <m:oMath>
        <m:r>
          <m:t>Ω</m:t>
        </m:r>
      </m:oMath>
      <w:r>
        <w:t xml:space="preserve"> </w:t>
      </w:r>
      <w:r>
        <w:t xml:space="preserve">(which we take without loss of generality to have unit volume), and are small even compared to integration increments</w:t>
      </w:r>
      <w:r>
        <w:t xml:space="preserve"> </w:t>
      </w:r>
      <m:oMath>
        <m:r>
          <m:t>d</m:t>
        </m:r>
        <m:r>
          <m:t>x</m:t>
        </m:r>
      </m:oMath>
      <w:r>
        <w:t xml:space="preserve"> </w:t>
      </w:r>
      <w:r>
        <w:t xml:space="preserve">and</w:t>
      </w:r>
      <w:r>
        <w:t xml:space="preserve"> </w:t>
      </w:r>
      <m:oMath>
        <m:r>
          <m:t>d</m:t>
        </m:r>
        <m:r>
          <m:t>y</m:t>
        </m:r>
      </m:oMath>
      <w:r>
        <w:t xml:space="preserve">. It is also assumed that cells cannot pile on top of each other so there is a maximum density of one cell per unit space, this implies</w:t>
      </w:r>
      <w:r>
        <w:t xml:space="preserve"> </w:t>
      </w:r>
      <m:oMath>
        <m:r>
          <m:t>N</m:t>
        </m:r>
        <m:d>
          <m:dPr>
            <m:begChr m:val="("/>
            <m:endChr m:val=")"/>
            <m:sepChr m:val=""/>
            <m:grow/>
          </m:dPr>
          <m:e>
            <m:r>
              <m:t>x</m:t>
            </m:r>
            <m:r>
              <m:rPr>
                <m:sty m:val="p"/>
              </m:rPr>
              <m:t>,</m:t>
            </m:r>
            <m:r>
              <m:t>t</m:t>
            </m:r>
          </m:e>
        </m:d>
        <m:r>
          <m:rPr>
            <m:sty m:val="p"/>
          </m:rPr>
          <m:t>≤</m:t>
        </m:r>
        <m:r>
          <m:t>1</m:t>
        </m:r>
      </m:oMath>
      <w:r>
        <w:t xml:space="preserve">. Cells can only proliferate if there is space to place the daughter cell, otherwise reproduction is inhibited (cellular quiescence). To model the spatial search for space, they define a nonlinear integral term, and inline with the ABM</w:t>
      </w:r>
      <w:r>
        <w:t xml:space="preserve"> </w:t>
      </w:r>
      <w:r>
        <w:t xml:space="preserve">(Enderling et al. 2009; Gao et al. 2013)</w:t>
      </w:r>
      <w:r>
        <w:t xml:space="preserve"> </w:t>
      </w:r>
      <w:r>
        <w:t xml:space="preserve">they assume that all cells can migrate randomly, which is model by simple diffusion. These assumptions lead to the following system of equations to describe CSC and TC dynamics:</w:t>
      </w:r>
    </w:p>
    <w:p>
      <w:pPr>
        <w:pStyle w:val="BodyText"/>
      </w:pPr>
      <w:bookmarkStart w:id="27" w:name="eq-integro-differential-CSC-model"/>
      <m:oMathPara>
        <m:oMathParaPr>
          <m:jc m:val="center"/>
        </m:oMathParaPr>
        <m:oMath>
          <m:m>
            <m:mPr>
              <m:baseJc m:val="center"/>
              <m:plcHide m:val="on"/>
              <m:mcs>
                <m:mc>
                  <m:mcPr>
                    <m:mcJc m:val="right"/>
                    <m:count m:val="1"/>
                  </m:mcPr>
                </m:mc>
                <m:mc>
                  <m:mcPr>
                    <m:mcJc m:val="left"/>
                    <m:count m:val="1"/>
                  </m:mcPr>
                </m:mc>
              </m:mcs>
            </m:mPr>
            <m:mr>
              <m:e>
                <m:limLow>
                  <m:e>
                    <m:limLow>
                      <m:e>
                        <m:f>
                          <m:fPr>
                            <m:type m:val="bar"/>
                          </m:fPr>
                          <m:num>
                            <m:r>
                              <m:rPr>
                                <m:sty m:val="p"/>
                              </m:rPr>
                              <m:t>∂</m:t>
                            </m:r>
                            <m:r>
                              <m:t>u</m:t>
                            </m:r>
                            <m:d>
                              <m:dPr>
                                <m:begChr m:val="("/>
                                <m:endChr m:val=")"/>
                                <m:sepChr m:val=""/>
                                <m:grow/>
                              </m:dPr>
                              <m:e>
                                <m:r>
                                  <m:t>x</m:t>
                                </m:r>
                                <m:r>
                                  <m:rPr>
                                    <m:sty m:val="p"/>
                                  </m:rPr>
                                  <m:t>,</m:t>
                                </m:r>
                                <m:r>
                                  <m:t>t</m:t>
                                </m:r>
                              </m:e>
                            </m:d>
                          </m:num>
                          <m:den>
                            <m:r>
                              <m:rPr>
                                <m:sty m:val="p"/>
                              </m:rPr>
                              <m:t>∂</m:t>
                            </m:r>
                            <m:r>
                              <m:t>t</m:t>
                            </m:r>
                          </m:den>
                        </m:f>
                      </m:e>
                      <m:lim>
                        <m:r>
                          <m:rPr>
                            <m:sty m:val="p"/>
                          </m:rPr>
                          <m:t>⏟</m:t>
                        </m:r>
                      </m:lim>
                    </m:limLow>
                  </m:e>
                  <m:lim>
                    <m:r>
                      <m:rPr>
                        <m:nor/>
                        <m:sty m:val="p"/>
                      </m:rPr>
                      <m:t>ROC CSCs</m:t>
                    </m:r>
                  </m:lim>
                </m:limLow>
              </m:e>
              <m:e>
                <m:r>
                  <m:rPr>
                    <m:sty m:val="p"/>
                  </m:rPr>
                  <m:t>=</m:t>
                </m:r>
                <m:limLow>
                  <m:e>
                    <m:limLow>
                      <m:e>
                        <m:sSub>
                          <m:e>
                            <m:r>
                              <m:t>D</m:t>
                            </m:r>
                          </m:e>
                          <m:sub>
                            <m:r>
                              <m:t>u</m:t>
                            </m:r>
                          </m:sub>
                        </m:sSub>
                        <m:sSup>
                          <m:e>
                            <m:r>
                              <m:rPr>
                                <m:sty m:val="p"/>
                              </m:rPr>
                              <m:t>∇</m:t>
                            </m:r>
                          </m:e>
                          <m:sup>
                            <m:r>
                              <m:t>2</m:t>
                            </m:r>
                          </m:sup>
                        </m:sSup>
                        <m:r>
                          <m:t>u</m:t>
                        </m:r>
                      </m:e>
                      <m:lim>
                        <m:r>
                          <m:rPr>
                            <m:sty m:val="p"/>
                          </m:rPr>
                          <m:t>⏟</m:t>
                        </m:r>
                      </m:lim>
                    </m:limLow>
                  </m:e>
                  <m:lim>
                    <m:r>
                      <m:rPr>
                        <m:nor/>
                        <m:sty m:val="p"/>
                      </m:rPr>
                      <m:t>Diffusion of CSCs</m:t>
                    </m:r>
                  </m:lim>
                </m:limLow>
                <m:r>
                  <m:rPr>
                    <m:sty m:val="p"/>
                  </m:rPr>
                  <m:t>+</m:t>
                </m:r>
                <m:limLow>
                  <m:e>
                    <m:limLow>
                      <m:e>
                        <m:r>
                          <m:t>δ</m:t>
                        </m:r>
                        <m:r>
                          <m:t>γ</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u</m:t>
                        </m:r>
                        <m:d>
                          <m:dPr>
                            <m:begChr m:val="("/>
                            <m:endChr m:val=")"/>
                            <m:sepChr m:val=""/>
                            <m:grow/>
                          </m:dPr>
                          <m:e>
                            <m:r>
                              <m:t>y</m:t>
                            </m:r>
                            <m:r>
                              <m:rPr>
                                <m:sty m:val="p"/>
                              </m:rPr>
                              <m:t>,</m:t>
                            </m:r>
                            <m:r>
                              <m:t>t</m:t>
                            </m:r>
                          </m:e>
                        </m:d>
                        <m:r>
                          <m:t>d</m:t>
                        </m:r>
                        <m:r>
                          <m:t>y</m:t>
                        </m:r>
                      </m:e>
                      <m:lim>
                        <m:r>
                          <m:rPr>
                            <m:sty m:val="p"/>
                          </m:rPr>
                          <m:t>⏟</m:t>
                        </m:r>
                      </m:lim>
                    </m:limLow>
                  </m:e>
                  <m:lim>
                    <m:r>
                      <m:rPr>
                        <m:nor/>
                        <m:sty m:val="p"/>
                      </m:rPr>
                      <m:t>Self-renewal of CSCs</m:t>
                    </m:r>
                  </m:lim>
                </m:limLow>
              </m:e>
            </m:mr>
            <m:mr>
              <m:e>
                <m:limLow>
                  <m:e>
                    <m:limLow>
                      <m:e>
                        <m:f>
                          <m:fPr>
                            <m:type m:val="bar"/>
                          </m:fPr>
                          <m:num>
                            <m:r>
                              <m:rPr>
                                <m:sty m:val="p"/>
                              </m:rPr>
                              <m:t>∂</m:t>
                            </m:r>
                            <m:r>
                              <m:t>v</m:t>
                            </m:r>
                            <m:d>
                              <m:dPr>
                                <m:begChr m:val="("/>
                                <m:endChr m:val=")"/>
                                <m:sepChr m:val=""/>
                                <m:grow/>
                              </m:dPr>
                              <m:e>
                                <m:r>
                                  <m:t>x</m:t>
                                </m:r>
                                <m:r>
                                  <m:rPr>
                                    <m:sty m:val="p"/>
                                  </m:rPr>
                                  <m:t>,</m:t>
                                </m:r>
                                <m:r>
                                  <m:t>t</m:t>
                                </m:r>
                              </m:e>
                            </m:d>
                          </m:num>
                          <m:den>
                            <m:r>
                              <m:rPr>
                                <m:sty m:val="p"/>
                              </m:rPr>
                              <m:t>∂</m:t>
                            </m:r>
                            <m:r>
                              <m:t>t</m:t>
                            </m:r>
                          </m:den>
                        </m:f>
                      </m:e>
                      <m:lim>
                        <m:r>
                          <m:rPr>
                            <m:sty m:val="p"/>
                          </m:rPr>
                          <m:t>⏟</m:t>
                        </m:r>
                      </m:lim>
                    </m:limLow>
                  </m:e>
                  <m:lim>
                    <m:r>
                      <m:rPr>
                        <m:nor/>
                        <m:sty m:val="p"/>
                      </m:rPr>
                      <m:t>ROC TCs</m:t>
                    </m:r>
                  </m:lim>
                </m:limLow>
              </m:e>
              <m:e>
                <m:r>
                  <m:rPr>
                    <m:sty m:val="p"/>
                  </m:rPr>
                  <m:t>=</m:t>
                </m:r>
                <m:limLow>
                  <m:e>
                    <m:limLow>
                      <m:e>
                        <m:sSub>
                          <m:e>
                            <m:r>
                              <m:t>D</m:t>
                            </m:r>
                          </m:e>
                          <m:sub>
                            <m:r>
                              <m:t>v</m:t>
                            </m:r>
                          </m:sub>
                        </m:sSub>
                        <m:sSup>
                          <m:e>
                            <m:r>
                              <m:rPr>
                                <m:sty m:val="p"/>
                              </m:rPr>
                              <m:t>∇</m:t>
                            </m:r>
                          </m:e>
                          <m:sup>
                            <m:r>
                              <m:t>2</m:t>
                            </m:r>
                          </m:sup>
                        </m:sSup>
                        <m:r>
                          <m:t>v</m:t>
                        </m:r>
                      </m:e>
                      <m:lim>
                        <m:r>
                          <m:rPr>
                            <m:sty m:val="p"/>
                          </m:rPr>
                          <m:t>⏟</m:t>
                        </m:r>
                      </m:lim>
                    </m:limLow>
                  </m:e>
                  <m:lim>
                    <m:r>
                      <m:rPr>
                        <m:nor/>
                        <m:sty m:val="p"/>
                      </m:rPr>
                      <m:t>Diffusion of TCs</m:t>
                    </m:r>
                  </m:lim>
                </m:limLow>
                <m:r>
                  <m:rPr>
                    <m:sty m:val="p"/>
                  </m:rPr>
                  <m:t>+</m:t>
                </m:r>
                <m:limLow>
                  <m:e>
                    <m:limLow>
                      <m:e>
                        <m:d>
                          <m:dPr>
                            <m:begChr m:val="("/>
                            <m:endChr m:val=")"/>
                            <m:sepChr m:val=""/>
                            <m:grow/>
                          </m:dPr>
                          <m:e>
                            <m:r>
                              <m:t>1</m:t>
                            </m:r>
                            <m:r>
                              <m:rPr>
                                <m:sty m:val="p"/>
                              </m:rPr>
                              <m:t>−</m:t>
                            </m:r>
                            <m:r>
                              <m:t>δ</m:t>
                            </m:r>
                          </m:e>
                        </m:d>
                        <m:r>
                          <m:t>γ</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u</m:t>
                        </m:r>
                        <m:d>
                          <m:dPr>
                            <m:begChr m:val="("/>
                            <m:endChr m:val=")"/>
                            <m:sepChr m:val=""/>
                            <m:grow/>
                          </m:dPr>
                          <m:e>
                            <m:r>
                              <m:t>y</m:t>
                            </m:r>
                            <m:r>
                              <m:rPr>
                                <m:sty m:val="p"/>
                              </m:rPr>
                              <m:t>,</m:t>
                            </m:r>
                            <m:r>
                              <m:t>t</m:t>
                            </m:r>
                          </m:e>
                        </m:d>
                        <m:r>
                          <m:t>d</m:t>
                        </m:r>
                        <m:r>
                          <m:t>y</m:t>
                        </m:r>
                      </m:e>
                      <m:lim>
                        <m:r>
                          <m:rPr>
                            <m:sty m:val="p"/>
                          </m:rPr>
                          <m:t>⏟</m:t>
                        </m:r>
                      </m:lim>
                    </m:limLow>
                  </m:e>
                  <m:lim>
                    <m:r>
                      <m:rPr>
                        <m:nor/>
                        <m:sty m:val="p"/>
                      </m:rPr>
                      <m:t>Differentiation of CSCs</m:t>
                    </m:r>
                  </m:lim>
                </m:limLow>
                <m:r>
                  <m:rPr>
                    <m:sty m:val="p"/>
                  </m:rPr>
                  <m:t>+</m:t>
                </m:r>
              </m:e>
            </m:mr>
            <m:mr>
              <m:e/>
              <m:e>
                <m:limLow>
                  <m:e>
                    <m:limLow>
                      <m:e>
                        <m:r>
                          <m:t>ρ</m:t>
                        </m:r>
                        <m:nary>
                          <m:naryPr>
                            <m:chr m:val="∫"/>
                            <m:limLoc m:val="subSup"/>
                            <m:subHide m:val="off"/>
                            <m:supHide m:val="on"/>
                          </m:naryPr>
                          <m:sub>
                            <m:r>
                              <m:t>Ω</m:t>
                            </m:r>
                          </m:sub>
                          <m:sup>
                            <m:r>
                              <m:t>​</m:t>
                            </m:r>
                          </m:sup>
                          <m:e>
                            <m:r>
                              <m:t>k</m:t>
                            </m:r>
                          </m:e>
                        </m:nary>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t>v</m:t>
                        </m:r>
                        <m:d>
                          <m:dPr>
                            <m:begChr m:val="("/>
                            <m:endChr m:val=")"/>
                            <m:sepChr m:val=""/>
                            <m:grow/>
                          </m:dPr>
                          <m:e>
                            <m:r>
                              <m:t>y</m:t>
                            </m:r>
                            <m:r>
                              <m:rPr>
                                <m:sty m:val="p"/>
                              </m:rPr>
                              <m:t>,</m:t>
                            </m:r>
                            <m:r>
                              <m:t>t</m:t>
                            </m:r>
                          </m:e>
                        </m:d>
                        <m:r>
                          <m:t>d</m:t>
                        </m:r>
                        <m:r>
                          <m:t>y</m:t>
                        </m:r>
                      </m:e>
                      <m:lim>
                        <m:r>
                          <m:rPr>
                            <m:sty m:val="p"/>
                          </m:rPr>
                          <m:t>⏟</m:t>
                        </m:r>
                      </m:lim>
                    </m:limLow>
                  </m:e>
                  <m:lim>
                    <m:r>
                      <m:rPr>
                        <m:nor/>
                        <m:sty m:val="p"/>
                      </m:rPr>
                      <m:t>Proliferation of TCs</m:t>
                    </m:r>
                  </m:lim>
                </m:limLow>
                <m:r>
                  <m:rPr>
                    <m:sty m:val="p"/>
                  </m:rPr>
                  <m:t>−</m:t>
                </m:r>
                <m:limLow>
                  <m:e>
                    <m:limLow>
                      <m:e>
                        <m:r>
                          <m:t>α</m:t>
                        </m:r>
                        <m:r>
                          <m:t>v</m:t>
                        </m:r>
                      </m:e>
                      <m:lim>
                        <m:r>
                          <m:rPr>
                            <m:sty m:val="p"/>
                          </m:rPr>
                          <m:t>⏟</m:t>
                        </m:r>
                      </m:lim>
                    </m:limLow>
                  </m:e>
                  <m:lim>
                    <m:r>
                      <m:rPr>
                        <m:nor/>
                        <m:sty m:val="p"/>
                      </m:rPr>
                      <m:t>Apoptosis of TCs</m:t>
                    </m:r>
                  </m:lim>
                </m:limLow>
                <m:r>
                  <m:rPr>
                    <m:sty m:val="p"/>
                  </m:rPr>
                  <m:t>.</m:t>
                </m:r>
              </m:e>
            </m:mr>
          </m:m>
          <m:r>
            <m:t>  </m:t>
          </m:r>
          <m:d>
            <m:dPr>
              <m:begChr m:val="("/>
              <m:endChr m:val=")"/>
              <m:sepChr m:val=""/>
              <m:grow/>
            </m:dPr>
            <m:e>
              <m:r>
                <m:t>1.2</m:t>
              </m:r>
            </m:e>
          </m:d>
        </m:oMath>
      </m:oMathPara>
      <w:bookmarkEnd w:id="27"/>
    </w:p>
    <w:p>
      <w:pPr>
        <w:pStyle w:val="FirstParagraph"/>
      </w:pPr>
      <w:r>
        <w:t xml:space="preserve">The spatial distribution kernel</w:t>
      </w:r>
      <w:r>
        <w:t xml:space="preserve"> </w:t>
      </w:r>
      <m:oMath>
        <m:r>
          <m:t>k</m:t>
        </m:r>
        <m:d>
          <m:dPr>
            <m:begChr m:val="("/>
            <m:endChr m:val=")"/>
            <m:sepChr m:val=""/>
            <m:grow/>
          </m:dPr>
          <m:e>
            <m:r>
              <m:t>x</m:t>
            </m:r>
            <m:r>
              <m:rPr>
                <m:sty m:val="p"/>
              </m:rPr>
              <m:t>,</m:t>
            </m:r>
            <m:r>
              <m:t>y</m:t>
            </m:r>
            <m:r>
              <m:rPr>
                <m:sty m:val="p"/>
              </m:rPr>
              <m:t>,</m:t>
            </m:r>
            <m:r>
              <m:t>N</m:t>
            </m:r>
          </m:e>
        </m:d>
      </m:oMath>
      <w:r>
        <w:t xml:space="preserve"> </w:t>
      </w:r>
      <w:r>
        <w:t xml:space="preserve">describes the rate of progeny contribution to location x for a cell at location y per</w:t>
      </w:r>
      <w:r>
        <w:t xml:space="preserve"> </w:t>
      </w:r>
      <w:r>
        <w:t xml:space="preserve">“</w:t>
      </w:r>
      <w:r>
        <w:t xml:space="preserve">cell cycle time</w:t>
      </w:r>
      <w:r>
        <w:t xml:space="preserve">”</w:t>
      </w:r>
      <w:r>
        <w:t xml:space="preserve"> </w:t>
      </w:r>
      <w:r>
        <w:t xml:space="preserve">i.e., the defined period between divisions of a freely cycling cell. Since greater density at</w:t>
      </w:r>
      <w:r>
        <w:t xml:space="preserve"> </w:t>
      </w:r>
      <m:oMath>
        <m:r>
          <m:t>x</m:t>
        </m:r>
      </m:oMath>
      <w:r>
        <w:t xml:space="preserve"> </w:t>
      </w:r>
      <w:r>
        <w:t xml:space="preserve">would be expected to hinder progeny occupation it is assumed that</w:t>
      </w:r>
      <w:r>
        <w:t xml:space="preserve"> </w:t>
      </w:r>
      <m:oMath>
        <m:r>
          <m:t>k</m:t>
        </m:r>
      </m:oMath>
      <w:r>
        <w:t xml:space="preserve"> </w:t>
      </w:r>
      <w:r>
        <w:t xml:space="preserve">is monotonically decreasing in</w:t>
      </w:r>
      <w:r>
        <w:t xml:space="preserve"> </w:t>
      </w:r>
      <m:oMath>
        <m:r>
          <m:t>N</m:t>
        </m:r>
      </m:oMath>
      <w:r>
        <w:t xml:space="preserve">, with</w:t>
      </w:r>
      <w:r>
        <w:t xml:space="preserve"> </w:t>
      </w:r>
      <m:oMath>
        <m:r>
          <m:t>k</m:t>
        </m:r>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rPr>
            <m:sty m:val="p"/>
          </m:rPr>
          <m:t>=</m:t>
        </m:r>
        <m:r>
          <m:t>0</m:t>
        </m:r>
      </m:oMath>
      <w:r>
        <w:t xml:space="preserve"> </w:t>
      </w:r>
      <w:r>
        <w:t xml:space="preserve">at</w:t>
      </w:r>
      <w:r>
        <w:t xml:space="preserve"> </w:t>
      </w:r>
      <m:oMath>
        <m:r>
          <m:t>N</m:t>
        </m:r>
        <m:r>
          <m:rPr>
            <m:sty m:val="p"/>
          </m:rPr>
          <m:t>=</m:t>
        </m:r>
        <m:r>
          <m:t>1</m:t>
        </m:r>
      </m:oMath>
      <w:r>
        <w:t xml:space="preserve">. The number of cell cycle times per unit time of CSCs and TCs are denoted by</w:t>
      </w:r>
      <w:r>
        <w:t xml:space="preserve"> </w:t>
      </w:r>
      <m:oMath>
        <m:r>
          <m:t>γ</m:t>
        </m:r>
      </m:oMath>
      <w:r>
        <w:t xml:space="preserve"> </w:t>
      </w:r>
      <w:r>
        <w:t xml:space="preserve">and</w:t>
      </w:r>
      <w:r>
        <w:t xml:space="preserve"> </w:t>
      </w:r>
      <m:oMath>
        <m:r>
          <m:t>ρ</m:t>
        </m:r>
      </m:oMath>
      <w:r>
        <w:t xml:space="preserve">, respectively and for simplicity it is assumed that</w:t>
      </w:r>
      <w:r>
        <w:t xml:space="preserve"> </w:t>
      </w:r>
      <m:oMath>
        <m:r>
          <m:t>γ</m:t>
        </m:r>
        <m:r>
          <m:rPr>
            <m:sty m:val="p"/>
          </m:rPr>
          <m:t>=</m:t>
        </m:r>
        <m:r>
          <m:t>ρ</m:t>
        </m:r>
        <m:r>
          <m:rPr>
            <m:sty m:val="p"/>
          </m:rPr>
          <m:t>=</m:t>
        </m:r>
        <m:r>
          <m:t>1</m:t>
        </m:r>
      </m:oMath>
      <w:r>
        <w:t xml:space="preserve"> </w:t>
      </w:r>
      <w:r>
        <w:t xml:space="preserve">throughout. The parameter</w:t>
      </w:r>
      <w:r>
        <w:t xml:space="preserve"> </w:t>
      </w:r>
      <m:oMath>
        <m:r>
          <m:t>δ</m:t>
        </m:r>
      </m:oMath>
      <w:r>
        <w:t xml:space="preserve"> </w:t>
      </w:r>
      <w:r>
        <w:t xml:space="preserve">with</w:t>
      </w:r>
      <w:r>
        <w:t xml:space="preserve"> </w:t>
      </w:r>
      <m:oMath>
        <m:r>
          <m:t>0</m:t>
        </m:r>
        <m:r>
          <m:rPr>
            <m:sty m:val="p"/>
          </m:rPr>
          <m:t>≤</m:t>
        </m:r>
        <m:r>
          <m:t>δ</m:t>
        </m:r>
        <m:r>
          <m:rPr>
            <m:sty m:val="p"/>
          </m:rPr>
          <m:t>≤</m:t>
        </m:r>
        <m:r>
          <m:t>1</m:t>
        </m:r>
      </m:oMath>
      <w:r>
        <w:t xml:space="preserve"> </w:t>
      </w:r>
      <w:r>
        <w:t xml:space="preserve">denotes the fraction of CSC divisions that are symmetric, while</w:t>
      </w:r>
      <w:r>
        <w:t xml:space="preserve"> </w:t>
      </w:r>
      <m:oMath>
        <m:r>
          <m:t>1</m:t>
        </m:r>
        <m:r>
          <m:rPr>
            <m:sty m:val="p"/>
          </m:rPr>
          <m:t>−</m:t>
        </m:r>
        <m:r>
          <m:t>δ</m:t>
        </m:r>
      </m:oMath>
      <w:r>
        <w:t xml:space="preserve"> </w:t>
      </w:r>
      <w:r>
        <w:t xml:space="preserve">is the fraction of asymmetric divisions. The parameter</w:t>
      </w:r>
      <w:r>
        <w:t xml:space="preserve"> </w:t>
      </w:r>
      <m:oMath>
        <m:r>
          <m:t>α</m:t>
        </m:r>
      </m:oMath>
      <w:r>
        <w:t xml:space="preserve"> </w:t>
      </w:r>
      <w:r>
        <w:t xml:space="preserve">denotes the spontaneous death rate of TCs. Background cell motility is modelled by the diffusion coefficients</w:t>
      </w:r>
      <w:r>
        <w:t xml:space="preserve"> </w:t>
      </w:r>
      <m:oMath>
        <m:sSub>
          <m:e>
            <m:r>
              <m:t>D</m:t>
            </m:r>
          </m:e>
          <m:sub>
            <m:r>
              <m:t>u</m:t>
            </m:r>
          </m:sub>
        </m:sSub>
      </m:oMath>
      <w:r>
        <w:t xml:space="preserve"> </w:t>
      </w:r>
      <w:r>
        <w:t xml:space="preserve">and</w:t>
      </w:r>
      <w:r>
        <w:t xml:space="preserve"> </w:t>
      </w:r>
      <m:oMath>
        <m:sSub>
          <m:e>
            <m:r>
              <m:t>D</m:t>
            </m:r>
          </m:e>
          <m:sub>
            <m:r>
              <m:t>v</m:t>
            </m:r>
          </m:sub>
        </m:sSub>
      </m:oMath>
      <w:r>
        <w:t xml:space="preserve"> </w:t>
      </w:r>
      <w:r>
        <w:t xml:space="preserve">for CSCs and TCs, respectively. The system is considered to hold in a smooth bounded domain</w:t>
      </w:r>
      <w:r>
        <w:t xml:space="preserve"> </w:t>
      </w:r>
      <m:oMath>
        <m:r>
          <m:t>Ω</m:t>
        </m:r>
      </m:oMath>
      <w:r>
        <w:t xml:space="preserve">, with homogenous Neumann or Dirichlet boundary conditions.</w:t>
      </w:r>
    </w:p>
    <w:p>
      <w:pPr>
        <w:pStyle w:val="BodyText"/>
      </w:pPr>
      <w:r>
        <w:t xml:space="preserve">Homogeneous Neumann boundary conditions correspond to a boundary that is impenetrable by cells this could for example represent, a tissue surrounded by membranes, smooth muscle tissue, or bone, and are given by</w:t>
      </w:r>
    </w:p>
    <w:p>
      <w:pPr>
        <w:pStyle w:val="BodyText"/>
      </w:pPr>
      <w:bookmarkStart w:id="28" w:name="Xe9cb267e17e7211607657da95944a01bca163d5"/>
      <m:oMathPara>
        <m:oMathParaPr>
          <m:jc m:val="center"/>
        </m:oMathParaPr>
        <m:oMath>
          <m:f>
            <m:fPr>
              <m:type m:val="bar"/>
            </m:fPr>
            <m:num>
              <m:r>
                <m:rPr>
                  <m:sty m:val="p"/>
                </m:rPr>
                <m:t>∂</m:t>
              </m:r>
              <m:r>
                <m:t>u</m:t>
              </m:r>
            </m:num>
            <m:den>
              <m:r>
                <m:rPr>
                  <m:sty m:val="p"/>
                </m:rPr>
                <m:t>∂</m:t>
              </m:r>
              <m:r>
                <m:t>n</m:t>
              </m:r>
            </m:den>
          </m:f>
          <m:r>
            <m:rPr>
              <m:sty m:val="p"/>
            </m:rPr>
            <m:t>=</m:t>
          </m:r>
          <m:r>
            <m:t>0</m:t>
          </m:r>
          <m:r>
            <m:rPr>
              <m:sty m:val="p"/>
            </m:rPr>
            <m:t>,</m:t>
          </m:r>
          <m:r>
            <m:t> </m:t>
          </m:r>
          <m:f>
            <m:fPr>
              <m:type m:val="bar"/>
            </m:fPr>
            <m:num>
              <m:r>
                <m:rPr>
                  <m:sty m:val="p"/>
                </m:rPr>
                <m:t>∂</m:t>
              </m:r>
              <m:r>
                <m:t>v</m:t>
              </m:r>
            </m:num>
            <m:den>
              <m:r>
                <m:rPr>
                  <m:sty m:val="p"/>
                </m:rPr>
                <m:t>∂</m:t>
              </m:r>
              <m:r>
                <m:t>n</m:t>
              </m:r>
            </m:den>
          </m:f>
          <m:r>
            <m:rPr>
              <m:sty m:val="p"/>
            </m:rPr>
            <m:t>=</m:t>
          </m:r>
          <m:r>
            <m:t>0</m:t>
          </m:r>
          <m:r>
            <m:t> </m:t>
          </m:r>
          <m:r>
            <m:rPr>
              <m:nor/>
              <m:sty m:val="p"/>
            </m:rPr>
            <m:t>on</m:t>
          </m:r>
          <m:r>
            <m:t> </m:t>
          </m:r>
          <m:r>
            <m:rPr>
              <m:sty m:val="p"/>
            </m:rPr>
            <m:t>∂</m:t>
          </m:r>
          <m:r>
            <m:t>Ω</m:t>
          </m:r>
          <m:r>
            <m:rPr>
              <m:sty m:val="p"/>
            </m:rPr>
            <m:t>,</m:t>
          </m:r>
          <m:r>
            <m:t>  </m:t>
          </m:r>
          <m:d>
            <m:dPr>
              <m:begChr m:val="("/>
              <m:endChr m:val=")"/>
              <m:sepChr m:val=""/>
              <m:grow/>
            </m:dPr>
            <m:e>
              <m:r>
                <m:t>1.3</m:t>
              </m:r>
            </m:e>
          </m:d>
        </m:oMath>
      </m:oMathPara>
      <w:bookmarkEnd w:id="28"/>
    </w:p>
    <w:p>
      <w:pPr>
        <w:pStyle w:val="FirstParagraph"/>
      </w:pPr>
      <w:r>
        <w:t xml:space="preserve">where</w:t>
      </w:r>
      <w:r>
        <w:t xml:space="preserve"> </w:t>
      </w:r>
      <m:oMath>
        <m:r>
          <m:rPr>
            <m:sty m:val="p"/>
          </m:rPr>
          <m:t>∂</m:t>
        </m:r>
        <m:r>
          <m:rPr>
            <m:sty m:val="p"/>
          </m:rPr>
          <m:t>/</m:t>
        </m:r>
        <m:r>
          <m:rPr>
            <m:sty m:val="p"/>
          </m:rPr>
          <m:t>∂</m:t>
        </m:r>
        <m:r>
          <m:t>n</m:t>
        </m:r>
      </m:oMath>
      <w:r>
        <w:t xml:space="preserve"> </w:t>
      </w:r>
      <w:r>
        <w:t xml:space="preserve">is the normal derivative at the boundary. The redistribution kernel can only redistribute cells within this domain</w:t>
      </w:r>
      <w:r>
        <w:t xml:space="preserve"> </w:t>
      </w:r>
      <m:oMath>
        <m:r>
          <m:t>Ω</m:t>
        </m:r>
      </m:oMath>
      <w:r>
        <w:t xml:space="preserve">, hence we impose</w:t>
      </w:r>
    </w:p>
    <w:p>
      <w:pPr>
        <w:pStyle w:val="BodyText"/>
      </w:pPr>
      <w:bookmarkStart w:id="29" w:name="eq-redistribution-kernel-neumann-BC"/>
      <m:oMathPara>
        <m:oMathParaPr>
          <m:jc m:val="center"/>
        </m:oMathParaPr>
        <m:oMath>
          <m:r>
            <m:t>k</m:t>
          </m:r>
          <m:d>
            <m:dPr>
              <m:begChr m:val="("/>
              <m:endChr m:val=")"/>
              <m:sepChr m:val=""/>
              <m:grow/>
            </m:dPr>
            <m:e>
              <m:r>
                <m:t>x</m:t>
              </m:r>
              <m:r>
                <m:rPr>
                  <m:sty m:val="p"/>
                </m:rPr>
                <m:t>,</m:t>
              </m:r>
              <m:r>
                <m:t>y</m:t>
              </m:r>
              <m:r>
                <m:rPr>
                  <m:sty m:val="p"/>
                </m:rPr>
                <m:t>,</m:t>
              </m:r>
              <m:r>
                <m:t>N</m:t>
              </m:r>
            </m:e>
          </m:d>
          <m:r>
            <m:rPr>
              <m:sty m:val="p"/>
            </m:rPr>
            <m:t>=</m:t>
          </m:r>
          <m:r>
            <m:t>0</m:t>
          </m:r>
          <m:r>
            <m:t> </m:t>
          </m:r>
          <m:r>
            <m:rPr>
              <m:nor/>
              <m:sty m:val="p"/>
            </m:rPr>
            <m:t>for</m:t>
          </m:r>
          <m:r>
            <m:t> </m:t>
          </m:r>
          <m:r>
            <m:t>x</m:t>
          </m:r>
          <m:r>
            <m:rPr>
              <m:sty m:val="p"/>
            </m:rPr>
            <m:t>∉</m:t>
          </m:r>
          <m:r>
            <m:t>Ω</m:t>
          </m:r>
          <m:r>
            <m:rPr>
              <m:sty m:val="p"/>
            </m:rPr>
            <m:t>.</m:t>
          </m:r>
          <m:r>
            <m:t>  </m:t>
          </m:r>
          <m:d>
            <m:dPr>
              <m:begChr m:val="("/>
              <m:endChr m:val=")"/>
              <m:sepChr m:val=""/>
              <m:grow/>
            </m:dPr>
            <m:e>
              <m:r>
                <m:t>1.4</m:t>
              </m:r>
            </m:e>
          </m:d>
        </m:oMath>
      </m:oMathPara>
      <w:bookmarkEnd w:id="29"/>
    </w:p>
    <w:p>
      <w:pPr>
        <w:pStyle w:val="FirstParagraph"/>
      </w:pPr>
      <w:r>
        <w:t xml:space="preserve">Homogeneous Dirichlet boundary conditions correspond to a boundary that cells can freely leave but not reenter again, for example this could represent intravasation into adjacent blood vessels, and are given by</w:t>
      </w:r>
    </w:p>
    <w:p>
      <w:pPr>
        <w:pStyle w:val="BodyText"/>
      </w:pPr>
      <w:bookmarkStart w:id="30" w:name="X2ab1cc714be4ba08b23cbcfbfc25ce6032edf3b"/>
      <m:oMathPara>
        <m:oMathParaPr>
          <m:jc m:val="center"/>
        </m:oMathParaPr>
        <m:oMath>
          <m:r>
            <m:t>u</m:t>
          </m:r>
          <m:r>
            <m:rPr>
              <m:sty m:val="p"/>
            </m:rPr>
            <m:t>=</m:t>
          </m:r>
          <m:r>
            <m:t>0</m:t>
          </m:r>
          <m:r>
            <m:rPr>
              <m:sty m:val="p"/>
            </m:rPr>
            <m:t>,</m:t>
          </m:r>
          <m:r>
            <m:t> </m:t>
          </m:r>
          <m:r>
            <m:t>v</m:t>
          </m:r>
          <m:r>
            <m:rPr>
              <m:sty m:val="p"/>
            </m:rPr>
            <m:t>=</m:t>
          </m:r>
          <m:r>
            <m:t>0</m:t>
          </m:r>
          <m:r>
            <m:t> </m:t>
          </m:r>
          <m:r>
            <m:rPr>
              <m:nor/>
              <m:sty m:val="p"/>
            </m:rPr>
            <m:t>on</m:t>
          </m:r>
          <m:r>
            <m:t> </m:t>
          </m:r>
          <m:r>
            <m:rPr>
              <m:sty m:val="p"/>
            </m:rPr>
            <m:t>∂</m:t>
          </m:r>
          <m:r>
            <m:t>Ω</m:t>
          </m:r>
          <m:r>
            <m:rPr>
              <m:sty m:val="p"/>
            </m:rPr>
            <m:t>.</m:t>
          </m:r>
          <m:r>
            <m:t>  </m:t>
          </m:r>
          <m:d>
            <m:dPr>
              <m:begChr m:val="("/>
              <m:endChr m:val=")"/>
              <m:sepChr m:val=""/>
              <m:grow/>
            </m:dPr>
            <m:e>
              <m:r>
                <m:t>1.5</m:t>
              </m:r>
            </m:e>
          </m:d>
        </m:oMath>
      </m:oMathPara>
      <w:bookmarkEnd w:id="30"/>
    </w:p>
    <w:p>
      <w:pPr>
        <w:pStyle w:val="FirstParagraph"/>
      </w:pPr>
      <w:r>
        <w:t xml:space="preserve">The redistribution kernel describes transport of cells out of the domain but does not allow entering from the outside if, hence</w:t>
      </w:r>
    </w:p>
    <w:p>
      <w:pPr>
        <w:pStyle w:val="BodyText"/>
      </w:pPr>
      <w:bookmarkStart w:id="31" w:name="eq-redistribution-kernel-dirichlet-BC"/>
      <m:oMathPara>
        <m:oMathParaPr>
          <m:jc m:val="center"/>
        </m:oMathParaPr>
        <m:oMath>
          <m:r>
            <m:t>k</m:t>
          </m:r>
          <m:d>
            <m:dPr>
              <m:begChr m:val="("/>
              <m:endChr m:val=")"/>
              <m:sepChr m:val=""/>
              <m:grow/>
            </m:dPr>
            <m:e>
              <m:r>
                <m:t>x</m:t>
              </m:r>
              <m:r>
                <m:rPr>
                  <m:sty m:val="p"/>
                </m:rPr>
                <m:t>,</m:t>
              </m:r>
              <m:r>
                <m:t>y</m:t>
              </m:r>
              <m:r>
                <m:rPr>
                  <m:sty m:val="p"/>
                </m:rPr>
                <m:t>,</m:t>
              </m:r>
              <m:r>
                <m:t>N</m:t>
              </m:r>
            </m:e>
          </m:d>
          <m:r>
            <m:rPr>
              <m:sty m:val="p"/>
            </m:rPr>
            <m:t>=</m:t>
          </m:r>
          <m:r>
            <m:t>0</m:t>
          </m:r>
          <m:r>
            <m:t> </m:t>
          </m:r>
          <m:r>
            <m:rPr>
              <m:nor/>
              <m:sty m:val="p"/>
            </m:rPr>
            <m:t>for</m:t>
          </m:r>
          <m:r>
            <m:t> </m:t>
          </m:r>
          <m:r>
            <m:t>y</m:t>
          </m:r>
          <m:r>
            <m:rPr>
              <m:sty m:val="p"/>
            </m:rPr>
            <m:t>∉</m:t>
          </m:r>
          <m:r>
            <m:t>Ω</m:t>
          </m:r>
          <m:r>
            <m:rPr>
              <m:sty m:val="p"/>
            </m:rPr>
            <m:t>.</m:t>
          </m:r>
          <m:r>
            <m:t>  </m:t>
          </m:r>
          <m:d>
            <m:dPr>
              <m:begChr m:val="("/>
              <m:endChr m:val=")"/>
              <m:sepChr m:val=""/>
              <m:grow/>
            </m:dPr>
            <m:e>
              <m:r>
                <m:t>1.6</m:t>
              </m:r>
            </m:e>
          </m:d>
        </m:oMath>
      </m:oMathPara>
      <w:bookmarkEnd w:id="31"/>
    </w:p>
    <w:p>
      <w:pPr>
        <w:pStyle w:val="FirstParagraph"/>
      </w:pPr>
      <w:r>
        <w:t xml:space="preserve">Based on these two boundary conditions we can model any combination of domains such as partially covered by membranes, partially permeable membranes and adjacent blood vessels.</w:t>
      </w:r>
    </w:p>
    <w:bookmarkEnd w:id="32"/>
    <w:bookmarkStart w:id="38" w:name="sec-ode-model-reduction"/>
    <w:p>
      <w:pPr>
        <w:pStyle w:val="Heading3"/>
      </w:pPr>
      <w:r>
        <w:t xml:space="preserve">1.4.3 ODE model reduction</w:t>
      </w:r>
    </w:p>
    <w:p>
      <w:pPr>
        <w:pStyle w:val="FirstParagraph"/>
      </w:pPr>
      <w:r>
        <w:t xml:space="preserve">In order to analyses this model analytically the authors reduce the system of integro-differential equations (</w:t>
      </w:r>
      <w:hyperlink w:anchor="eq-integro-differential-CSC-model">
        <w:r>
          <w:rPr>
            <w:rStyle w:val="Hyperlink"/>
          </w:rPr>
          <w:t xml:space="preserve">Equation 1.2</w:t>
        </w:r>
      </w:hyperlink>
      <w:r>
        <w:t xml:space="preserve">) to a system of ordinary differential equations in the following way.</w:t>
      </w:r>
    </w:p>
    <w:p>
      <w:pPr>
        <w:pStyle w:val="BodyText"/>
      </w:pPr>
      <w:r>
        <w:rPr>
          <w:b/>
          <w:bCs/>
        </w:rPr>
        <w:t xml:space="preserve">Reduction 1: Progeny placement depends only on the density at the destination</w:t>
      </w:r>
      <w:r>
        <w:br/>
      </w:r>
      <w:r>
        <w:t xml:space="preserve">In this case</w:t>
      </w:r>
      <w:r>
        <w:t xml:space="preserve"> </w:t>
      </w:r>
      <m:oMath>
        <m:r>
          <m:t>k</m:t>
        </m:r>
        <m:d>
          <m:dPr>
            <m:begChr m:val="("/>
            <m:endChr m:val=")"/>
            <m:sepChr m:val=""/>
            <m:grow/>
          </m:dPr>
          <m:e>
            <m:r>
              <m:t>x</m:t>
            </m:r>
            <m:r>
              <m:rPr>
                <m:sty m:val="p"/>
              </m:rPr>
              <m:t>,</m:t>
            </m:r>
            <m:r>
              <m:t>y</m:t>
            </m:r>
            <m:r>
              <m:rPr>
                <m:sty m:val="p"/>
              </m:rPr>
              <m:t>,</m:t>
            </m:r>
            <m:r>
              <m:t>N</m:t>
            </m:r>
            <m:d>
              <m:dPr>
                <m:begChr m:val="("/>
                <m:endChr m:val=")"/>
                <m:sepChr m:val=""/>
                <m:grow/>
              </m:dPr>
              <m:e>
                <m:r>
                  <m:t>x</m:t>
                </m:r>
                <m:r>
                  <m:rPr>
                    <m:sty m:val="p"/>
                  </m:rPr>
                  <m:t>,</m:t>
                </m:r>
                <m:r>
                  <m:t>t</m:t>
                </m:r>
              </m:e>
            </m:d>
          </m:e>
        </m:d>
        <m:r>
          <m:rPr>
            <m:sty m:val="p"/>
          </m:rPr>
          <m:t>=</m:t>
        </m:r>
        <m:r>
          <m:t>k</m:t>
        </m:r>
        <m:d>
          <m:dPr>
            <m:begChr m:val="("/>
            <m:endChr m:val=")"/>
            <m:sepChr m:val=""/>
            <m:grow/>
          </m:dPr>
          <m:e>
            <m:r>
              <m:t>N</m:t>
            </m:r>
            <m:d>
              <m:dPr>
                <m:begChr m:val="("/>
                <m:endChr m:val=")"/>
                <m:sepChr m:val=""/>
                <m:grow/>
              </m:dPr>
              <m:e>
                <m:r>
                  <m:t>x</m:t>
                </m:r>
                <m:r>
                  <m:rPr>
                    <m:sty m:val="p"/>
                  </m:rPr>
                  <m:t>,</m:t>
                </m:r>
                <m:r>
                  <m:t>t</m:t>
                </m:r>
              </m:e>
            </m:d>
          </m:e>
        </m:d>
      </m:oMath>
      <w:r>
        <w:t xml:space="preserve">. Introducing mean densities which given that the domain</w:t>
      </w:r>
      <w:r>
        <w:t xml:space="preserve"> </w:t>
      </w:r>
      <m:oMath>
        <m:r>
          <m:t>Ω</m:t>
        </m:r>
      </m:oMath>
      <w:r>
        <w:t xml:space="preserve"> </w:t>
      </w:r>
      <w:r>
        <w:t xml:space="preserve">has unit volume, can be written as</w:t>
      </w:r>
    </w:p>
    <w:p>
      <w:pPr>
        <w:pStyle w:val="BodyText"/>
      </w:pPr>
      <w:bookmarkStart w:id="33" w:name="eq-density-mean"/>
      <m:oMathPara>
        <m:oMathParaPr>
          <m:jc m:val="center"/>
        </m:oMathParaPr>
        <m:oMath>
          <m:acc>
            <m:accPr>
              <m:chr m:val="‾"/>
            </m:accPr>
            <m:e>
              <m:r>
                <m:t>u</m:t>
              </m:r>
            </m:e>
          </m:acc>
          <m:d>
            <m:dPr>
              <m:begChr m:val="("/>
              <m:endChr m:val=")"/>
              <m:sepChr m:val=""/>
              <m:grow/>
            </m:dPr>
            <m:e>
              <m:r>
                <m:t>t</m:t>
              </m:r>
            </m:e>
          </m:d>
          <m:r>
            <m:rPr>
              <m:sty m:val="p"/>
            </m:rPr>
            <m:t>=</m:t>
          </m:r>
          <m:nary>
            <m:naryPr>
              <m:chr m:val="∫"/>
              <m:limLoc m:val="subSup"/>
              <m:subHide m:val="off"/>
              <m:supHide m:val="on"/>
            </m:naryPr>
            <m:sub>
              <m:r>
                <m:t>Ω</m:t>
              </m:r>
            </m:sub>
            <m:sup>
              <m:r>
                <m:t>​</m:t>
              </m:r>
            </m:sup>
            <m:e>
              <m:r>
                <m:t>u</m:t>
              </m:r>
            </m:e>
          </m:nary>
          <m:d>
            <m:dPr>
              <m:begChr m:val="("/>
              <m:endChr m:val=")"/>
              <m:sepChr m:val=""/>
              <m:grow/>
            </m:dPr>
            <m:e>
              <m:r>
                <m:t>y</m:t>
              </m:r>
              <m:r>
                <m:rPr>
                  <m:sty m:val="p"/>
                </m:rPr>
                <m:t>,</m:t>
              </m:r>
              <m:r>
                <m:t>t</m:t>
              </m:r>
            </m:e>
          </m:d>
          <m:r>
            <m:t>d</m:t>
          </m:r>
          <m:r>
            <m:t>y</m:t>
          </m:r>
          <m:r>
            <m:rPr>
              <m:sty m:val="p"/>
            </m:rPr>
            <m:t>,</m:t>
          </m:r>
          <m:r>
            <m:t> </m:t>
          </m:r>
          <m:acc>
            <m:accPr>
              <m:chr m:val="‾"/>
            </m:accPr>
            <m:e>
              <m:r>
                <m:t>v</m:t>
              </m:r>
            </m:e>
          </m:acc>
          <m:d>
            <m:dPr>
              <m:begChr m:val="("/>
              <m:endChr m:val=")"/>
              <m:sepChr m:val=""/>
              <m:grow/>
            </m:dPr>
            <m:e>
              <m:r>
                <m:t>t</m:t>
              </m:r>
            </m:e>
          </m:d>
          <m:r>
            <m:rPr>
              <m:sty m:val="p"/>
            </m:rPr>
            <m:t>=</m:t>
          </m:r>
          <m:nary>
            <m:naryPr>
              <m:chr m:val="∫"/>
              <m:limLoc m:val="subSup"/>
              <m:subHide m:val="off"/>
              <m:supHide m:val="on"/>
            </m:naryPr>
            <m:sub>
              <m:r>
                <m:t>Ω</m:t>
              </m:r>
            </m:sub>
            <m:sup>
              <m:r>
                <m:t>​</m:t>
              </m:r>
            </m:sup>
            <m:e>
              <m:r>
                <m:t>v</m:t>
              </m:r>
            </m:e>
          </m:nary>
          <m:d>
            <m:dPr>
              <m:begChr m:val="("/>
              <m:endChr m:val=")"/>
              <m:sepChr m:val=""/>
              <m:grow/>
            </m:dPr>
            <m:e>
              <m:r>
                <m:t>y</m:t>
              </m:r>
              <m:r>
                <m:rPr>
                  <m:sty m:val="p"/>
                </m:rPr>
                <m:t>,</m:t>
              </m:r>
              <m:r>
                <m:t>t</m:t>
              </m:r>
            </m:e>
          </m:d>
          <m:r>
            <m:t>d</m:t>
          </m:r>
          <m:r>
            <m:t>y</m:t>
          </m:r>
          <m:r>
            <m:rPr>
              <m:sty m:val="p"/>
            </m:rPr>
            <m:t>,</m:t>
          </m:r>
          <m:r>
            <m:t> </m:t>
          </m:r>
          <m:acc>
            <m:accPr>
              <m:chr m:val="‾"/>
            </m:accPr>
            <m:e>
              <m:r>
                <m:t>N</m:t>
              </m:r>
            </m:e>
          </m:acc>
          <m:d>
            <m:dPr>
              <m:begChr m:val="("/>
              <m:endChr m:val=")"/>
              <m:sepChr m:val=""/>
              <m:grow/>
            </m:dPr>
            <m:e>
              <m:r>
                <m:t>t</m:t>
              </m:r>
            </m:e>
          </m:d>
          <m:r>
            <m:rPr>
              <m:sty m:val="p"/>
            </m:rPr>
            <m:t>=</m:t>
          </m:r>
          <m:acc>
            <m:accPr>
              <m:chr m:val="‾"/>
            </m:accPr>
            <m:e>
              <m:r>
                <m:t>u</m:t>
              </m:r>
            </m:e>
          </m:acc>
          <m:d>
            <m:dPr>
              <m:begChr m:val="("/>
              <m:endChr m:val=")"/>
              <m:sepChr m:val=""/>
              <m:grow/>
            </m:dPr>
            <m:e>
              <m:r>
                <m:t>t</m:t>
              </m:r>
            </m:e>
          </m:d>
          <m:r>
            <m:rPr>
              <m:sty m:val="p"/>
            </m:rPr>
            <m:t>+</m:t>
          </m:r>
          <m:acc>
            <m:accPr>
              <m:chr m:val="‾"/>
            </m:accPr>
            <m:e>
              <m:r>
                <m:t>v</m:t>
              </m:r>
            </m:e>
          </m:acc>
          <m:d>
            <m:dPr>
              <m:begChr m:val="("/>
              <m:endChr m:val=")"/>
              <m:sepChr m:val=""/>
              <m:grow/>
            </m:dPr>
            <m:e>
              <m:r>
                <m:t>t</m:t>
              </m:r>
            </m:e>
          </m:d>
          <m:r>
            <m:rPr>
              <m:sty m:val="p"/>
            </m:rPr>
            <m:t>.</m:t>
          </m:r>
          <m:r>
            <m:t>  </m:t>
          </m:r>
          <m:d>
            <m:dPr>
              <m:begChr m:val="("/>
              <m:endChr m:val=")"/>
              <m:sepChr m:val=""/>
              <m:grow/>
            </m:dPr>
            <m:e>
              <m:r>
                <m:t>1.7</m:t>
              </m:r>
            </m:e>
          </m:d>
        </m:oMath>
      </m:oMathPara>
      <w:bookmarkEnd w:id="33"/>
    </w:p>
    <w:p>
      <w:pPr>
        <w:pStyle w:val="FirstParagraph"/>
      </w:pPr>
      <w:r>
        <w:t xml:space="preserve">Then</w:t>
      </w:r>
      <w:r>
        <w:t xml:space="preserve"> </w:t>
      </w:r>
      <w:hyperlink w:anchor="eq-integro-differential-CSC-model">
        <w:r>
          <w:rPr>
            <w:rStyle w:val="Hyperlink"/>
          </w:rPr>
          <w:t xml:space="preserve">Equation 1.2</w:t>
        </w:r>
      </w:hyperlink>
      <w:r>
        <w:t xml:space="preserve"> </w:t>
      </w:r>
      <w:r>
        <w:t xml:space="preserve">becomes:</w:t>
      </w:r>
    </w:p>
    <w:p>
      <w:pPr>
        <w:pStyle w:val="BodyText"/>
      </w:pPr>
      <w:bookmarkStart w:id="34" w:name="eq-first-reduction-ODE-CSC-model"/>
      <m:oMathPara>
        <m:oMathParaPr>
          <m:jc m:val="center"/>
        </m:oMathParaPr>
        <m:oMath>
          <m:m>
            <m:mPr>
              <m:baseJc m:val="center"/>
              <m:plcHide m:val="on"/>
              <m:mcs>
                <m:mc>
                  <m:mcPr>
                    <m:mcJc m:val="right"/>
                    <m:count m:val="1"/>
                  </m:mcPr>
                </m:mc>
                <m:mc>
                  <m:mcPr>
                    <m:mcJc m:val="left"/>
                    <m:count m:val="1"/>
                  </m:mcPr>
                </m:mc>
              </m:mcs>
            </m:mPr>
            <m:mr>
              <m:e>
                <m:sSub>
                  <m:e>
                    <m:r>
                      <m:t>u</m:t>
                    </m:r>
                  </m:e>
                  <m:sub>
                    <m:r>
                      <m:t>t</m:t>
                    </m:r>
                  </m:sub>
                </m:sSub>
                <m:d>
                  <m:dPr>
                    <m:begChr m:val="("/>
                    <m:endChr m:val=")"/>
                    <m:sepChr m:val=""/>
                    <m:grow/>
                  </m:dPr>
                  <m:e>
                    <m:r>
                      <m:t>x</m:t>
                    </m:r>
                    <m:r>
                      <m:rPr>
                        <m:sty m:val="p"/>
                      </m:rPr>
                      <m:t>,</m:t>
                    </m:r>
                    <m:r>
                      <m:t>t</m:t>
                    </m:r>
                  </m:e>
                </m:d>
              </m:e>
              <m:e>
                <m:r>
                  <m:rPr>
                    <m:sty m:val="p"/>
                  </m:rPr>
                  <m:t>=</m:t>
                </m:r>
                <m:sSub>
                  <m:e>
                    <m:r>
                      <m:t>D</m:t>
                    </m:r>
                  </m:e>
                  <m:sub>
                    <m:r>
                      <m:t>u</m:t>
                    </m:r>
                  </m:sub>
                </m:sSub>
                <m:sSup>
                  <m:e>
                    <m:r>
                      <m:rPr>
                        <m:sty m:val="p"/>
                      </m:rPr>
                      <m:t>∇</m:t>
                    </m:r>
                  </m:e>
                  <m:sup>
                    <m:r>
                      <m:t>2</m:t>
                    </m:r>
                  </m:sup>
                </m:sSup>
                <m:r>
                  <m:t>u</m:t>
                </m:r>
                <m:d>
                  <m:dPr>
                    <m:begChr m:val="("/>
                    <m:endChr m:val=")"/>
                    <m:sepChr m:val=""/>
                    <m:grow/>
                  </m:dPr>
                  <m:e>
                    <m:r>
                      <m:t>x</m:t>
                    </m:r>
                    <m:r>
                      <m:rPr>
                        <m:sty m:val="p"/>
                      </m:rPr>
                      <m:t>,</m:t>
                    </m:r>
                    <m:r>
                      <m:t>t</m:t>
                    </m:r>
                  </m:e>
                </m:d>
                <m:r>
                  <m:rPr>
                    <m:sty m:val="p"/>
                  </m:rPr>
                  <m:t>+</m:t>
                </m:r>
                <m:r>
                  <m:t>δ</m:t>
                </m:r>
                <m:r>
                  <m:t>k</m:t>
                </m:r>
                <m:d>
                  <m:dPr>
                    <m:begChr m:val="("/>
                    <m:endChr m:val=")"/>
                    <m:sepChr m:val=""/>
                    <m:grow/>
                  </m:dPr>
                  <m:e>
                    <m:r>
                      <m:t>N</m:t>
                    </m:r>
                    <m:d>
                      <m:dPr>
                        <m:begChr m:val="("/>
                        <m:endChr m:val=")"/>
                        <m:sepChr m:val=""/>
                        <m:grow/>
                      </m:dPr>
                      <m:e>
                        <m:r>
                          <m:t>x</m:t>
                        </m:r>
                        <m:r>
                          <m:rPr>
                            <m:sty m:val="p"/>
                          </m:rPr>
                          <m:t>,</m:t>
                        </m:r>
                        <m:r>
                          <m:t>t</m:t>
                        </m:r>
                      </m:e>
                    </m:d>
                  </m:e>
                </m:d>
                <m:acc>
                  <m:accPr>
                    <m:chr m:val="‾"/>
                  </m:accPr>
                  <m:e>
                    <m:r>
                      <m:t>u</m:t>
                    </m:r>
                  </m:e>
                </m:acc>
                <m:d>
                  <m:dPr>
                    <m:begChr m:val="("/>
                    <m:endChr m:val=")"/>
                    <m:sepChr m:val=""/>
                    <m:grow/>
                  </m:dPr>
                  <m:e>
                    <m:r>
                      <m:t>t</m:t>
                    </m:r>
                  </m:e>
                </m:d>
                <m:r>
                  <m:rPr>
                    <m:sty m:val="p"/>
                  </m:rPr>
                  <m:t>,</m:t>
                </m:r>
              </m:e>
            </m:mr>
            <m:mr>
              <m:e>
                <m:sSub>
                  <m:e>
                    <m:r>
                      <m:t>v</m:t>
                    </m:r>
                  </m:e>
                  <m:sub>
                    <m:r>
                      <m:t>t</m:t>
                    </m:r>
                  </m:sub>
                </m:sSub>
                <m:d>
                  <m:dPr>
                    <m:begChr m:val="("/>
                    <m:endChr m:val=")"/>
                    <m:sepChr m:val=""/>
                    <m:grow/>
                  </m:dPr>
                  <m:e>
                    <m:r>
                      <m:t>x</m:t>
                    </m:r>
                    <m:r>
                      <m:rPr>
                        <m:sty m:val="p"/>
                      </m:rPr>
                      <m:t>,</m:t>
                    </m:r>
                    <m:r>
                      <m:t>t</m:t>
                    </m:r>
                  </m:e>
                </m:d>
              </m:e>
              <m:e>
                <m:r>
                  <m:rPr>
                    <m:sty m:val="p"/>
                  </m:rPr>
                  <m:t>=</m:t>
                </m:r>
                <m:sSub>
                  <m:e>
                    <m:r>
                      <m:t>D</m:t>
                    </m:r>
                  </m:e>
                  <m:sub>
                    <m:r>
                      <m:t>v</m:t>
                    </m:r>
                  </m:sub>
                </m:sSub>
                <m:sSup>
                  <m:e>
                    <m:r>
                      <m:rPr>
                        <m:sty m:val="p"/>
                      </m:rPr>
                      <m:t>∇</m:t>
                    </m:r>
                  </m:e>
                  <m:sup>
                    <m:r>
                      <m:t>2</m:t>
                    </m:r>
                  </m:sup>
                </m:sSup>
                <m:r>
                  <m:t>v</m:t>
                </m:r>
                <m:d>
                  <m:dPr>
                    <m:begChr m:val="("/>
                    <m:endChr m:val=")"/>
                    <m:sepChr m:val=""/>
                    <m:grow/>
                  </m:dPr>
                  <m:e>
                    <m:r>
                      <m:t>x</m:t>
                    </m:r>
                    <m:r>
                      <m:rPr>
                        <m:sty m:val="p"/>
                      </m:rPr>
                      <m:t>,</m:t>
                    </m:r>
                    <m:r>
                      <m:t>t</m:t>
                    </m:r>
                  </m:e>
                </m:d>
                <m:r>
                  <m:rPr>
                    <m:sty m:val="p"/>
                  </m:rPr>
                  <m:t>+</m:t>
                </m:r>
                <m:d>
                  <m:dPr>
                    <m:begChr m:val="("/>
                    <m:endChr m:val=")"/>
                    <m:sepChr m:val=""/>
                    <m:grow/>
                  </m:dPr>
                  <m:e>
                    <m:r>
                      <m:t>1</m:t>
                    </m:r>
                    <m:r>
                      <m:rPr>
                        <m:sty m:val="p"/>
                      </m:rPr>
                      <m:t>−</m:t>
                    </m:r>
                    <m:r>
                      <m:t>δ</m:t>
                    </m:r>
                  </m:e>
                </m:d>
                <m:r>
                  <m:t>k</m:t>
                </m:r>
                <m:d>
                  <m:dPr>
                    <m:begChr m:val="("/>
                    <m:endChr m:val=")"/>
                    <m:sepChr m:val=""/>
                    <m:grow/>
                  </m:dPr>
                  <m:e>
                    <m:r>
                      <m:t>N</m:t>
                    </m:r>
                    <m:d>
                      <m:dPr>
                        <m:begChr m:val="("/>
                        <m:endChr m:val=")"/>
                        <m:sepChr m:val=""/>
                        <m:grow/>
                      </m:dPr>
                      <m:e>
                        <m:r>
                          <m:t>x</m:t>
                        </m:r>
                        <m:r>
                          <m:rPr>
                            <m:sty m:val="p"/>
                          </m:rPr>
                          <m:t>,</m:t>
                        </m:r>
                        <m:r>
                          <m:t>t</m:t>
                        </m:r>
                      </m:e>
                    </m:d>
                  </m:e>
                </m:d>
                <m:acc>
                  <m:accPr>
                    <m:chr m:val="‾"/>
                  </m:accPr>
                  <m:e>
                    <m:r>
                      <m:t>u</m:t>
                    </m:r>
                  </m:e>
                </m:acc>
                <m:d>
                  <m:dPr>
                    <m:begChr m:val="("/>
                    <m:endChr m:val=")"/>
                    <m:sepChr m:val=""/>
                    <m:grow/>
                  </m:dPr>
                  <m:e>
                    <m:r>
                      <m:t>t</m:t>
                    </m:r>
                  </m:e>
                </m:d>
                <m:r>
                  <m:rPr>
                    <m:sty m:val="p"/>
                  </m:rPr>
                  <m:t>+</m:t>
                </m:r>
                <m:r>
                  <m:t>k</m:t>
                </m:r>
                <m:d>
                  <m:dPr>
                    <m:begChr m:val="("/>
                    <m:endChr m:val=")"/>
                    <m:sepChr m:val=""/>
                    <m:grow/>
                  </m:dPr>
                  <m:e>
                    <m:r>
                      <m:t>N</m:t>
                    </m:r>
                    <m:d>
                      <m:dPr>
                        <m:begChr m:val="("/>
                        <m:endChr m:val=")"/>
                        <m:sepChr m:val=""/>
                        <m:grow/>
                      </m:dPr>
                      <m:e>
                        <m:r>
                          <m:t>x</m:t>
                        </m:r>
                        <m:r>
                          <m:rPr>
                            <m:sty m:val="p"/>
                          </m:rPr>
                          <m:t>,</m:t>
                        </m:r>
                        <m:r>
                          <m:t>t</m:t>
                        </m:r>
                      </m:e>
                    </m:d>
                  </m:e>
                </m:d>
                <m:acc>
                  <m:accPr>
                    <m:chr m:val="‾"/>
                  </m:accPr>
                  <m:e>
                    <m:r>
                      <m:t>v</m:t>
                    </m:r>
                  </m:e>
                </m:acc>
                <m:d>
                  <m:dPr>
                    <m:begChr m:val="("/>
                    <m:endChr m:val=")"/>
                    <m:sepChr m:val=""/>
                    <m:grow/>
                  </m:dPr>
                  <m:e>
                    <m:r>
                      <m:t>t</m:t>
                    </m:r>
                  </m:e>
                </m:d>
                <m:r>
                  <m:rPr>
                    <m:sty m:val="p"/>
                  </m:rPr>
                  <m:t>−</m:t>
                </m:r>
                <m:r>
                  <m:t>α</m:t>
                </m:r>
                <m:r>
                  <m:t>v</m:t>
                </m:r>
                <m:d>
                  <m:dPr>
                    <m:begChr m:val="("/>
                    <m:endChr m:val=")"/>
                    <m:sepChr m:val=""/>
                    <m:grow/>
                  </m:dPr>
                  <m:e>
                    <m:r>
                      <m:t>x</m:t>
                    </m:r>
                    <m:r>
                      <m:rPr>
                        <m:sty m:val="p"/>
                      </m:rPr>
                      <m:t>,</m:t>
                    </m:r>
                    <m:r>
                      <m:t>t</m:t>
                    </m:r>
                  </m:e>
                </m:d>
                <m:r>
                  <m:rPr>
                    <m:sty m:val="p"/>
                  </m:rPr>
                  <m:t>.</m:t>
                </m:r>
              </m:e>
            </m:mr>
          </m:m>
          <m:r>
            <m:t>  </m:t>
          </m:r>
          <m:d>
            <m:dPr>
              <m:begChr m:val="("/>
              <m:endChr m:val=")"/>
              <m:sepChr m:val=""/>
              <m:grow/>
            </m:dPr>
            <m:e>
              <m:r>
                <m:t>1.8</m:t>
              </m:r>
            </m:e>
          </m:d>
        </m:oMath>
      </m:oMathPara>
      <w:bookmarkEnd w:id="34"/>
    </w:p>
    <w:p>
      <w:pPr>
        <w:pStyle w:val="FirstParagraph"/>
      </w:pPr>
      <w:r>
        <w:rPr>
          <w:b/>
          <w:bCs/>
        </w:rPr>
        <w:t xml:space="preserve">Reduction 2: Density is uniform across the domain</w:t>
      </w:r>
      <w:r>
        <w:br/>
      </w:r>
      <w:r>
        <w:t xml:space="preserve">If tumour growth is assumed uniform across the domain then,</w:t>
      </w:r>
      <w:r>
        <w:t xml:space="preserve"> </w:t>
      </w:r>
      <m:oMath>
        <m:r>
          <m:t>k</m:t>
        </m:r>
        <m:d>
          <m:dPr>
            <m:begChr m:val="("/>
            <m:endChr m:val=")"/>
            <m:sepChr m:val=""/>
            <m:grow/>
          </m:dPr>
          <m:e>
            <m:r>
              <m:t>N</m:t>
            </m:r>
            <m:d>
              <m:dPr>
                <m:begChr m:val="("/>
                <m:endChr m:val=")"/>
                <m:sepChr m:val=""/>
                <m:grow/>
              </m:dPr>
              <m:e>
                <m:r>
                  <m:t>x</m:t>
                </m:r>
                <m:r>
                  <m:rPr>
                    <m:sty m:val="p"/>
                  </m:rPr>
                  <m:t>,</m:t>
                </m:r>
                <m:r>
                  <m:t>t</m:t>
                </m:r>
              </m:e>
            </m:d>
          </m:e>
        </m:d>
        <m:r>
          <m:rPr>
            <m:sty m:val="p"/>
          </m:rPr>
          <m:t>=</m:t>
        </m:r>
        <m:r>
          <m:t>k</m:t>
        </m:r>
        <m:d>
          <m:dPr>
            <m:begChr m:val="("/>
            <m:endChr m:val=")"/>
            <m:sepChr m:val=""/>
            <m:grow/>
          </m:dPr>
          <m:e>
            <m:acc>
              <m:accPr>
                <m:chr m:val="‾"/>
              </m:accPr>
              <m:e>
                <m:r>
                  <m:t>N</m:t>
                </m:r>
              </m:e>
            </m:acc>
            <m:d>
              <m:dPr>
                <m:begChr m:val="("/>
                <m:endChr m:val=")"/>
                <m:sepChr m:val=""/>
                <m:grow/>
              </m:dPr>
              <m:e>
                <m:r>
                  <m:t>t</m:t>
                </m:r>
              </m:e>
            </m:d>
          </m:e>
        </m:d>
      </m:oMath>
      <w:r>
        <w:t xml:space="preserve"> </w:t>
      </w:r>
      <w:r>
        <w:t xml:space="preserve">and</w:t>
      </w:r>
      <w:r>
        <w:t xml:space="preserve"> </w:t>
      </w:r>
      <m:oMath>
        <m:r>
          <m:t>u</m:t>
        </m:r>
        <m:d>
          <m:dPr>
            <m:begChr m:val="("/>
            <m:endChr m:val=")"/>
            <m:sepChr m:val=""/>
            <m:grow/>
          </m:dPr>
          <m:e>
            <m:r>
              <m:t>x</m:t>
            </m:r>
            <m:r>
              <m:rPr>
                <m:sty m:val="p"/>
              </m:rPr>
              <m:t>,</m:t>
            </m:r>
            <m:r>
              <m:t>t</m:t>
            </m:r>
          </m:e>
        </m:d>
      </m:oMath>
      <w:r>
        <w:t xml:space="preserve"> </w:t>
      </w:r>
      <w:r>
        <w:t xml:space="preserve">and</w:t>
      </w:r>
      <w:r>
        <w:t xml:space="preserve"> </w:t>
      </w:r>
      <m:oMath>
        <m:r>
          <m:t>v</m:t>
        </m:r>
        <m:d>
          <m:dPr>
            <m:begChr m:val="("/>
            <m:endChr m:val=")"/>
            <m:sepChr m:val=""/>
            <m:grow/>
          </m:dPr>
          <m:e>
            <m:r>
              <m:t>x</m:t>
            </m:r>
            <m:r>
              <m:rPr>
                <m:sty m:val="p"/>
              </m:rPr>
              <m:t>,</m:t>
            </m:r>
            <m:r>
              <m:t>t</m:t>
            </m:r>
          </m:e>
        </m:d>
      </m:oMath>
      <w:r>
        <w:t xml:space="preserve"> </w:t>
      </w:r>
      <w:r>
        <w:t xml:space="preserve">can be replaced with their spatially averaged values (</w:t>
      </w:r>
      <m:oMath>
        <m:acc>
          <m:accPr>
            <m:chr m:val="‾"/>
          </m:accPr>
          <m:e>
            <m:r>
              <m:t>u</m:t>
            </m:r>
          </m:e>
        </m:acc>
        <m:d>
          <m:dPr>
            <m:begChr m:val="("/>
            <m:endChr m:val=")"/>
            <m:sepChr m:val=""/>
            <m:grow/>
          </m:dPr>
          <m:e>
            <m:r>
              <m:t>t</m:t>
            </m:r>
          </m:e>
        </m:d>
      </m:oMath>
      <w:r>
        <w:t xml:space="preserve"> </w:t>
      </w:r>
      <w:r>
        <w:t xml:space="preserve">and</w:t>
      </w:r>
      <w:r>
        <w:t xml:space="preserve"> </w:t>
      </w:r>
      <m:oMath>
        <m:acc>
          <m:accPr>
            <m:chr m:val="‾"/>
          </m:accPr>
          <m:e>
            <m:r>
              <m:t>v</m:t>
            </m:r>
          </m:e>
        </m:acc>
        <m:d>
          <m:dPr>
            <m:begChr m:val="("/>
            <m:endChr m:val=")"/>
            <m:sepChr m:val=""/>
            <m:grow/>
          </m:dPr>
          <m:e>
            <m:r>
              <m:t>t</m:t>
            </m:r>
          </m:e>
        </m:d>
      </m:oMath>
      <w:r>
        <w:t xml:space="preserve">) and diffusion is zero everywhere. Therefore,</w:t>
      </w:r>
      <w:r>
        <w:t xml:space="preserve"> </w:t>
      </w:r>
      <w:hyperlink w:anchor="eq-first-reduction-ODE-CSC-model">
        <w:r>
          <w:rPr>
            <w:rStyle w:val="Hyperlink"/>
          </w:rPr>
          <w:t xml:space="preserve">Equation 1.8</w:t>
        </w:r>
      </w:hyperlink>
      <w:r>
        <w:t xml:space="preserve"> </w:t>
      </w:r>
      <w:r>
        <w:t xml:space="preserve">becomes:</w:t>
      </w:r>
    </w:p>
    <w:p>
      <w:pPr>
        <w:pStyle w:val="BodyText"/>
      </w:pPr>
      <w:bookmarkStart w:id="35" w:name="eq-ODE-CSC-model"/>
      <m:oMathPara>
        <m:oMathParaPr>
          <m:jc m:val="center"/>
        </m:oMathParaPr>
        <m:oMath>
          <m:m>
            <m:mPr>
              <m:baseJc m:val="center"/>
              <m:plcHide m:val="on"/>
              <m:mcs>
                <m:mc>
                  <m:mcPr>
                    <m:mcJc m:val="right"/>
                    <m:count m:val="1"/>
                  </m:mcPr>
                </m:mc>
                <m:mc>
                  <m:mcPr>
                    <m:mcJc m:val="left"/>
                    <m:count m:val="1"/>
                  </m:mcPr>
                </m:mc>
              </m:mcs>
            </m:mPr>
            <m:mr>
              <m:e>
                <m:f>
                  <m:fPr>
                    <m:type m:val="bar"/>
                  </m:fPr>
                  <m:num>
                    <m:r>
                      <m:t>d</m:t>
                    </m:r>
                    <m:acc>
                      <m:accPr>
                        <m:chr m:val="‾"/>
                      </m:accPr>
                      <m:e>
                        <m:r>
                          <m:t>u</m:t>
                        </m:r>
                      </m:e>
                    </m:acc>
                  </m:num>
                  <m:den>
                    <m:r>
                      <m:t>d</m:t>
                    </m:r>
                    <m:r>
                      <m:t>t</m:t>
                    </m:r>
                  </m:den>
                </m:f>
              </m:e>
              <m:e>
                <m:r>
                  <m:rPr>
                    <m:sty m:val="p"/>
                  </m:rPr>
                  <m:t>=</m:t>
                </m:r>
                <m:r>
                  <m:t>δ</m:t>
                </m:r>
                <m:r>
                  <m:t>k</m:t>
                </m:r>
                <m:d>
                  <m:dPr>
                    <m:begChr m:val="("/>
                    <m:endChr m:val=")"/>
                    <m:sepChr m:val=""/>
                    <m:grow/>
                  </m:dPr>
                  <m:e>
                    <m:acc>
                      <m:accPr>
                        <m:chr m:val="‾"/>
                      </m:accPr>
                      <m:e>
                        <m:r>
                          <m:t>N</m:t>
                        </m:r>
                      </m:e>
                    </m:acc>
                    <m:d>
                      <m:dPr>
                        <m:begChr m:val="("/>
                        <m:endChr m:val=")"/>
                        <m:sepChr m:val=""/>
                        <m:grow/>
                      </m:dPr>
                      <m:e>
                        <m:r>
                          <m:t>t</m:t>
                        </m:r>
                      </m:e>
                    </m:d>
                  </m:e>
                </m:d>
                <m:acc>
                  <m:accPr>
                    <m:chr m:val="‾"/>
                  </m:accPr>
                  <m:e>
                    <m:r>
                      <m:t>u</m:t>
                    </m:r>
                  </m:e>
                </m:acc>
                <m:r>
                  <m:rPr>
                    <m:sty m:val="p"/>
                  </m:rPr>
                  <m:t>,</m:t>
                </m:r>
              </m:e>
            </m:mr>
            <m:mr>
              <m:e>
                <m:f>
                  <m:fPr>
                    <m:type m:val="bar"/>
                  </m:fPr>
                  <m:num>
                    <m:r>
                      <m:t>d</m:t>
                    </m:r>
                    <m:acc>
                      <m:accPr>
                        <m:chr m:val="‾"/>
                      </m:accPr>
                      <m:e>
                        <m:r>
                          <m:t>v</m:t>
                        </m:r>
                      </m:e>
                    </m:acc>
                  </m:num>
                  <m:den>
                    <m:r>
                      <m:t>d</m:t>
                    </m:r>
                    <m:r>
                      <m:t>t</m:t>
                    </m:r>
                  </m:den>
                </m:f>
              </m:e>
              <m:e>
                <m:r>
                  <m:rPr>
                    <m:sty m:val="p"/>
                  </m:rPr>
                  <m:t>=</m:t>
                </m:r>
                <m:d>
                  <m:dPr>
                    <m:begChr m:val="("/>
                    <m:endChr m:val=")"/>
                    <m:sepChr m:val=""/>
                    <m:grow/>
                  </m:dPr>
                  <m:e>
                    <m:r>
                      <m:t>1</m:t>
                    </m:r>
                    <m:r>
                      <m:rPr>
                        <m:sty m:val="p"/>
                      </m:rPr>
                      <m:t>−</m:t>
                    </m:r>
                    <m:r>
                      <m:t>δ</m:t>
                    </m:r>
                  </m:e>
                </m:d>
                <m:r>
                  <m:t>k</m:t>
                </m:r>
                <m:d>
                  <m:dPr>
                    <m:begChr m:val="("/>
                    <m:endChr m:val=")"/>
                    <m:sepChr m:val=""/>
                    <m:grow/>
                  </m:dPr>
                  <m:e>
                    <m:acc>
                      <m:accPr>
                        <m:chr m:val="‾"/>
                      </m:accPr>
                      <m:e>
                        <m:r>
                          <m:t>N</m:t>
                        </m:r>
                      </m:e>
                    </m:acc>
                    <m:d>
                      <m:dPr>
                        <m:begChr m:val="("/>
                        <m:endChr m:val=")"/>
                        <m:sepChr m:val=""/>
                        <m:grow/>
                      </m:dPr>
                      <m:e>
                        <m:r>
                          <m:t>t</m:t>
                        </m:r>
                      </m:e>
                    </m:d>
                  </m:e>
                </m:d>
                <m:acc>
                  <m:accPr>
                    <m:chr m:val="‾"/>
                  </m:accPr>
                  <m:e>
                    <m:r>
                      <m:t>u</m:t>
                    </m:r>
                  </m:e>
                </m:acc>
                <m:r>
                  <m:rPr>
                    <m:sty m:val="p"/>
                  </m:rPr>
                  <m:t>+</m:t>
                </m:r>
                <m:r>
                  <m:t>k</m:t>
                </m:r>
                <m:d>
                  <m:dPr>
                    <m:begChr m:val="("/>
                    <m:endChr m:val=")"/>
                    <m:sepChr m:val=""/>
                    <m:grow/>
                  </m:dPr>
                  <m:e>
                    <m:acc>
                      <m:accPr>
                        <m:chr m:val="‾"/>
                      </m:accPr>
                      <m:e>
                        <m:r>
                          <m:t>N</m:t>
                        </m:r>
                      </m:e>
                    </m:acc>
                    <m:d>
                      <m:dPr>
                        <m:begChr m:val="("/>
                        <m:endChr m:val=")"/>
                        <m:sepChr m:val=""/>
                        <m:grow/>
                      </m:dPr>
                      <m:e>
                        <m:r>
                          <m:t>t</m:t>
                        </m:r>
                      </m:e>
                    </m:d>
                  </m:e>
                </m:d>
                <m:acc>
                  <m:accPr>
                    <m:chr m:val="‾"/>
                  </m:accPr>
                  <m:e>
                    <m:r>
                      <m:t>v</m:t>
                    </m:r>
                  </m:e>
                </m:acc>
                <m:r>
                  <m:rPr>
                    <m:sty m:val="p"/>
                  </m:rPr>
                  <m:t>−</m:t>
                </m:r>
                <m:r>
                  <m:t>α</m:t>
                </m:r>
                <m:acc>
                  <m:accPr>
                    <m:chr m:val="‾"/>
                  </m:accPr>
                  <m:e>
                    <m:r>
                      <m:t>v</m:t>
                    </m:r>
                  </m:e>
                </m:acc>
                <m:d>
                  <m:dPr>
                    <m:begChr m:val="("/>
                    <m:endChr m:val=")"/>
                    <m:sepChr m:val=""/>
                    <m:grow/>
                  </m:dPr>
                  <m:e>
                    <m:r>
                      <m:t>t</m:t>
                    </m:r>
                  </m:e>
                </m:d>
                <m:r>
                  <m:rPr>
                    <m:sty m:val="p"/>
                  </m:rPr>
                  <m:t>,</m:t>
                </m:r>
              </m:e>
            </m:mr>
          </m:m>
          <m:r>
            <m:t>  </m:t>
          </m:r>
          <m:d>
            <m:dPr>
              <m:begChr m:val="("/>
              <m:endChr m:val=")"/>
              <m:sepChr m:val=""/>
              <m:grow/>
            </m:dPr>
            <m:e>
              <m:r>
                <m:t>1.9</m:t>
              </m:r>
            </m:e>
          </m:d>
        </m:oMath>
      </m:oMathPara>
      <w:bookmarkEnd w:id="35"/>
    </w:p>
    <w:p>
      <w:pPr>
        <w:pStyle w:val="FirstParagraph"/>
      </w:pPr>
      <w:r>
        <w:t xml:space="preserve">where the volume filling constraint</w:t>
      </w:r>
      <w:r>
        <w:t xml:space="preserve"> </w:t>
      </w:r>
      <m:oMath>
        <m:r>
          <m:t>k</m:t>
        </m:r>
        <m:d>
          <m:dPr>
            <m:begChr m:val="("/>
            <m:endChr m:val=")"/>
            <m:sepChr m:val=""/>
            <m:grow/>
          </m:dPr>
          <m:e>
            <m:acc>
              <m:accPr>
                <m:chr m:val="‾"/>
              </m:accPr>
              <m:e>
                <m:r>
                  <m:t>N</m:t>
                </m:r>
              </m:e>
            </m:acc>
          </m:e>
        </m:d>
      </m:oMath>
      <w:r>
        <w:t xml:space="preserve"> </w:t>
      </w:r>
      <w:r>
        <w:t xml:space="preserve">is taken to be</w:t>
      </w:r>
    </w:p>
    <w:p>
      <w:pPr>
        <w:pStyle w:val="BodyText"/>
      </w:pPr>
      <w:bookmarkStart w:id="36" w:name="eq-volume-filling-constraint"/>
      <m:oMathPara>
        <m:oMathParaPr>
          <m:jc m:val="center"/>
        </m:oMathParaPr>
        <m:oMath>
          <m:r>
            <m:t>k</m:t>
          </m:r>
          <m:d>
            <m:dPr>
              <m:begChr m:val="("/>
              <m:endChr m:val=")"/>
              <m:sepChr m:val=""/>
              <m:grow/>
            </m:dPr>
            <m:e>
              <m:acc>
                <m:accPr>
                  <m:chr m:val="‾"/>
                </m:accPr>
                <m:e>
                  <m:r>
                    <m:t>N</m:t>
                  </m:r>
                </m:e>
              </m:acc>
            </m:e>
          </m:d>
          <m:r>
            <m:rPr>
              <m:sty m:val="p"/>
            </m:rPr>
            <m:t>=</m:t>
          </m:r>
          <m:r>
            <m:rPr>
              <m:nor/>
              <m:sty m:val="p"/>
            </m:rPr>
            <m:t>max</m:t>
          </m:r>
          <m:d>
            <m:dPr>
              <m:begChr m:val="{"/>
              <m:endChr m:val="}"/>
              <m:sepChr m:val=""/>
              <m:grow/>
            </m:dPr>
            <m:e>
              <m:r>
                <m:t>0</m:t>
              </m:r>
              <m:r>
                <m:rPr>
                  <m:sty m:val="p"/>
                </m:rPr>
                <m:t>,</m:t>
              </m:r>
              <m:r>
                <m:t>1</m:t>
              </m:r>
              <m:r>
                <m:rPr>
                  <m:sty m:val="p"/>
                </m:rPr>
                <m:t>−</m:t>
              </m:r>
              <m:sSup>
                <m:e>
                  <m:acc>
                    <m:accPr>
                      <m:chr m:val="‾"/>
                    </m:accPr>
                    <m:e>
                      <m:r>
                        <m:t>N</m:t>
                      </m:r>
                    </m:e>
                  </m:acc>
                </m:e>
                <m:sup>
                  <m:r>
                    <m:t>σ</m:t>
                  </m:r>
                </m:sup>
              </m:sSup>
            </m:e>
          </m:d>
          <m:r>
            <m:rPr>
              <m:sty m:val="p"/>
            </m:rPr>
            <m:t>.</m:t>
          </m:r>
          <m:r>
            <m:t> </m:t>
          </m:r>
          <m:r>
            <m:rPr>
              <m:nor/>
              <m:sty m:val="p"/>
            </m:rPr>
            <m:t>for</m:t>
          </m:r>
          <m:r>
            <m:t> </m:t>
          </m:r>
          <m:r>
            <m:t>σ</m:t>
          </m:r>
          <m:r>
            <m:rPr>
              <m:sty m:val="p"/>
            </m:rPr>
            <m:t>&gt;</m:t>
          </m:r>
          <m:r>
            <m:t>1</m:t>
          </m:r>
          <m:r>
            <m:rPr>
              <m:sty m:val="p"/>
            </m:rPr>
            <m:t>.</m:t>
          </m:r>
          <m:r>
            <m:t>  </m:t>
          </m:r>
          <m:d>
            <m:dPr>
              <m:begChr m:val="("/>
              <m:endChr m:val=")"/>
              <m:sepChr m:val=""/>
              <m:grow/>
            </m:dPr>
            <m:e>
              <m:r>
                <m:t>1.10</m:t>
              </m:r>
            </m:e>
          </m:d>
        </m:oMath>
      </m:oMathPara>
      <w:bookmarkEnd w:id="36"/>
    </w:p>
    <w:p>
      <w:pPr>
        <w:pStyle w:val="FirstParagraph"/>
      </w:pPr>
      <w:r>
        <w:t xml:space="preserve">An exponent of</w:t>
      </w:r>
      <w:r>
        <w:t xml:space="preserve"> </w:t>
      </w:r>
      <m:oMath>
        <m:r>
          <m:t>σ</m:t>
        </m:r>
        <m:r>
          <m:rPr>
            <m:sty m:val="p"/>
          </m:rPr>
          <m:t>=</m:t>
        </m:r>
        <m:r>
          <m:t>1</m:t>
        </m:r>
      </m:oMath>
      <w:r>
        <w:t xml:space="preserve"> </w:t>
      </w:r>
      <w:r>
        <w:t xml:space="preserve">corresponds to a linearly decreasing rate of occupancy for newborn cells as the total density</w:t>
      </w:r>
      <w:r>
        <w:t xml:space="preserve"> </w:t>
      </w:r>
      <m:oMath>
        <m:acc>
          <m:accPr>
            <m:chr m:val="‾"/>
          </m:accPr>
          <m:e>
            <m:r>
              <m:t>N</m:t>
            </m:r>
          </m:e>
        </m:acc>
      </m:oMath>
      <w:r>
        <w:t xml:space="preserve"> </w:t>
      </w:r>
      <w:r>
        <w:t xml:space="preserve">increases. Since cells are nonrigid, deformable and able to squeeze into available spaces the authors argue that</w:t>
      </w:r>
      <w:r>
        <w:t xml:space="preserve"> </w:t>
      </w:r>
      <m:oMath>
        <m:r>
          <m:t>σ</m:t>
        </m:r>
        <m:r>
          <m:rPr>
            <m:sty m:val="p"/>
          </m:rPr>
          <m:t>&gt;</m:t>
        </m:r>
        <m:r>
          <m:t>1</m:t>
        </m:r>
      </m:oMath>
      <w:r>
        <w:t xml:space="preserve"> </w:t>
      </w:r>
      <w:r>
        <w:t xml:space="preserve">is appropriate and take it to be</w:t>
      </w:r>
      <w:r>
        <w:t xml:space="preserve"> </w:t>
      </w:r>
      <m:oMath>
        <m:r>
          <m:t>σ</m:t>
        </m:r>
        <m:r>
          <m:rPr>
            <m:sty m:val="p"/>
          </m:rPr>
          <m:t>=</m:t>
        </m:r>
        <m:r>
          <m:t>4</m:t>
        </m:r>
      </m:oMath>
      <w:r>
        <w:t xml:space="preserve">, in all their simulations.</w:t>
      </w:r>
    </w:p>
    <w:p>
      <w:pPr>
        <w:pStyle w:val="BodyText"/>
      </w:pPr>
      <w:r>
        <w:t xml:space="preserve">Without a CSCs population</w:t>
      </w:r>
      <w:r>
        <w:t xml:space="preserve"> </w:t>
      </w:r>
      <m:oMath>
        <m:acc>
          <m:accPr>
            <m:chr m:val="‾"/>
          </m:accPr>
          <m:e>
            <m:r>
              <m:t>u</m:t>
            </m:r>
          </m:e>
        </m:acc>
        <m:d>
          <m:dPr>
            <m:begChr m:val="("/>
            <m:endChr m:val=")"/>
            <m:sepChr m:val=""/>
            <m:grow/>
          </m:dPr>
          <m:e>
            <m:r>
              <m:t>t</m:t>
            </m:r>
          </m:e>
        </m:d>
      </m:oMath>
      <w:r>
        <w:t xml:space="preserve">, the density of TCs</w:t>
      </w:r>
      <w:r>
        <w:t xml:space="preserve"> </w:t>
      </w:r>
      <m:oMath>
        <m:acc>
          <m:accPr>
            <m:chr m:val="‾"/>
          </m:accPr>
          <m:e>
            <m:r>
              <m:t>v</m:t>
            </m:r>
          </m:e>
        </m:acc>
        <m:d>
          <m:dPr>
            <m:begChr m:val="("/>
            <m:endChr m:val=")"/>
            <m:sepChr m:val=""/>
            <m:grow/>
          </m:dPr>
          <m:e>
            <m:r>
              <m:t>t</m:t>
            </m:r>
          </m:e>
        </m:d>
      </m:oMath>
      <w:r>
        <w:t xml:space="preserve"> </w:t>
      </w:r>
      <w:r>
        <w:t xml:space="preserve">satisfies the equation</w:t>
      </w:r>
    </w:p>
    <w:p>
      <w:pPr>
        <w:pStyle w:val="BodyText"/>
      </w:pPr>
      <w:bookmarkStart w:id="37" w:name="eq-ODE-TC-only-model"/>
      <m:oMathPara>
        <m:oMathParaPr>
          <m:jc m:val="center"/>
        </m:oMathParaPr>
        <m:oMath>
          <m:f>
            <m:fPr>
              <m:type m:val="bar"/>
            </m:fPr>
            <m:num>
              <m:r>
                <m:t>d</m:t>
              </m:r>
              <m:acc>
                <m:accPr>
                  <m:chr m:val="‾"/>
                </m:accPr>
                <m:e>
                  <m:r>
                    <m:t>v</m:t>
                  </m:r>
                </m:e>
              </m:acc>
            </m:num>
            <m:den>
              <m:r>
                <m:t>d</m:t>
              </m:r>
              <m:r>
                <m:t>t</m:t>
              </m:r>
            </m:den>
          </m:f>
          <m:r>
            <m:rPr>
              <m:sty m:val="p"/>
            </m:rPr>
            <m:t>=</m:t>
          </m:r>
          <m:r>
            <m:t>K</m:t>
          </m:r>
          <m:d>
            <m:dPr>
              <m:begChr m:val="("/>
              <m:endChr m:val=")"/>
              <m:sepChr m:val=""/>
              <m:grow/>
            </m:dPr>
            <m:e>
              <m:acc>
                <m:accPr>
                  <m:chr m:val="‾"/>
                </m:accPr>
                <m:e>
                  <m:r>
                    <m:t>v</m:t>
                  </m:r>
                </m:e>
              </m:acc>
              <m:d>
                <m:dPr>
                  <m:begChr m:val="("/>
                  <m:endChr m:val=")"/>
                  <m:sepChr m:val=""/>
                  <m:grow/>
                </m:dPr>
                <m:e>
                  <m:r>
                    <m:t>t</m:t>
                  </m:r>
                </m:e>
              </m:d>
            </m:e>
          </m:d>
          <m:acc>
            <m:accPr>
              <m:chr m:val="‾"/>
            </m:accPr>
            <m:e>
              <m:r>
                <m:t>v</m:t>
              </m:r>
            </m:e>
          </m:acc>
          <m:d>
            <m:dPr>
              <m:begChr m:val="("/>
              <m:endChr m:val=")"/>
              <m:sepChr m:val=""/>
              <m:grow/>
            </m:dPr>
            <m:e>
              <m:r>
                <m:t>t</m:t>
              </m:r>
            </m:e>
          </m:d>
          <m:r>
            <m:rPr>
              <m:sty m:val="p"/>
            </m:rPr>
            <m:t>−</m:t>
          </m:r>
          <m:r>
            <m:t>α</m:t>
          </m:r>
          <m:acc>
            <m:accPr>
              <m:chr m:val="‾"/>
            </m:accPr>
            <m:e>
              <m:r>
                <m:t>v</m:t>
              </m:r>
            </m:e>
          </m:acc>
          <m:d>
            <m:dPr>
              <m:begChr m:val="("/>
              <m:endChr m:val=")"/>
              <m:sepChr m:val=""/>
              <m:grow/>
            </m:dPr>
            <m:e>
              <m:r>
                <m:t>t</m:t>
              </m:r>
            </m:e>
          </m:d>
          <m:r>
            <m:rPr>
              <m:sty m:val="p"/>
            </m:rPr>
            <m:t>.</m:t>
          </m:r>
          <m:r>
            <m:t>  </m:t>
          </m:r>
          <m:d>
            <m:dPr>
              <m:begChr m:val="("/>
              <m:endChr m:val=")"/>
              <m:sepChr m:val=""/>
              <m:grow/>
            </m:dPr>
            <m:e>
              <m:r>
                <m:t>1.11</m:t>
              </m:r>
            </m:e>
          </m:d>
        </m:oMath>
      </m:oMathPara>
      <w:bookmarkEnd w:id="37"/>
    </w:p>
    <w:p>
      <w:pPr>
        <w:pStyle w:val="FirstParagraph"/>
      </w:pPr>
      <w:r>
        <w:t xml:space="preserve">Since</w:t>
      </w:r>
      <w:r>
        <w:t xml:space="preserve"> </w:t>
      </w:r>
      <m:oMath>
        <m:r>
          <m:t>K</m:t>
        </m:r>
        <m:d>
          <m:dPr>
            <m:begChr m:val="("/>
            <m:endChr m:val=")"/>
            <m:sepChr m:val=""/>
            <m:grow/>
          </m:dPr>
          <m:e>
            <m:acc>
              <m:accPr>
                <m:chr m:val="‾"/>
              </m:accPr>
              <m:e>
                <m:r>
                  <m:t>v</m:t>
                </m:r>
              </m:e>
            </m:acc>
            <m:d>
              <m:dPr>
                <m:begChr m:val="("/>
                <m:endChr m:val=")"/>
                <m:sepChr m:val=""/>
                <m:grow/>
              </m:dPr>
              <m:e>
                <m:r>
                  <m:t>t</m:t>
                </m:r>
              </m:e>
            </m:d>
          </m:e>
        </m:d>
      </m:oMath>
      <w:r>
        <w:t xml:space="preserve"> </w:t>
      </w:r>
      <w:r>
        <w:t xml:space="preserve">is a decreasing function of</w:t>
      </w:r>
      <w:r>
        <w:t xml:space="preserve"> </w:t>
      </w:r>
      <m:oMath>
        <m:acc>
          <m:accPr>
            <m:chr m:val="‾"/>
          </m:accPr>
          <m:e>
            <m:r>
              <m:t>v</m:t>
            </m:r>
          </m:e>
        </m:acc>
        <m:d>
          <m:dPr>
            <m:begChr m:val="("/>
            <m:endChr m:val=")"/>
            <m:sepChr m:val=""/>
            <m:grow/>
          </m:dPr>
          <m:e>
            <m:r>
              <m:t>t</m:t>
            </m:r>
          </m:e>
        </m:d>
      </m:oMath>
      <w:r>
        <w:t xml:space="preserve"> </w:t>
      </w:r>
      <w:r>
        <w:t xml:space="preserve">the TC population will die out when</w:t>
      </w:r>
      <w:r>
        <w:t xml:space="preserve"> </w:t>
      </w:r>
      <m:oMath>
        <m:r>
          <m:t>α</m:t>
        </m:r>
        <m:r>
          <m:rPr>
            <m:sty m:val="p"/>
          </m:rPr>
          <m:t>&gt;</m:t>
        </m:r>
        <m:r>
          <m:t>k</m:t>
        </m:r>
        <m:d>
          <m:dPr>
            <m:begChr m:val="("/>
            <m:endChr m:val=")"/>
            <m:sepChr m:val=""/>
            <m:grow/>
          </m:dPr>
          <m:e>
            <m:r>
              <m:t>0</m:t>
            </m:r>
          </m:e>
        </m:d>
      </m:oMath>
      <w:r>
        <w:t xml:space="preserve">.</w:t>
      </w:r>
    </w:p>
    <w:p>
      <w:pPr>
        <w:pStyle w:val="BodyText"/>
      </w:pPr>
      <w:r>
        <w:t xml:space="preserve">This simpler ODE model allows for analytical analysis of the steady states, from which it can be shown that the pure stem cell steady state</w:t>
      </w:r>
      <w:r>
        <w:t xml:space="preserve"> </w:t>
      </w:r>
      <m:oMath>
        <m:d>
          <m:dPr>
            <m:begChr m:val="("/>
            <m:endChr m:val=")"/>
            <m:sepChr m:val=""/>
            <m:grow/>
          </m:dPr>
          <m:e>
            <m:r>
              <m:t>u</m:t>
            </m:r>
            <m:r>
              <m:rPr>
                <m:sty m:val="p"/>
              </m:rPr>
              <m:t>,</m:t>
            </m:r>
            <m:r>
              <m:t>v</m:t>
            </m:r>
          </m:e>
        </m:d>
        <m:r>
          <m:rPr>
            <m:sty m:val="p"/>
          </m:rPr>
          <m:t>=</m:t>
        </m:r>
        <m:d>
          <m:dPr>
            <m:begChr m:val="("/>
            <m:endChr m:val=")"/>
            <m:sepChr m:val=""/>
            <m:grow/>
          </m:dPr>
          <m:e>
            <m:r>
              <m:t>1</m:t>
            </m:r>
            <m:r>
              <m:rPr>
                <m:sty m:val="p"/>
              </m:rPr>
              <m:t>,</m:t>
            </m:r>
            <m:r>
              <m:t>0</m:t>
            </m:r>
          </m:e>
        </m:d>
      </m:oMath>
      <w:r>
        <w:t xml:space="preserve"> </w:t>
      </w:r>
      <w:r>
        <w:t xml:space="preserve">is a global attractor. Therefore, this model predicts that for long times the tumour will consist of only stem cells. Intermediate tumor consistency and steady state time are dependent on cell death rate</w:t>
      </w:r>
      <w:r>
        <w:t xml:space="preserve"> </w:t>
      </w:r>
      <m:oMath>
        <m:r>
          <m:t>α</m:t>
        </m:r>
      </m:oMath>
      <w:r>
        <w:t xml:space="preserve">. The convergence to</w:t>
      </w:r>
      <w:r>
        <w:t xml:space="preserve"> </w:t>
      </w:r>
      <m:oMath>
        <m:d>
          <m:dPr>
            <m:begChr m:val="("/>
            <m:endChr m:val=")"/>
            <m:sepChr m:val=""/>
            <m:grow/>
          </m:dPr>
          <m:e>
            <m:r>
              <m:t>1</m:t>
            </m:r>
            <m:r>
              <m:rPr>
                <m:sty m:val="p"/>
              </m:rPr>
              <m:t>,</m:t>
            </m:r>
            <m:r>
              <m:t>0</m:t>
            </m:r>
          </m:e>
        </m:d>
      </m:oMath>
      <w:r>
        <w:t xml:space="preserve"> </w:t>
      </w:r>
      <w:r>
        <w:t xml:space="preserve">is somewhat surprising as typically the CSC compartment is considered small comprising only 1-3% of the tumour</w:t>
      </w:r>
      <w:r>
        <w:t xml:space="preserve"> </w:t>
      </w:r>
      <w:r>
        <w:t xml:space="preserve">(Bao et al. 2006)</w:t>
      </w:r>
      <w:r>
        <w:t xml:space="preserve">. However, the authors argue that this does not interfere with our analysis, since we are not interested in the long time dynamics (</w:t>
      </w:r>
      <m:oMath>
        <m:r>
          <m:t>t</m:t>
        </m:r>
        <m:r>
          <m:rPr>
            <m:sty m:val="p"/>
          </m:rPr>
          <m:t>→</m:t>
        </m:r>
        <m:r>
          <m:rPr>
            <m:sty m:val="p"/>
          </m:rPr>
          <m:t>∞</m:t>
        </m:r>
      </m:oMath>
      <w:r>
        <w:t xml:space="preserve">), but rather in the intermediate time dynamics of the tumor.</w:t>
      </w:r>
    </w:p>
    <w:bookmarkEnd w:id="38"/>
    <w:bookmarkStart w:id="41" w:name="sec-stochastic-model"/>
    <w:p>
      <w:pPr>
        <w:pStyle w:val="Heading3"/>
      </w:pPr>
      <w:r>
        <w:t xml:space="preserve">1.4.4 Stochastic model of CSC dynamics</w:t>
      </w:r>
    </w:p>
    <w:p>
      <w:pPr>
        <w:pStyle w:val="FirstParagraph"/>
      </w:pPr>
      <w:r>
        <w:t xml:space="preserve">In</w:t>
      </w:r>
      <w:r>
        <w:t xml:space="preserve"> </w:t>
      </w:r>
      <w:r>
        <w:t xml:space="preserve">(Turner et al. 2009)</w:t>
      </w:r>
      <w:r>
        <w:t xml:space="preserve">, the authors first develop a stochastic model for the dynamics of CSCs and TCs, particularly for the case of brain cancer. This stochastic model is particular appropriate for situations in which small numbers of cells are present such as</w:t>
      </w:r>
      <w:r>
        <w:t xml:space="preserve"> </w:t>
      </w:r>
      <w:r>
        <w:rPr>
          <w:i/>
          <w:iCs/>
        </w:rPr>
        <w:t xml:space="preserve">in vitro</w:t>
      </w:r>
      <w:r>
        <w:t xml:space="preserve"> </w:t>
      </w:r>
      <w:r>
        <w:t xml:space="preserve">or in the early stages of tumour formation. In these cases stochastic fluctuations may have significant effects and cannot be neglected. To study larger populations the authors then derive a deterministic ODE model, based on the stochastic master equation, that describes the average number of CSCs and TCs.</w:t>
      </w:r>
    </w:p>
    <w:p>
      <w:pPr>
        <w:pStyle w:val="BodyText"/>
      </w:pPr>
      <w:r>
        <w:t xml:space="preserve">The model assumptions on CSCs and TCs are largely similar as those given previously in</w:t>
      </w:r>
      <w:r>
        <w:t xml:space="preserve"> </w:t>
      </w:r>
      <w:hyperlink w:anchor="sec-agent-based-model">
        <w:r>
          <w:rPr>
            <w:rStyle w:val="Hyperlink"/>
          </w:rPr>
          <w:t xml:space="preserve">Section 1.4.1</w:t>
        </w:r>
      </w:hyperlink>
      <w:r>
        <w:t xml:space="preserve">. However, it is assumed that CSCs are not immortal so have some probability of death. Defining</w:t>
      </w:r>
      <w:r>
        <w:t xml:space="preserve"> </w:t>
      </w:r>
      <m:oMath>
        <m:r>
          <m:t>p</m:t>
        </m:r>
        <m:d>
          <m:dPr>
            <m:begChr m:val="("/>
            <m:endChr m:val=")"/>
            <m:sepChr m:val=""/>
            <m:grow/>
          </m:dPr>
          <m:e>
            <m:sSub>
              <m:e>
                <m:r>
                  <m:t>n</m:t>
                </m:r>
              </m:e>
              <m:sub>
                <m:r>
                  <m:t>s</m:t>
                </m:r>
              </m:sub>
            </m:sSub>
            <m:r>
              <m:rPr>
                <m:sty m:val="p"/>
              </m:rPr>
              <m:t>,</m:t>
            </m:r>
            <m:sSub>
              <m:e>
                <m:r>
                  <m:t>n</m:t>
                </m:r>
              </m:e>
              <m:sub>
                <m:r>
                  <m:t>p</m:t>
                </m:r>
              </m:sub>
            </m:sSub>
            <m:r>
              <m:rPr>
                <m:sty m:val="p"/>
              </m:rPr>
              <m:t>,</m:t>
            </m:r>
            <m:r>
              <m:t>t</m:t>
            </m:r>
          </m:e>
        </m:d>
      </m:oMath>
      <w:r>
        <w:t xml:space="preserve"> </w:t>
      </w:r>
      <w:r>
        <w:t xml:space="preserve">as the probability that there are exactly</w:t>
      </w:r>
      <w:r>
        <w:t xml:space="preserve"> </w:t>
      </w:r>
      <m:oMath>
        <m:sSub>
          <m:e>
            <m:r>
              <m:t>n</m:t>
            </m:r>
          </m:e>
          <m:sub>
            <m:r>
              <m:t>s</m:t>
            </m:r>
          </m:sub>
        </m:sSub>
      </m:oMath>
      <w:r>
        <w:t xml:space="preserve"> </w:t>
      </w:r>
      <w:r>
        <w:t xml:space="preserve">CSCs and</w:t>
      </w:r>
      <w:r>
        <w:t xml:space="preserve"> </w:t>
      </w:r>
      <m:oMath>
        <m:sSub>
          <m:e>
            <m:r>
              <m:t>n</m:t>
            </m:r>
          </m:e>
          <m:sub>
            <m:r>
              <m:t>p</m:t>
            </m:r>
          </m:sub>
        </m:sSub>
      </m:oMath>
      <w:r>
        <w:t xml:space="preserve"> </w:t>
      </w:r>
      <w:r>
        <w:t xml:space="preserve">TCs at time</w:t>
      </w:r>
      <w:r>
        <w:t xml:space="preserve"> </w:t>
      </w:r>
      <m:oMath>
        <m:r>
          <m:t>t</m:t>
        </m:r>
      </m:oMath>
      <w:r>
        <w:t xml:space="preserve">, The stochastic master equation is given by</w:t>
      </w:r>
    </w:p>
    <w:p>
      <w:pPr>
        <w:pStyle w:val="BodyText"/>
      </w:pPr>
      <w:bookmarkStart w:id="39" w:name="eq-stochastic-master-equation"/>
      <m:oMathPara>
        <m:oMathParaPr>
          <m:jc m:val="center"/>
        </m:oMathParaPr>
        <m:oMath>
          <m:m>
            <m:mPr>
              <m:baseJc m:val="center"/>
              <m:plcHide m:val="on"/>
              <m:mcs>
                <m:mc>
                  <m:mcPr>
                    <m:mcJc m:val="right"/>
                    <m:count m:val="1"/>
                  </m:mcPr>
                </m:mc>
                <m:mc>
                  <m:mcPr>
                    <m:mcJc m:val="left"/>
                    <m:count m:val="1"/>
                  </m:mcPr>
                </m:mc>
              </m:mcs>
            </m:mPr>
            <m:mr>
              <m:e>
                <m:f>
                  <m:fPr>
                    <m:type m:val="bar"/>
                  </m:fPr>
                  <m:num>
                    <m:r>
                      <m:t>d</m:t>
                    </m:r>
                    <m:r>
                      <m:t>p</m:t>
                    </m:r>
                    <m:d>
                      <m:dPr>
                        <m:begChr m:val="("/>
                        <m:endChr m:val=")"/>
                        <m:sepChr m:val=""/>
                        <m:grow/>
                      </m:dPr>
                      <m:e>
                        <m:sSub>
                          <m:e>
                            <m:r>
                              <m:t>n</m:t>
                            </m:r>
                          </m:e>
                          <m:sub>
                            <m:r>
                              <m:t>s</m:t>
                            </m:r>
                          </m:sub>
                        </m:sSub>
                        <m:r>
                          <m:rPr>
                            <m:sty m:val="p"/>
                          </m:rPr>
                          <m:t>,</m:t>
                        </m:r>
                        <m:sSub>
                          <m:e>
                            <m:r>
                              <m:t>n</m:t>
                            </m:r>
                          </m:e>
                          <m:sub>
                            <m:r>
                              <m:t>p</m:t>
                            </m:r>
                          </m:sub>
                        </m:sSub>
                        <m:r>
                          <m:rPr>
                            <m:sty m:val="p"/>
                          </m:rPr>
                          <m:t>,</m:t>
                        </m:r>
                        <m:r>
                          <m:t>t</m:t>
                        </m:r>
                      </m:e>
                    </m:d>
                  </m:num>
                  <m:den>
                    <m:r>
                      <m:t>d</m:t>
                    </m:r>
                    <m:r>
                      <m:t>t</m:t>
                    </m:r>
                  </m:den>
                </m:f>
                <m:r>
                  <m:rPr>
                    <m:sty m:val="p"/>
                  </m:rPr>
                  <m:t>=</m:t>
                </m:r>
              </m:e>
              <m:e>
                <m:r>
                  <m:t> </m:t>
                </m:r>
                <m:sSub>
                  <m:e>
                    <m:r>
                      <m:t>ρ</m:t>
                    </m:r>
                  </m:e>
                  <m:sub>
                    <m:r>
                      <m:t>s</m:t>
                    </m:r>
                  </m:sub>
                </m:sSub>
                <m:d>
                  <m:dPr>
                    <m:begChr m:val="["/>
                    <m:endChr m:val=""/>
                    <m:sepChr m:val=""/>
                    <m:grow/>
                  </m:dPr>
                  <m:e>
                    <m:sSub>
                      <m:e>
                        <m:r>
                          <m:t>r</m:t>
                        </m:r>
                      </m:e>
                      <m:sub>
                        <m:r>
                          <m:t>1</m:t>
                        </m:r>
                      </m:sub>
                    </m:sSub>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t</m:t>
                        </m:r>
                      </m:e>
                    </m:d>
                  </m:e>
                </m:d>
              </m:e>
            </m:mr>
            <m:mr>
              <m:e/>
              <m:e>
                <m:r>
                  <m:rPr>
                    <m:sty m:val="p"/>
                  </m:rPr>
                  <m:t>+</m:t>
                </m:r>
                <m:sSub>
                  <m:e>
                    <m:r>
                      <m:t>r</m:t>
                    </m:r>
                  </m:e>
                  <m:sub>
                    <m:r>
                      <m:t>2</m:t>
                    </m:r>
                  </m:sub>
                </m:sSub>
                <m:sSub>
                  <m:e>
                    <m:r>
                      <m:t>n</m:t>
                    </m:r>
                  </m:e>
                  <m:sub>
                    <m:r>
                      <m:t>p</m:t>
                    </m:r>
                  </m:sub>
                </m:sSub>
                <m:r>
                  <m:t>p</m:t>
                </m:r>
                <m:d>
                  <m:dPr>
                    <m:begChr m:val="("/>
                    <m:endChr m:val=")"/>
                    <m:sepChr m:val=""/>
                    <m:grow/>
                  </m:dPr>
                  <m:e>
                    <m:sSub>
                      <m:e>
                        <m:r>
                          <m:t>n</m:t>
                        </m:r>
                      </m:e>
                      <m:sub>
                        <m:r>
                          <m:t>s</m:t>
                        </m:r>
                      </m:sub>
                    </m:sSub>
                    <m:r>
                      <m:rPr>
                        <m:sty m:val="p"/>
                      </m:rPr>
                      <m:t>,</m:t>
                    </m:r>
                    <m:sSub>
                      <m:e>
                        <m:r>
                          <m:t>n</m:t>
                        </m:r>
                      </m:e>
                      <m:sub>
                        <m:r>
                          <m:t>p</m:t>
                        </m:r>
                      </m:sub>
                    </m:sSub>
                    <m:r>
                      <m:rPr>
                        <m:sty m:val="p"/>
                      </m:rPr>
                      <m:t>−</m:t>
                    </m:r>
                    <m:r>
                      <m:t>1</m:t>
                    </m:r>
                    <m:r>
                      <m:rPr>
                        <m:sty m:val="p"/>
                      </m:rPr>
                      <m:t>,</m:t>
                    </m:r>
                    <m:r>
                      <m:t>t</m:t>
                    </m:r>
                  </m:e>
                </m:d>
              </m:e>
            </m:mr>
            <m:mr>
              <m:e/>
              <m:e>
                <m:r>
                  <m:rPr>
                    <m:sty m:val="p"/>
                  </m:rPr>
                  <m:t>+</m:t>
                </m:r>
                <m:sSub>
                  <m:e>
                    <m:r>
                      <m:t>r</m:t>
                    </m:r>
                  </m:e>
                  <m:sub>
                    <m:r>
                      <m:t>3</m:t>
                    </m:r>
                  </m:sub>
                </m:sSub>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2</m:t>
                    </m:r>
                    <m:r>
                      <m:rPr>
                        <m:sty m:val="p"/>
                      </m:rPr>
                      <m:t>,</m:t>
                    </m:r>
                    <m:r>
                      <m:t>t</m:t>
                    </m:r>
                  </m:e>
                </m:d>
              </m:e>
            </m:mr>
            <m:mr>
              <m:e/>
              <m:e>
                <m:d>
                  <m:dPr>
                    <m:begChr m:val=""/>
                    <m:endChr m:val="]"/>
                    <m:sepChr m:val=""/>
                    <m:grow/>
                  </m:dPr>
                  <m:e>
                    <m:r>
                      <m:rPr>
                        <m:sty m:val="p"/>
                      </m:rPr>
                      <m:t>−</m:t>
                    </m:r>
                    <m:sSub>
                      <m:e>
                        <m:r>
                          <m:t>n</m:t>
                        </m:r>
                      </m:e>
                      <m:sub>
                        <m:r>
                          <m:t>s</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e>
            </m:mr>
            <m:mr>
              <m:e/>
              <m:e>
                <m:r>
                  <m:rPr>
                    <m:sty m:val="p"/>
                  </m:rPr>
                  <m:t>+</m:t>
                </m:r>
                <m:sSub>
                  <m:e>
                    <m:r>
                      <m:t>Γ</m:t>
                    </m:r>
                  </m:e>
                  <m:sub>
                    <m:r>
                      <m:t>s</m:t>
                    </m:r>
                  </m:sub>
                </m:sSub>
                <m:d>
                  <m:dPr>
                    <m:begChr m:val="["/>
                    <m:endChr m:val="]"/>
                    <m:sepChr m:val=""/>
                    <m:grow/>
                  </m:dPr>
                  <m:e>
                    <m:d>
                      <m:dPr>
                        <m:begChr m:val="("/>
                        <m:endChr m:val=")"/>
                        <m:sepChr m:val=""/>
                        <m:grow/>
                      </m:dPr>
                      <m:e>
                        <m:sSub>
                          <m:e>
                            <m:r>
                              <m:t>n</m:t>
                            </m:r>
                          </m:e>
                          <m:sub>
                            <m:r>
                              <m:t>s</m:t>
                            </m:r>
                          </m:sub>
                        </m:sSub>
                        <m:r>
                          <m:rPr>
                            <m:sty m:val="p"/>
                          </m:rPr>
                          <m:t>+</m:t>
                        </m:r>
                        <m:r>
                          <m:t>1</m:t>
                        </m:r>
                      </m:e>
                    </m:d>
                    <m:r>
                      <m:t>p</m:t>
                    </m:r>
                    <m:d>
                      <m:dPr>
                        <m:begChr m:val="("/>
                        <m:endChr m:val=")"/>
                        <m:sepChr m:val=""/>
                        <m:grow/>
                      </m:dPr>
                      <m:e>
                        <m:sSub>
                          <m:e>
                            <m:r>
                              <m:t>n</m:t>
                            </m:r>
                          </m:e>
                          <m:sub>
                            <m:r>
                              <m:t>s</m:t>
                            </m:r>
                          </m:sub>
                        </m:sSub>
                        <m:r>
                          <m:rPr>
                            <m:sty m:val="p"/>
                          </m:rPr>
                          <m:t>+</m:t>
                        </m:r>
                        <m:r>
                          <m:t>1</m:t>
                        </m:r>
                        <m:r>
                          <m:rPr>
                            <m:sty m:val="p"/>
                          </m:rPr>
                          <m:t>,</m:t>
                        </m:r>
                        <m:sSub>
                          <m:e>
                            <m:r>
                              <m:t>n</m:t>
                            </m:r>
                          </m:e>
                          <m:sub>
                            <m:r>
                              <m:t>p</m:t>
                            </m:r>
                          </m:sub>
                        </m:sSub>
                        <m:r>
                          <m:rPr>
                            <m:sty m:val="p"/>
                          </m:rPr>
                          <m:t>,</m:t>
                        </m:r>
                        <m:r>
                          <m:t>t</m:t>
                        </m:r>
                      </m:e>
                    </m:d>
                    <m:r>
                      <m:rPr>
                        <m:sty m:val="p"/>
                      </m:rPr>
                      <m:t>−</m:t>
                    </m:r>
                    <m:sSub>
                      <m:e>
                        <m:r>
                          <m:t>n</m:t>
                        </m:r>
                      </m:e>
                      <m:sub>
                        <m:r>
                          <m:t>s</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e>
            </m:mr>
            <m:mr>
              <m:e/>
              <m:e>
                <m:r>
                  <m:rPr>
                    <m:sty m:val="p"/>
                  </m:rPr>
                  <m:t>+</m:t>
                </m:r>
                <m:sSub>
                  <m:e>
                    <m:r>
                      <m:t>Γ</m:t>
                    </m:r>
                  </m:e>
                  <m:sub>
                    <m:r>
                      <m:t>p</m:t>
                    </m:r>
                  </m:sub>
                </m:sSub>
                <m:d>
                  <m:dPr>
                    <m:begChr m:val="["/>
                    <m:endChr m:val="]"/>
                    <m:sepChr m:val=""/>
                    <m:grow/>
                  </m:dPr>
                  <m:e>
                    <m:d>
                      <m:dPr>
                        <m:begChr m:val="("/>
                        <m:endChr m:val=")"/>
                        <m:sepChr m:val=""/>
                        <m:grow/>
                      </m:dPr>
                      <m:e>
                        <m:sSub>
                          <m:e>
                            <m:r>
                              <m:t>n</m:t>
                            </m:r>
                          </m:e>
                          <m:sub>
                            <m:r>
                              <m:t>p</m:t>
                            </m:r>
                          </m:sub>
                        </m:sSub>
                        <m:r>
                          <m:rPr>
                            <m:sty m:val="p"/>
                          </m:rPr>
                          <m:t>+</m:t>
                        </m:r>
                        <m:r>
                          <m:t>1</m:t>
                        </m:r>
                      </m:e>
                    </m:d>
                    <m:r>
                      <m:t>p</m:t>
                    </m:r>
                    <m:d>
                      <m:dPr>
                        <m:begChr m:val="("/>
                        <m:endChr m:val=")"/>
                        <m:sepChr m:val=""/>
                        <m:grow/>
                      </m:dPr>
                      <m:e>
                        <m:sSub>
                          <m:e>
                            <m:r>
                              <m:t>n</m:t>
                            </m:r>
                          </m:e>
                          <m:sub>
                            <m:r>
                              <m:t>s</m:t>
                            </m:r>
                          </m:sub>
                        </m:sSub>
                        <m:r>
                          <m:rPr>
                            <m:sty m:val="p"/>
                          </m:rPr>
                          <m:t>,</m:t>
                        </m:r>
                        <m:sSub>
                          <m:e>
                            <m:r>
                              <m:t>n</m:t>
                            </m:r>
                          </m:e>
                          <m:sub>
                            <m:r>
                              <m:t>p</m:t>
                            </m:r>
                          </m:sub>
                        </m:sSub>
                        <m:r>
                          <m:rPr>
                            <m:sty m:val="p"/>
                          </m:rPr>
                          <m:t>+</m:t>
                        </m:r>
                        <m:r>
                          <m:t>1</m:t>
                        </m:r>
                        <m:r>
                          <m:rPr>
                            <m:sty m:val="p"/>
                          </m:rPr>
                          <m:t>,</m:t>
                        </m:r>
                        <m:r>
                          <m:t>t</m:t>
                        </m:r>
                      </m:e>
                    </m:d>
                    <m:r>
                      <m:rPr>
                        <m:sty m:val="p"/>
                      </m:rPr>
                      <m:t>−</m:t>
                    </m:r>
                    <m:sSub>
                      <m:e>
                        <m:r>
                          <m:t>n</m:t>
                        </m:r>
                      </m:e>
                      <m:sub>
                        <m:r>
                          <m:t>p</m:t>
                        </m:r>
                      </m:sub>
                    </m:sSub>
                    <m:r>
                      <m:t>p</m:t>
                    </m:r>
                    <m:d>
                      <m:dPr>
                        <m:begChr m:val="("/>
                        <m:endChr m:val=")"/>
                        <m:sepChr m:val=""/>
                        <m:grow/>
                      </m:dPr>
                      <m:e>
                        <m:sSub>
                          <m:e>
                            <m:r>
                              <m:t>n</m:t>
                            </m:r>
                          </m:e>
                          <m:sub>
                            <m:r>
                              <m:t>s</m:t>
                            </m:r>
                          </m:sub>
                        </m:sSub>
                        <m:r>
                          <m:rPr>
                            <m:sty m:val="p"/>
                          </m:rPr>
                          <m:t>,</m:t>
                        </m:r>
                        <m:sSub>
                          <m:e>
                            <m:r>
                              <m:t>n</m:t>
                            </m:r>
                          </m:e>
                          <m:sub>
                            <m:r>
                              <m:t>p</m:t>
                            </m:r>
                          </m:sub>
                        </m:sSub>
                        <m:r>
                          <m:rPr>
                            <m:sty m:val="p"/>
                          </m:rPr>
                          <m:t>,</m:t>
                        </m:r>
                        <m:r>
                          <m:t>t</m:t>
                        </m:r>
                      </m:e>
                    </m:d>
                  </m:e>
                </m:d>
                <m:r>
                  <m:rPr>
                    <m:sty m:val="p"/>
                  </m:rPr>
                  <m:t>.</m:t>
                </m:r>
              </m:e>
            </m:mr>
          </m:m>
          <m:r>
            <m:t>  </m:t>
          </m:r>
          <m:d>
            <m:dPr>
              <m:begChr m:val="("/>
              <m:endChr m:val=")"/>
              <m:sepChr m:val=""/>
              <m:grow/>
            </m:dPr>
            <m:e>
              <m:r>
                <m:t>1.12</m:t>
              </m:r>
            </m:e>
          </m:d>
        </m:oMath>
      </m:oMathPara>
      <w:bookmarkEnd w:id="39"/>
    </w:p>
    <w:p>
      <w:pPr>
        <w:pStyle w:val="FirstParagraph"/>
      </w:pPr>
      <w:r>
        <w:t xml:space="preserve">The parameters</w:t>
      </w:r>
      <w:r>
        <w:t xml:space="preserve"> </w:t>
      </w:r>
      <m:oMath>
        <m:sSub>
          <m:e>
            <m:r>
              <m:t>Γ</m:t>
            </m:r>
          </m:e>
          <m:sub>
            <m:r>
              <m:t>s</m:t>
            </m:r>
          </m:sub>
        </m:sSub>
      </m:oMath>
      <w:r>
        <w:t xml:space="preserve"> </w:t>
      </w:r>
      <w:r>
        <w:t xml:space="preserve">and</w:t>
      </w:r>
      <w:r>
        <w:t xml:space="preserve"> </w:t>
      </w:r>
      <m:oMath>
        <m:sSub>
          <m:e>
            <m:r>
              <m:t>Γ</m:t>
            </m:r>
          </m:e>
          <m:sub>
            <m:r>
              <m:t>p</m:t>
            </m:r>
          </m:sub>
        </m:sSub>
      </m:oMath>
      <w:r>
        <w:t xml:space="preserve"> </w:t>
      </w:r>
      <w:r>
        <w:t xml:space="preserve">represent the rate of apoptosis for CSCs and TCs respectively. Due to the models stochastic nature, and the inclusion of a death rate for CSCs, it can be shown that The model predictions that the occurrence of a single cancer stem cell will not necessarily result in a tumour, even if the probability of self-renewal is greater than the probability of differentiation. This is in contrast to the previous models discussed</w:t>
      </w:r>
      <w:r>
        <w:t xml:space="preserve"> </w:t>
      </w:r>
      <w:r>
        <w:t xml:space="preserve">(Enderling et al. 2009; Hillen, Enderling, and Hahnfeldt 2013)</w:t>
      </w:r>
      <w:r>
        <w:t xml:space="preserve"> </w:t>
      </w:r>
      <w:r>
        <w:t xml:space="preserve">and to a deterministic version of this model (</w:t>
      </w:r>
      <w:hyperlink w:anchor="eq-deterministic-master-equation">
        <w:r>
          <w:rPr>
            <w:rStyle w:val="Hyperlink"/>
          </w:rPr>
          <w:t xml:space="preserve">Equation 1.13</w:t>
        </w:r>
      </w:hyperlink>
      <w:r>
        <w:t xml:space="preserve">) that would predict exponential growth of the tumour from a single CSC.</w:t>
      </w:r>
    </w:p>
    <w:p>
      <w:pPr>
        <w:pStyle w:val="BodyText"/>
      </w:pPr>
      <w:r>
        <w:t xml:space="preserve">For larger cellular populations it becomes more challenging to simulate such a stochastic model and it becomes pertinent to consider the equations for the average number of CSCs and TCs. Defining the mean cellular populations</w:t>
      </w:r>
      <w:r>
        <w:t xml:space="preserve"> </w:t>
      </w:r>
      <m:oMath>
        <m:r>
          <m:t>S</m:t>
        </m:r>
        <m:r>
          <m:rPr>
            <m:sty m:val="p"/>
          </m:rPr>
          <m:t>=</m:t>
        </m:r>
        <m:r>
          <m:rPr>
            <m:sty m:val="p"/>
          </m:rPr>
          <m:t>&lt;</m:t>
        </m:r>
        <m:sSub>
          <m:e>
            <m:r>
              <m:t>n</m:t>
            </m:r>
          </m:e>
          <m:sub>
            <m:r>
              <m:t>s</m:t>
            </m:r>
          </m:sub>
        </m:sSub>
        <m:r>
          <m:rPr>
            <m:sty m:val="p"/>
          </m:rPr>
          <m:t>&gt;</m:t>
        </m:r>
      </m:oMath>
      <w:r>
        <w:t xml:space="preserve">,</w:t>
      </w:r>
      <w:r>
        <w:t xml:space="preserve"> </w:t>
      </w:r>
      <m:oMath>
        <m:r>
          <m:t>P</m:t>
        </m:r>
        <m:r>
          <m:rPr>
            <m:sty m:val="p"/>
          </m:rPr>
          <m:t>=</m:t>
        </m:r>
        <m:r>
          <m:rPr>
            <m:sty m:val="p"/>
          </m:rPr>
          <m:t>&lt;</m:t>
        </m:r>
        <m:sSub>
          <m:e>
            <m:r>
              <m:t>n</m:t>
            </m:r>
          </m:e>
          <m:sub>
            <m:r>
              <m:t>p</m:t>
            </m:r>
          </m:sub>
        </m:sSub>
        <m:r>
          <m:rPr>
            <m:sty m:val="p"/>
          </m:rPr>
          <m:t>&gt;</m:t>
        </m:r>
      </m:oMath>
      <w:r>
        <w:t xml:space="preserve"> </w:t>
      </w:r>
      <w:r>
        <w:t xml:space="preserve">and</w:t>
      </w:r>
      <w:r>
        <w:t xml:space="preserve"> </w:t>
      </w:r>
      <m:oMath>
        <m:r>
          <m:t>r</m:t>
        </m:r>
        <m:r>
          <m:rPr>
            <m:sty m:val="p"/>
          </m:rPr>
          <m:t>=</m:t>
        </m:r>
        <m:sSub>
          <m:e>
            <m:r>
              <m:t>r</m:t>
            </m:r>
          </m:e>
          <m:sub>
            <m:r>
              <m:t>1</m:t>
            </m:r>
          </m:sub>
        </m:sSub>
        <m:r>
          <m:rPr>
            <m:sty m:val="p"/>
          </m:rPr>
          <m:t>−</m:t>
        </m:r>
        <m:sSub>
          <m:e>
            <m:r>
              <m:t>r</m:t>
            </m:r>
          </m:e>
          <m:sub>
            <m:r>
              <m:t>3</m:t>
            </m:r>
          </m:sub>
        </m:sSub>
      </m:oMath>
      <w:r>
        <w:t xml:space="preserve">, the deterministic model is given by</w:t>
      </w:r>
    </w:p>
    <w:p>
      <w:pPr>
        <w:pStyle w:val="BodyText"/>
      </w:pPr>
      <w:bookmarkStart w:id="40" w:name="eq-deterministic-master-equation"/>
      <m:oMathPara>
        <m:oMathParaPr>
          <m:jc m:val="center"/>
        </m:oMathParaPr>
        <m:oMath>
          <m:m>
            <m:mPr>
              <m:baseJc m:val="center"/>
              <m:plcHide m:val="on"/>
              <m:mcs>
                <m:mc>
                  <m:mcPr>
                    <m:mcJc m:val="right"/>
                    <m:count m:val="1"/>
                  </m:mcPr>
                </m:mc>
                <m:mc>
                  <m:mcPr>
                    <m:mcJc m:val="left"/>
                    <m:count m:val="1"/>
                  </m:mcPr>
                </m:mc>
              </m:mcs>
            </m:mPr>
            <m:mr>
              <m:e>
                <m:f>
                  <m:fPr>
                    <m:type m:val="bar"/>
                  </m:fPr>
                  <m:num>
                    <m:r>
                      <m:t>d</m:t>
                    </m:r>
                    <m:r>
                      <m:t>S</m:t>
                    </m:r>
                  </m:num>
                  <m:den>
                    <m:r>
                      <m:t>d</m:t>
                    </m:r>
                    <m:r>
                      <m:t>t</m:t>
                    </m:r>
                  </m:den>
                </m:f>
              </m:e>
              <m:e>
                <m:r>
                  <m:rPr>
                    <m:sty m:val="p"/>
                  </m:rPr>
                  <m:t>=</m:t>
                </m:r>
                <m:sSub>
                  <m:e>
                    <m:r>
                      <m:t>ρ</m:t>
                    </m:r>
                  </m:e>
                  <m:sub>
                    <m:r>
                      <m:t>s</m:t>
                    </m:r>
                  </m:sub>
                </m:sSub>
                <m:r>
                  <m:t>r</m:t>
                </m:r>
                <m:r>
                  <m:t>S</m:t>
                </m:r>
                <m:r>
                  <m:rPr>
                    <m:sty m:val="p"/>
                  </m:rPr>
                  <m:t>−</m:t>
                </m:r>
                <m:sSub>
                  <m:e>
                    <m:r>
                      <m:t>Γ</m:t>
                    </m:r>
                  </m:e>
                  <m:sub>
                    <m:r>
                      <m:t>s</m:t>
                    </m:r>
                  </m:sub>
                </m:sSub>
                <m:r>
                  <m:t>S</m:t>
                </m:r>
                <m:r>
                  <m:rPr>
                    <m:sty m:val="p"/>
                  </m:rPr>
                  <m:t>,</m:t>
                </m:r>
              </m:e>
            </m:mr>
            <m:mr>
              <m:e>
                <m:f>
                  <m:fPr>
                    <m:type m:val="bar"/>
                  </m:fPr>
                  <m:num>
                    <m:r>
                      <m:t>d</m:t>
                    </m:r>
                    <m:r>
                      <m:t>P</m:t>
                    </m:r>
                  </m:num>
                  <m:den>
                    <m:r>
                      <m:t>d</m:t>
                    </m:r>
                    <m:r>
                      <m:t>t</m:t>
                    </m:r>
                  </m:den>
                </m:f>
              </m:e>
              <m:e>
                <m:r>
                  <m:rPr>
                    <m:sty m:val="p"/>
                  </m:rPr>
                  <m:t>=</m:t>
                </m:r>
                <m:sSub>
                  <m:e>
                    <m:r>
                      <m:t>ρ</m:t>
                    </m:r>
                  </m:e>
                  <m:sub>
                    <m:r>
                      <m:t>s</m:t>
                    </m:r>
                  </m:sub>
                </m:sSub>
                <m:d>
                  <m:dPr>
                    <m:begChr m:val="("/>
                    <m:endChr m:val=")"/>
                    <m:sepChr m:val=""/>
                    <m:grow/>
                  </m:dPr>
                  <m:e>
                    <m:r>
                      <m:t>1</m:t>
                    </m:r>
                    <m:r>
                      <m:rPr>
                        <m:sty m:val="p"/>
                      </m:rPr>
                      <m:t>−</m:t>
                    </m:r>
                    <m:r>
                      <m:t>r</m:t>
                    </m:r>
                  </m:e>
                </m:d>
                <m:r>
                  <m:t>S</m:t>
                </m:r>
                <m:r>
                  <m:rPr>
                    <m:sty m:val="p"/>
                  </m:rPr>
                  <m:t>−</m:t>
                </m:r>
                <m:sSub>
                  <m:e>
                    <m:r>
                      <m:t>Γ</m:t>
                    </m:r>
                  </m:e>
                  <m:sub>
                    <m:r>
                      <m:t>p</m:t>
                    </m:r>
                  </m:sub>
                </m:sSub>
                <m:r>
                  <m:t>P</m:t>
                </m:r>
                <m:r>
                  <m:rPr>
                    <m:sty m:val="p"/>
                  </m:rPr>
                  <m:t>.</m:t>
                </m:r>
              </m:e>
            </m:mr>
          </m:m>
          <m:r>
            <m:t>  </m:t>
          </m:r>
          <m:d>
            <m:dPr>
              <m:begChr m:val="("/>
              <m:endChr m:val=")"/>
              <m:sepChr m:val=""/>
              <m:grow/>
            </m:dPr>
            <m:e>
              <m:r>
                <m:t>1.13</m:t>
              </m:r>
            </m:e>
          </m:d>
        </m:oMath>
      </m:oMathPara>
      <w:bookmarkEnd w:id="40"/>
    </w:p>
    <w:p>
      <w:pPr>
        <w:pStyle w:val="FirstParagraph"/>
      </w:pPr>
      <w:r>
        <w:t xml:space="preserve">This model is largely similar to the ODE model presented in</w:t>
      </w:r>
      <w:r>
        <w:t xml:space="preserve"> </w:t>
      </w:r>
      <w:r>
        <w:t xml:space="preserve">(Hillen, Enderling, and Hahnfeldt 2013)</w:t>
      </w:r>
      <w:r>
        <w:t xml:space="preserve">, the slight differences that CSCs have a spontaneous death rate and TCs cannot themselves proliferate reflect the slightly different underlying assumptions of CSC dynamics between the two models.</w:t>
      </w:r>
    </w:p>
    <w:bookmarkEnd w:id="41"/>
    <w:bookmarkStart w:id="43" w:name="X383155b91826843cc3d4716d742c582cc7b5da2"/>
    <w:p>
      <w:pPr>
        <w:pStyle w:val="Heading3"/>
      </w:pPr>
      <w:r>
        <w:t xml:space="preserve">1.4.5 A multispecies model of cell lineages[#sec-multispecies-model-of-cell-lineages]</w:t>
      </w:r>
    </w:p>
    <w:p>
      <w:pPr>
        <w:pStyle w:val="FirstParagraph"/>
      </w:pPr>
      <w:r>
        <w:t xml:space="preserve">In</w:t>
      </w:r>
      <w:r>
        <w:t xml:space="preserve"> </w:t>
      </w:r>
      <w:r>
        <w:t xml:space="preserve">(Youssefpour et al. 2012)</w:t>
      </w:r>
      <w:r>
        <w:t xml:space="preserve"> </w:t>
      </w:r>
      <w:r>
        <w:t xml:space="preserve">the authors develop a multispecies PDE model for CSCs lineage dynamics, for a review of general multispecies models for modelling tumour dynamics see</w:t>
      </w:r>
      <w:r>
        <w:t xml:space="preserve"> </w:t>
      </w:r>
      <w:r>
        <w:t xml:space="preserve">(Lowengrub et al. 2010)</w:t>
      </w:r>
      <w:r>
        <w:t xml:space="preserve">. This is the first model we have looked at that considers more than two cells types CSCs and TCs. Here the model is more complex and accounts for CSCs, committed progenitor cells, terminal cells, and dead cells. As with the previous models we have looked at it is assumed that differentiation and feedback processes link the cells lineage through self-renewal fractions and mitosis rates. However, in contrast to the previous models it contains endogenous production of differentiation promoter, denoted</w:t>
      </w:r>
      <w:r>
        <w:t xml:space="preserve"> </w:t>
      </w:r>
      <m:oMath>
        <m:r>
          <m:t>T</m:t>
        </m:r>
      </m:oMath>
      <w:r>
        <w:t xml:space="preserve">, which is produced by the terminal cells and taken up by the CSCs. Additionally, endogenous production of self-renewal promoter, denoted</w:t>
      </w:r>
      <w:r>
        <w:t xml:space="preserve"> </w:t>
      </w:r>
      <m:oMath>
        <m:r>
          <m:t>W</m:t>
        </m:r>
      </m:oMath>
      <w:r>
        <w:t xml:space="preserve">, and an its inhibitor, denoted</w:t>
      </w:r>
      <w:r>
        <w:t xml:space="preserve"> </w:t>
      </w:r>
      <m:oMath>
        <m:r>
          <m:t>W</m:t>
        </m:r>
        <m:r>
          <m:t>I</m:t>
        </m:r>
      </m:oMath>
      <w:r>
        <w:t xml:space="preserve">, are assumed to be produced by all viable tumour cells (CSCs, progenitor cells, terminal cells). This allows for feedback mechanisms to that maintain the CSC population. The dependent variables in the model are the local volume fractions of the cell species</w:t>
      </w:r>
      <w:r>
        <w:t xml:space="preserve"> </w:t>
      </w:r>
      <m:oMath>
        <m:sSub>
          <m:e>
            <m:r>
              <m:t>ϕ</m:t>
            </m:r>
          </m:e>
          <m:sub>
            <m:r>
              <m:rPr>
                <m:nor/>
                <m:sty m:val="p"/>
              </m:rPr>
              <m:t>CSC</m:t>
            </m:r>
          </m:sub>
        </m:sSub>
        <m:r>
          <m:rPr>
            <m:sty m:val="p"/>
          </m:rPr>
          <m:t>,</m:t>
        </m:r>
        <m:sSub>
          <m:e>
            <m:r>
              <m:t>ϕ</m:t>
            </m:r>
          </m:e>
          <m:sub>
            <m:r>
              <m:rPr>
                <m:nor/>
                <m:sty m:val="p"/>
              </m:rPr>
              <m:t>CP</m:t>
            </m:r>
          </m:sub>
        </m:sSub>
        <m:r>
          <m:rPr>
            <m:sty m:val="p"/>
          </m:rPr>
          <m:t>,</m:t>
        </m:r>
        <m:sSub>
          <m:e>
            <m:r>
              <m:t>ϕ</m:t>
            </m:r>
          </m:e>
          <m:sub>
            <m:r>
              <m:rPr>
                <m:nor/>
                <m:sty m:val="p"/>
              </m:rPr>
              <m:t>TC</m:t>
            </m:r>
          </m:sub>
        </m:sSub>
        <m:r>
          <m:rPr>
            <m:sty m:val="p"/>
          </m:rPr>
          <m:t>,</m:t>
        </m:r>
        <m:sSub>
          <m:e>
            <m:r>
              <m:t>ϕ</m:t>
            </m:r>
          </m:e>
          <m:sub>
            <m:r>
              <m:rPr>
                <m:nor/>
                <m:sty m:val="p"/>
              </m:rPr>
              <m:t>DC</m:t>
            </m:r>
          </m:sub>
        </m:sSub>
        <m:r>
          <m:rPr>
            <m:sty m:val="p"/>
          </m:rPr>
          <m:t>,</m:t>
        </m:r>
        <m:r>
          <m:t>a</m:t>
        </m:r>
        <m:r>
          <m:t>s</m:t>
        </m:r>
        <m:r>
          <m:t>w</m:t>
        </m:r>
        <m:r>
          <m:t>e</m:t>
        </m:r>
        <m:r>
          <m:t>l</m:t>
        </m:r>
        <m:r>
          <m:t>l</m:t>
        </m:r>
        <m:r>
          <m:t>a</m:t>
        </m:r>
        <m:r>
          <m:t>s</m:t>
        </m:r>
        <m:r>
          <m:t>h</m:t>
        </m:r>
        <m:r>
          <m:t>e</m:t>
        </m:r>
        <m:r>
          <m:t>a</m:t>
        </m:r>
        <m:r>
          <m:t>l</m:t>
        </m:r>
        <m:r>
          <m:t>t</m:t>
        </m:r>
        <m:r>
          <m:t>h</m:t>
        </m:r>
        <m:r>
          <m:t>y</m:t>
        </m:r>
        <m:r>
          <m:t>c</m:t>
        </m:r>
        <m:r>
          <m:t>e</m:t>
        </m:r>
        <m:r>
          <m:t>l</m:t>
        </m:r>
        <m:r>
          <m:t>l</m:t>
        </m:r>
        <m:r>
          <m:t>s</m:t>
        </m:r>
        <m:r>
          <m:t>a</m:t>
        </m:r>
        <m:r>
          <m:t>n</m:t>
        </m:r>
        <m:r>
          <m:t>d</m:t>
        </m:r>
        <m:r>
          <m:t>w</m:t>
        </m:r>
        <m:r>
          <m:t>a</m:t>
        </m:r>
        <m:r>
          <m:t>t</m:t>
        </m:r>
        <m:r>
          <m:t>e</m:t>
        </m:r>
        <m:r>
          <m:t>r</m:t>
        </m:r>
        <m:sSub>
          <m:e>
            <m:r>
              <m:t>ϕ</m:t>
            </m:r>
          </m:e>
          <m:sub>
            <m:r>
              <m:rPr>
                <m:nor/>
                <m:sty m:val="p"/>
              </m:rPr>
              <m:t>H</m:t>
            </m:r>
          </m:sub>
        </m:sSub>
        <m:r>
          <m:rPr>
            <m:sty m:val="p"/>
          </m:rPr>
          <m:t>,</m:t>
        </m:r>
        <m:sSub>
          <m:e>
            <m:r>
              <m:t>ϕ</m:t>
            </m:r>
          </m:e>
          <m:sub>
            <m:r>
              <m:rPr>
                <m:nor/>
                <m:sty m:val="p"/>
              </m:rPr>
              <m:t>W</m:t>
            </m:r>
          </m:sub>
        </m:sSub>
      </m:oMath>
      <w:r>
        <w:t xml:space="preserve">. Assuming there are no voids the sum of the volume fractions equals 1 and each cell type follows a conservation equation of the form</w:t>
      </w:r>
    </w:p>
    <w:p>
      <w:pPr>
        <w:pStyle w:val="BodyText"/>
      </w:pPr>
      <w:bookmarkStart w:id="42" w:name="eq-youssefpour-multispecies"/>
      <m:oMathPara>
        <m:oMathParaPr>
          <m:jc m:val="center"/>
        </m:oMathParaPr>
        <m:oMath>
          <m:f>
            <m:fPr>
              <m:type m:val="bar"/>
            </m:fPr>
            <m:num>
              <m:r>
                <m:rPr>
                  <m:sty m:val="p"/>
                </m:rPr>
                <m:t>∂</m:t>
              </m:r>
              <m:r>
                <m:t>ϕ</m:t>
              </m:r>
            </m:num>
            <m:den>
              <m:r>
                <m:rPr>
                  <m:sty m:val="p"/>
                </m:rPr>
                <m:t>∂</m:t>
              </m:r>
              <m:r>
                <m:t>t</m:t>
              </m:r>
            </m:den>
          </m:f>
          <m:r>
            <m:rPr>
              <m:sty m:val="p"/>
            </m:rPr>
            <m:t>=</m:t>
          </m:r>
          <m:r>
            <m:rPr>
              <m:sty m:val="p"/>
            </m:rPr>
            <m:t>−</m:t>
          </m:r>
          <m:r>
            <m:rPr>
              <m:sty m:val="p"/>
            </m:rPr>
            <m:t>∇</m:t>
          </m:r>
          <m:r>
            <m:rPr>
              <m:sty m:val="p"/>
            </m:rPr>
            <m:t>⋅</m:t>
          </m:r>
          <m:r>
            <m:t>J</m:t>
          </m:r>
          <m:r>
            <m:rPr>
              <m:sty m:val="p"/>
            </m:rPr>
            <m:t>−</m:t>
          </m:r>
          <m:r>
            <m:rPr>
              <m:sty m:val="p"/>
            </m:rPr>
            <m:t>∇</m:t>
          </m:r>
          <m:r>
            <m:rPr>
              <m:sty m:val="p"/>
            </m:rPr>
            <m:t>⋅</m:t>
          </m:r>
          <m:d>
            <m:dPr>
              <m:begChr m:val="("/>
              <m:endChr m:val=")"/>
              <m:sepChr m:val=""/>
              <m:grow/>
            </m:dPr>
            <m:e>
              <m:sSub>
                <m:e>
                  <m:r>
                    <m:t>u</m:t>
                  </m:r>
                </m:e>
                <m:sub>
                  <m:r>
                    <m:t>s</m:t>
                  </m:r>
                </m:sub>
              </m:sSub>
              <m:r>
                <m:t>ϕ</m:t>
              </m:r>
            </m:e>
          </m:d>
          <m:r>
            <m:rPr>
              <m:sty m:val="p"/>
            </m:rPr>
            <m:t>+</m:t>
          </m:r>
          <m:r>
            <m:t>S</m:t>
          </m:r>
          <m:r>
            <m:t>  </m:t>
          </m:r>
          <m:d>
            <m:dPr>
              <m:begChr m:val="("/>
              <m:endChr m:val=")"/>
              <m:sepChr m:val=""/>
              <m:grow/>
            </m:dPr>
            <m:e>
              <m:r>
                <m:t>1.14</m:t>
              </m:r>
            </m:e>
          </m:d>
        </m:oMath>
      </m:oMathPara>
      <w:bookmarkEnd w:id="42"/>
    </w:p>
    <w:p>
      <w:pPr>
        <w:pStyle w:val="FirstParagraph"/>
      </w:pPr>
      <w:r>
        <w:t xml:space="preserve">where</w:t>
      </w:r>
      <w:r>
        <w:t xml:space="preserve"> </w:t>
      </w:r>
      <m:oMath>
        <m:r>
          <m:t>ψ</m:t>
        </m:r>
      </m:oMath>
      <w:r>
        <w:t xml:space="preserve"> </w:t>
      </w:r>
      <w:r>
        <w:t xml:space="preserve">denotes the volume fraction of the cell type,</w:t>
      </w:r>
      <w:r>
        <w:t xml:space="preserve"> </w:t>
      </w:r>
      <m:oMath>
        <m:r>
          <m:t>J</m:t>
        </m:r>
      </m:oMath>
      <w:r>
        <w:t xml:space="preserve"> </w:t>
      </w:r>
      <w:r>
        <w:t xml:space="preserve">is generalized diffusion,</w:t>
      </w:r>
      <w:r>
        <w:t xml:space="preserve"> </w:t>
      </w:r>
      <m:oMath>
        <m:sSub>
          <m:e>
            <m:r>
              <m:t>u</m:t>
            </m:r>
          </m:e>
          <m:sub>
            <m:r>
              <m:t>s</m:t>
            </m:r>
          </m:sub>
        </m:sSub>
      </m:oMath>
      <w:r>
        <w:t xml:space="preserve"> </w:t>
      </w:r>
      <w:r>
        <w:t xml:space="preserve">is the mass-averaged velocity of the solid components,</w:t>
      </w:r>
      <w:r>
        <w:t xml:space="preserve"> </w:t>
      </w:r>
      <m:oMath>
        <m:r>
          <m:t>S</m:t>
        </m:r>
      </m:oMath>
      <w:r>
        <w:t xml:space="preserve"> </w:t>
      </w:r>
      <w:r>
        <w:t xml:space="preserve">denotes the mass-exchange terms.</w:t>
      </w:r>
    </w:p>
    <w:bookmarkEnd w:id="43"/>
    <w:bookmarkEnd w:id="44"/>
    <w:bookmarkStart w:id="56" w:name="sec-models-of-differentiation-therapy"/>
    <w:p>
      <w:pPr>
        <w:pStyle w:val="Heading2"/>
      </w:pPr>
      <w:r>
        <w:t xml:space="preserve">1.5 Models of differentiation therapy</w:t>
      </w:r>
    </w:p>
    <w:p>
      <w:pPr>
        <w:pStyle w:val="FirstParagraph"/>
      </w:pPr>
      <w:r>
        <w:t xml:space="preserve">If, as with normal tissues, cellular phenotypic heterogeneity within tumors can be explained by a hierarchy of differentiation, with only a subset of stem-like cells capable of long-term self-renewal, this raises the prospect that signals promoting differentiation could be effective at driving malignant cells to a less aggressive and ideally post-mitotic differentiated state</w:t>
      </w:r>
      <w:r>
        <w:t xml:space="preserve"> </w:t>
      </w:r>
      <w:r>
        <w:t xml:space="preserve">(Carén, Beck, and Pollard 2016)</w:t>
      </w:r>
      <w:r>
        <w:t xml:space="preserve">. This differentiation therapy approach has seen success in acute promyelocytic leukemia (APL) where all-trans-retinoic acid (ATRA) can promote differentiation of CSCs and lead to complete remission</w:t>
      </w:r>
      <w:r>
        <w:t xml:space="preserve"> </w:t>
      </w:r>
      <w:r>
        <w:t xml:space="preserve">(Yan and Liu 2016; De Thé 2018)</w:t>
      </w:r>
      <w:r>
        <w:t xml:space="preserve">. In GBM, bone morphogenetic protein 4 (BMP4), a member of the TGF-</w:t>
      </w:r>
      <m:oMath>
        <m:r>
          <m:t>β</m:t>
        </m:r>
      </m:oMath>
      <w:r>
        <w:t xml:space="preserve"> </w:t>
      </w:r>
      <w:r>
        <w:t xml:space="preserve">superfamily, has shown potential as a differentiation therapeutic agent. BMP4 has been shown to drive differentiation of GSCs towards a predominantly glial (astrocytic) fate, to reduce GBM tumor burden in vivo and to improve survival in a mouse model of GBM</w:t>
      </w:r>
      <w:r>
        <w:t xml:space="preserve"> </w:t>
      </w:r>
      <w:r>
        <w:t xml:space="preserve">(Nayak et al. 2020; Piccirillo et al. 2006)</w:t>
      </w:r>
      <w:r>
        <w:t xml:space="preserve">. Despite its potential as a treatment option relatively few mathematical models have considered its possible effects on tumour growth</w:t>
      </w:r>
      <w:r>
        <w:t xml:space="preserve"> </w:t>
      </w:r>
      <w:r>
        <w:t xml:space="preserve">(Youssefpour et al. 2012; Bachman and Hillen 2013; Turner et al. 2009)</w:t>
      </w:r>
      <w:r>
        <w:t xml:space="preserve">.</w:t>
      </w:r>
    </w:p>
    <w:bookmarkStart w:id="49" w:name="Xba10e870e042b66ad30e8c4903fdd999293d7c3"/>
    <w:p>
      <w:pPr>
        <w:pStyle w:val="Heading3"/>
      </w:pPr>
      <w:r>
        <w:t xml:space="preserve">1.5.1 Differentiation promoter and self-renewal promoter</w:t>
      </w:r>
    </w:p>
    <w:p>
      <w:pPr>
        <w:pStyle w:val="FirstParagraph"/>
      </w:pPr>
      <w:r>
        <w:t xml:space="preserve">In</w:t>
      </w:r>
      <w:r>
        <w:t xml:space="preserve"> </w:t>
      </w:r>
      <w:r>
        <w:t xml:space="preserve">(Youssefpour et al. 2012)</w:t>
      </w:r>
      <w:r>
        <w:t xml:space="preserve"> </w:t>
      </w:r>
      <w:r>
        <w:t xml:space="preserve">they follow</w:t>
      </w:r>
      <w:r>
        <w:t xml:space="preserve"> </w:t>
      </w:r>
      <w:r>
        <w:t xml:space="preserve">(Lander et al. 2009)</w:t>
      </w:r>
      <w:r>
        <w:t xml:space="preserve"> </w:t>
      </w:r>
      <w:r>
        <w:t xml:space="preserve">and assume that the proliferation and differentiation of CSCs are regulated by factors in the tumour microenvironemnt that feedback on self-renewal fractions and mitosis rates. In particular, they denote the differentiation promoter</w:t>
      </w:r>
      <w:r>
        <w:t xml:space="preserve"> </w:t>
      </w:r>
      <m:oMath>
        <m:r>
          <m:t>T</m:t>
        </m:r>
      </m:oMath>
      <w:r>
        <w:t xml:space="preserve"> </w:t>
      </w:r>
      <w:r>
        <w:t xml:space="preserve">(for TGF-beta superfamily members) that reduces the probability of self-renewal for CSCs. They also account for self-renewal promoter</w:t>
      </w:r>
      <w:r>
        <w:t xml:space="preserve"> </w:t>
      </w:r>
      <m:oMath>
        <m:r>
          <m:t>W</m:t>
        </m:r>
      </m:oMath>
      <w:r>
        <w:t xml:space="preserve"> </w:t>
      </w:r>
      <w:r>
        <w:t xml:space="preserve">which increases the probability of self-renewal of CSCs, as well as an inhibitor of</w:t>
      </w:r>
      <w:r>
        <w:t xml:space="preserve"> </w:t>
      </w:r>
      <m:oMath>
        <m:r>
          <m:t>W</m:t>
        </m:r>
      </m:oMath>
      <w:r>
        <w:t xml:space="preserve"> </w:t>
      </w:r>
      <w:r>
        <w:t xml:space="preserve">denoted</w:t>
      </w:r>
      <w:r>
        <w:t xml:space="preserve"> </w:t>
      </w:r>
      <m:oMath>
        <m:r>
          <m:t>W</m:t>
        </m:r>
        <m:r>
          <m:t>I</m:t>
        </m:r>
      </m:oMath>
      <w:r>
        <w:t xml:space="preserve">, possible self-renewal promoters include WNTs, Notch and Shh</w:t>
      </w:r>
      <w:r>
        <w:t xml:space="preserve"> </w:t>
      </w:r>
      <w:r>
        <w:t xml:space="preserve">(Pannuti et al. 2010; Bailey, Singh, and Hollingsworth 2007)</w:t>
      </w:r>
      <w:r>
        <w:t xml:space="preserve">, they therefore define the CSC self-renewal fraction as</w:t>
      </w:r>
    </w:p>
    <w:p>
      <w:pPr>
        <w:pStyle w:val="BodyText"/>
      </w:pPr>
      <w:bookmarkStart w:id="45" w:name="eq-youssefpour-Ps"/>
      <m:oMathPara>
        <m:oMathParaPr>
          <m:jc m:val="center"/>
        </m:oMathParaPr>
        <m:oMath>
          <m:sSub>
            <m:e>
              <m:r>
                <m:t>P</m:t>
              </m:r>
            </m:e>
            <m:sub>
              <m:r>
                <m:t>s</m:t>
              </m:r>
            </m:sub>
          </m:sSub>
          <m:r>
            <m:rPr>
              <m:sty m:val="p"/>
            </m:rPr>
            <m:t>=</m:t>
          </m:r>
          <m:sSub>
            <m:e>
              <m:r>
                <m:t>P</m:t>
              </m:r>
            </m:e>
            <m:sub>
              <m:r>
                <m:rPr>
                  <m:nor/>
                  <m:sty m:val="p"/>
                </m:rPr>
                <m:t>min</m:t>
              </m:r>
            </m:sub>
          </m:sSub>
          <m:r>
            <m:rPr>
              <m:sty m:val="p"/>
            </m:rPr>
            <m:t>+</m:t>
          </m:r>
          <m:d>
            <m:dPr>
              <m:begChr m:val="("/>
              <m:endChr m:val=")"/>
              <m:sepChr m:val=""/>
              <m:grow/>
            </m:dPr>
            <m:e>
              <m:sSub>
                <m:e>
                  <m:r>
                    <m:t>P</m:t>
                  </m:r>
                </m:e>
                <m:sub>
                  <m:r>
                    <m:rPr>
                      <m:nor/>
                      <m:sty m:val="p"/>
                    </m:rPr>
                    <m:t>max</m:t>
                  </m:r>
                </m:sub>
              </m:sSub>
              <m:r>
                <m:rPr>
                  <m:sty m:val="p"/>
                </m:rPr>
                <m:t>−</m:t>
              </m:r>
              <m:sSub>
                <m:e>
                  <m:r>
                    <m:t>P</m:t>
                  </m:r>
                </m:e>
                <m:sub>
                  <m:r>
                    <m:rPr>
                      <m:nor/>
                      <m:sty m:val="p"/>
                    </m:rPr>
                    <m:t>min</m:t>
                  </m:r>
                </m:sub>
              </m:sSub>
            </m:e>
          </m:d>
          <m:d>
            <m:dPr>
              <m:begChr m:val="("/>
              <m:endChr m:val=")"/>
              <m:sepChr m:val=""/>
              <m:grow/>
            </m:dPr>
            <m:e>
              <m:f>
                <m:fPr>
                  <m:type m:val="bar"/>
                </m:fPr>
                <m:num>
                  <m:r>
                    <m:t>ξ</m:t>
                  </m:r>
                  <m:sSub>
                    <m:e>
                      <m:r>
                        <m:t>C</m:t>
                      </m:r>
                    </m:e>
                    <m:sub>
                      <m:r>
                        <m:t>w</m:t>
                      </m:r>
                    </m:sub>
                  </m:sSub>
                </m:num>
                <m:den>
                  <m:r>
                    <m:t>1</m:t>
                  </m:r>
                  <m:r>
                    <m:rPr>
                      <m:sty m:val="p"/>
                    </m:rPr>
                    <m:t>+</m:t>
                  </m:r>
                  <m:r>
                    <m:t>ξ</m:t>
                  </m:r>
                  <m:sSub>
                    <m:e>
                      <m:r>
                        <m:t>C</m:t>
                      </m:r>
                    </m:e>
                    <m:sub>
                      <m:r>
                        <m:t>W</m:t>
                      </m:r>
                    </m:sub>
                  </m:sSub>
                </m:den>
              </m:f>
            </m:e>
          </m:d>
          <m:d>
            <m:dPr>
              <m:begChr m:val="("/>
              <m:endChr m:val=")"/>
              <m:sepChr m:val=""/>
              <m:grow/>
            </m:dPr>
            <m:e>
              <m:f>
                <m:fPr>
                  <m:type m:val="bar"/>
                </m:fPr>
                <m:num>
                  <m:r>
                    <m:t>1</m:t>
                  </m:r>
                </m:num>
                <m:den>
                  <m:r>
                    <m:t>1</m:t>
                  </m:r>
                  <m:r>
                    <m:rPr>
                      <m:sty m:val="p"/>
                    </m:rPr>
                    <m:t>+</m:t>
                  </m:r>
                  <m:r>
                    <m:t>ψ</m:t>
                  </m:r>
                  <m:sSub>
                    <m:e>
                      <m:r>
                        <m:t>C</m:t>
                      </m:r>
                    </m:e>
                    <m:sub>
                      <m:r>
                        <m:t>T</m:t>
                      </m:r>
                    </m:sub>
                  </m:sSub>
                </m:den>
              </m:f>
            </m:e>
          </m:d>
          <m:r>
            <m:rPr>
              <m:sty m:val="p"/>
            </m:rPr>
            <m:t>,</m:t>
          </m:r>
          <m:r>
            <m:t>  </m:t>
          </m:r>
          <m:d>
            <m:dPr>
              <m:begChr m:val="("/>
              <m:endChr m:val=")"/>
              <m:sepChr m:val=""/>
              <m:grow/>
            </m:dPr>
            <m:e>
              <m:r>
                <m:t>1.15</m:t>
              </m:r>
            </m:e>
          </m:d>
        </m:oMath>
      </m:oMathPara>
      <w:bookmarkEnd w:id="45"/>
    </w:p>
    <w:p>
      <w:pPr>
        <w:pStyle w:val="FirstParagraph"/>
      </w:pPr>
      <w:r>
        <w:t xml:space="preserve">where</w:t>
      </w:r>
      <w:r>
        <w:t xml:space="preserve"> </w:t>
      </w:r>
      <m:oMath>
        <m:sSub>
          <m:e>
            <m:r>
              <m:t>P</m:t>
            </m:r>
          </m:e>
          <m:sub>
            <m:r>
              <m:rPr>
                <m:nor/>
                <m:sty m:val="p"/>
              </m:rPr>
              <m:t>min</m:t>
            </m:r>
          </m:sub>
        </m:sSub>
      </m:oMath>
      <w:r>
        <w:t xml:space="preserve"> </w:t>
      </w:r>
      <w:r>
        <w:t xml:space="preserve">and</w:t>
      </w:r>
      <w:r>
        <w:t xml:space="preserve"> </w:t>
      </w:r>
      <m:oMath>
        <m:sSub>
          <m:e>
            <m:r>
              <m:t>P</m:t>
            </m:r>
          </m:e>
          <m:sub>
            <m:r>
              <m:rPr>
                <m:nor/>
                <m:sty m:val="p"/>
              </m:rPr>
              <m:t>max</m:t>
            </m:r>
          </m:sub>
        </m:sSub>
      </m:oMath>
      <w:r>
        <w:t xml:space="preserve"> </w:t>
      </w:r>
      <w:r>
        <w:t xml:space="preserve">are the minimum and maximum probability of CSC self-renewal, taken to be</w:t>
      </w:r>
      <w:r>
        <w:t xml:space="preserve"> </w:t>
      </w:r>
      <m:oMath>
        <m:r>
          <m:t>0.2</m:t>
        </m:r>
      </m:oMath>
      <w:r>
        <w:t xml:space="preserve"> </w:t>
      </w:r>
      <w:r>
        <w:t xml:space="preserve">and</w:t>
      </w:r>
      <w:r>
        <w:t xml:space="preserve"> </w:t>
      </w:r>
      <m:oMath>
        <m:r>
          <m:t>1</m:t>
        </m:r>
      </m:oMath>
      <w:r>
        <w:t xml:space="preserve"> </w:t>
      </w:r>
      <w:r>
        <w:t xml:space="preserve">respectively.</w:t>
      </w:r>
      <w:r>
        <w:t xml:space="preserve"> </w:t>
      </w:r>
      <m:oMath>
        <m:sSub>
          <m:e>
            <m:r>
              <m:t>C</m:t>
            </m:r>
          </m:e>
          <m:sub>
            <m:r>
              <m:t>W</m:t>
            </m:r>
          </m:sub>
        </m:sSub>
      </m:oMath>
      <w:r>
        <w:t xml:space="preserve"> </w:t>
      </w:r>
      <w:r>
        <w:t xml:space="preserve">and</w:t>
      </w:r>
      <w:r>
        <w:t xml:space="preserve"> </w:t>
      </w:r>
      <m:oMath>
        <m:sSub>
          <m:e>
            <m:r>
              <m:t>C</m:t>
            </m:r>
          </m:e>
          <m:sub>
            <m:r>
              <m:t>T</m:t>
            </m:r>
          </m:sub>
        </m:sSub>
      </m:oMath>
      <w:r>
        <w:t xml:space="preserve"> </w:t>
      </w:r>
      <w:r>
        <w:t xml:space="preserve">represent the concentrations of the self-renewal promoter and differentiation promoter respectively. The parameters</w:t>
      </w:r>
      <w:r>
        <w:t xml:space="preserve"> </w:t>
      </w:r>
      <m:oMath>
        <m:r>
          <m:t>ξ</m:t>
        </m:r>
      </m:oMath>
      <w:r>
        <w:t xml:space="preserve"> </w:t>
      </w:r>
      <w:r>
        <w:t xml:space="preserve">and</w:t>
      </w:r>
      <w:r>
        <w:t xml:space="preserve"> </w:t>
      </w:r>
      <m:oMath>
        <m:r>
          <m:t>ψ</m:t>
        </m:r>
      </m:oMath>
      <w:r>
        <w:t xml:space="preserve"> </w:t>
      </w:r>
      <w:r>
        <w:t xml:space="preserve">quantify the sensitivity of CSCs to the regulating proteins.</w:t>
      </w:r>
    </w:p>
    <w:p>
      <w:pPr>
        <w:pStyle w:val="BodyText"/>
      </w:pPr>
      <w:r>
        <w:t xml:space="preserve">The concentration of differentiation promoter and self-renewal promoter are then modeled as follows. It is assumed that</w:t>
      </w:r>
      <w:r>
        <w:t xml:space="preserve"> </w:t>
      </w:r>
      <m:oMath>
        <m:r>
          <m:t>T</m:t>
        </m:r>
      </m:oMath>
      <w:r>
        <w:t xml:space="preserve"> </w:t>
      </w:r>
      <w:r>
        <w:t xml:space="preserve">is more diffuse than either</w:t>
      </w:r>
      <w:r>
        <w:t xml:space="preserve"> </w:t>
      </w:r>
      <m:oMath>
        <m:r>
          <m:t>W</m:t>
        </m:r>
      </m:oMath>
      <w:r>
        <w:t xml:space="preserve"> </w:t>
      </w:r>
      <w:r>
        <w:t xml:space="preserve">or</w:t>
      </w:r>
      <w:r>
        <w:t xml:space="preserve"> </w:t>
      </w:r>
      <m:oMath>
        <m:r>
          <m:t>W</m:t>
        </m:r>
        <m:r>
          <m:t>I</m:t>
        </m:r>
      </m:oMath>
      <w:r>
        <w:t xml:space="preserve">. Therefore, on the time scale of cellular proliferation they make the quasi-steady-state assumption that time derivatives and advection of</w:t>
      </w:r>
      <w:r>
        <w:t xml:space="preserve"> </w:t>
      </w:r>
      <m:oMath>
        <m:r>
          <m:t>T</m:t>
        </m:r>
      </m:oMath>
      <w:r>
        <w:t xml:space="preserve"> </w:t>
      </w:r>
      <w:r>
        <w:t xml:space="preserve">can be neglected. Thus, the quasi-steady reaction-diffusion equation for</w:t>
      </w:r>
      <w:r>
        <w:t xml:space="preserve"> </w:t>
      </w:r>
      <m:oMath>
        <m:r>
          <m:t>T</m:t>
        </m:r>
      </m:oMath>
      <w:r>
        <w:t xml:space="preserve"> </w:t>
      </w:r>
      <w:r>
        <w:t xml:space="preserve">is given by</w:t>
      </w:r>
    </w:p>
    <w:p>
      <w:pPr>
        <w:pStyle w:val="BodyText"/>
      </w:pPr>
      <w:bookmarkStart w:id="46" w:name="eq-youssefpour-T"/>
      <m:oMathPara>
        <m:oMathParaPr>
          <m:jc m:val="center"/>
        </m:oMathParaPr>
        <m:oMath>
          <m:r>
            <m:t>0</m:t>
          </m:r>
          <m:r>
            <m:rPr>
              <m:sty m:val="p"/>
            </m:rPr>
            <m:t>=</m:t>
          </m:r>
          <m:r>
            <m:rPr>
              <m:sty m:val="p"/>
            </m:rPr>
            <m:t>∇</m:t>
          </m:r>
          <m:r>
            <m:rPr>
              <m:sty m:val="p"/>
            </m:rPr>
            <m:t>⋅</m:t>
          </m:r>
          <m:d>
            <m:dPr>
              <m:begChr m:val="("/>
              <m:endChr m:val=")"/>
              <m:sepChr m:val=""/>
              <m:grow/>
            </m:dPr>
            <m:e>
              <m:sSub>
                <m:e>
                  <m:r>
                    <m:t>D</m:t>
                  </m:r>
                </m:e>
                <m:sub>
                  <m:r>
                    <m:t>T</m:t>
                  </m:r>
                </m:sub>
              </m:sSub>
              <m:r>
                <m:rPr>
                  <m:sty m:val="p"/>
                </m:rPr>
                <m:t>∇</m:t>
              </m:r>
              <m:sSub>
                <m:e>
                  <m:r>
                    <m:t>C</m:t>
                  </m:r>
                </m:e>
                <m:sub>
                  <m:r>
                    <m:t>T</m:t>
                  </m:r>
                </m:sub>
              </m:sSub>
            </m:e>
          </m:d>
          <m:r>
            <m:rPr>
              <m:sty m:val="p"/>
            </m:rPr>
            <m:t>−</m:t>
          </m:r>
          <m:d>
            <m:dPr>
              <m:begChr m:val="("/>
              <m:endChr m:val=")"/>
              <m:sepChr m:val=""/>
              <m:grow/>
            </m:dPr>
            <m:e>
              <m:sSub>
                <m:e>
                  <m:r>
                    <m:t>ν</m:t>
                  </m:r>
                </m:e>
                <m:sub>
                  <m:r>
                    <m:t>U</m:t>
                  </m:r>
                  <m:r>
                    <m:t>T</m:t>
                  </m:r>
                </m:sub>
              </m:sSub>
              <m:r>
                <m:t>ϕ</m:t>
              </m:r>
              <m:r>
                <m:rPr>
                  <m:sty m:val="p"/>
                </m:rPr>
                <m:t>+</m:t>
              </m:r>
              <m:sSub>
                <m:e>
                  <m:r>
                    <m:t>ν</m:t>
                  </m:r>
                </m:e>
                <m:sub>
                  <m:r>
                    <m:t>D</m:t>
                  </m:r>
                  <m:r>
                    <m:t>T</m:t>
                  </m:r>
                </m:sub>
              </m:sSub>
            </m:e>
          </m:d>
          <m:sSub>
            <m:e>
              <m:r>
                <m:t>C</m:t>
              </m:r>
            </m:e>
            <m:sub>
              <m:r>
                <m:t>T</m:t>
              </m:r>
            </m:sub>
          </m:sSub>
          <m:r>
            <m:rPr>
              <m:sty m:val="p"/>
            </m:rPr>
            <m:t>+</m:t>
          </m:r>
          <m:sSub>
            <m:e>
              <m:r>
                <m:t>ν</m:t>
              </m:r>
            </m:e>
            <m:sub>
              <m:r>
                <m:t>P</m:t>
              </m:r>
              <m:r>
                <m:t>T</m:t>
              </m:r>
            </m:sub>
          </m:sSub>
          <m:sSub>
            <m:e>
              <m:r>
                <m:t>ϕ</m:t>
              </m:r>
            </m:e>
            <m:sub>
              <m:r>
                <m:t>T</m:t>
              </m:r>
              <m:r>
                <m:t>C</m:t>
              </m:r>
            </m:sub>
          </m:sSub>
          <m:r>
            <m:t>  </m:t>
          </m:r>
          <m:d>
            <m:dPr>
              <m:begChr m:val="("/>
              <m:endChr m:val=")"/>
              <m:sepChr m:val=""/>
              <m:grow/>
            </m:dPr>
            <m:e>
              <m:r>
                <m:t>1.16</m:t>
              </m:r>
            </m:e>
          </m:d>
        </m:oMath>
      </m:oMathPara>
      <w:bookmarkEnd w:id="46"/>
    </w:p>
    <w:p>
      <w:pPr>
        <w:pStyle w:val="FirstParagraph"/>
      </w:pPr>
      <w:r>
        <w:t xml:space="preserve">where</w:t>
      </w:r>
      <w:r>
        <w:t xml:space="preserve"> </w:t>
      </w:r>
      <m:oMath>
        <m:sSub>
          <m:e>
            <m:r>
              <m:t>D</m:t>
            </m:r>
          </m:e>
          <m:sub>
            <m:r>
              <m:t>T</m:t>
            </m:r>
          </m:sub>
        </m:sSub>
      </m:oMath>
      <w:r>
        <w:t xml:space="preserve"> </w:t>
      </w:r>
      <w:r>
        <w:t xml:space="preserve">is the diffusion coefficient,</w:t>
      </w:r>
      <w:r>
        <w:t xml:space="preserve"> </w:t>
      </w:r>
      <m:oMath>
        <m:sSub>
          <m:e>
            <m:r>
              <m:t>ν</m:t>
            </m:r>
          </m:e>
          <m:sub>
            <m:r>
              <m:t>U</m:t>
            </m:r>
            <m:r>
              <m:t>T</m:t>
            </m:r>
          </m:sub>
        </m:sSub>
      </m:oMath>
      <w:r>
        <w:t xml:space="preserve">,</w:t>
      </w:r>
      <w:r>
        <w:t xml:space="preserve"> </w:t>
      </w:r>
      <m:oMath>
        <m:sSub>
          <m:e>
            <m:r>
              <m:t>ν</m:t>
            </m:r>
          </m:e>
          <m:sub>
            <m:r>
              <m:t>D</m:t>
            </m:r>
            <m:r>
              <m:t>T</m:t>
            </m:r>
          </m:sub>
        </m:sSub>
      </m:oMath>
      <w:r>
        <w:t xml:space="preserve"> </w:t>
      </w:r>
      <w:r>
        <w:t xml:space="preserve">and</w:t>
      </w:r>
      <w:r>
        <w:t xml:space="preserve"> </w:t>
      </w:r>
      <m:oMath>
        <m:sSub>
          <m:e>
            <m:r>
              <m:t>ν</m:t>
            </m:r>
          </m:e>
          <m:sub>
            <m:r>
              <m:rPr>
                <m:nor/>
                <m:sty m:val="p"/>
              </m:rPr>
              <m:t>PT</m:t>
            </m:r>
          </m:sub>
        </m:sSub>
      </m:oMath>
      <w:r>
        <w:t xml:space="preserve"> </w:t>
      </w:r>
      <w:r>
        <w:t xml:space="preserve">are the uptake rate by CSCs, the rate of decay and the rate of production by the TCs, respectively.</w:t>
      </w:r>
    </w:p>
    <w:p>
      <w:pPr>
        <w:pStyle w:val="BodyText"/>
      </w:pPr>
      <w:r>
        <w:t xml:space="preserve">To model the self-renewal promoter</w:t>
      </w:r>
      <w:r>
        <w:t xml:space="preserve"> </w:t>
      </w:r>
      <m:oMath>
        <m:r>
          <m:t>W</m:t>
        </m:r>
      </m:oMath>
      <w:r>
        <w:t xml:space="preserve"> </w:t>
      </w:r>
      <w:r>
        <w:t xml:space="preserve">and its inhibitor</w:t>
      </w:r>
      <w:r>
        <w:t xml:space="preserve"> </w:t>
      </w:r>
      <m:oMath>
        <m:r>
          <m:t>W</m:t>
        </m:r>
        <m:r>
          <m:t>I</m:t>
        </m:r>
      </m:oMath>
      <w:r>
        <w:t xml:space="preserve"> </w:t>
      </w:r>
      <w:r>
        <w:t xml:space="preserve">a generalized Gierer-Meinhard-Turing system of reaction diffusion equations is used, given by</w:t>
      </w:r>
    </w:p>
    <w:p>
      <w:pPr>
        <w:pStyle w:val="BodyText"/>
      </w:pPr>
      <w:bookmarkStart w:id="47" w:name="eq-youssefpour-W-WI"/>
      <m:oMathPara>
        <m:oMathParaPr>
          <m:jc m:val="center"/>
        </m:oMathParaPr>
        <m:oMath>
          <m:m>
            <m:mPr>
              <m:baseJc m:val="center"/>
              <m:plcHide m:val="on"/>
              <m:mcs>
                <m:mc>
                  <m:mcPr>
                    <m:mcJc m:val="right"/>
                    <m:count m:val="1"/>
                  </m:mcPr>
                </m:mc>
                <m:mc>
                  <m:mcPr>
                    <m:mcJc m:val="left"/>
                    <m:count m:val="1"/>
                  </m:mcPr>
                </m:mc>
              </m:mcs>
            </m:mPr>
            <m:mr>
              <m:e/>
              <m:e>
                <m:f>
                  <m:fPr>
                    <m:type m:val="bar"/>
                  </m:fPr>
                  <m:num>
                    <m:r>
                      <m:rPr>
                        <m:sty m:val="p"/>
                      </m:rPr>
                      <m:t>∂</m:t>
                    </m:r>
                    <m:sSub>
                      <m:e>
                        <m:r>
                          <m:t>C</m:t>
                        </m:r>
                      </m:e>
                      <m:sub>
                        <m:r>
                          <m:t>W</m:t>
                        </m:r>
                      </m:sub>
                    </m:sSub>
                  </m:num>
                  <m:den>
                    <m:r>
                      <m:rPr>
                        <m:sty m:val="p"/>
                      </m:rPr>
                      <m:t>∂</m:t>
                    </m:r>
                    <m:r>
                      <m:t>t</m:t>
                    </m:r>
                  </m:den>
                </m:f>
                <m:r>
                  <m:rPr>
                    <m:sty m:val="p"/>
                  </m:rPr>
                  <m:t>+</m:t>
                </m:r>
                <m:r>
                  <m:rPr>
                    <m:sty m:val="p"/>
                  </m:rPr>
                  <m:t>∇</m:t>
                </m:r>
                <m:r>
                  <m:rPr>
                    <m:sty m:val="p"/>
                  </m:rPr>
                  <m:t>⋅</m:t>
                </m:r>
                <m:d>
                  <m:dPr>
                    <m:begChr m:val="("/>
                    <m:endChr m:val=")"/>
                    <m:sepChr m:val=""/>
                    <m:grow/>
                  </m:dPr>
                  <m:e>
                    <m:sSub>
                      <m:e>
                        <m:r>
                          <m:t>u</m:t>
                        </m:r>
                      </m:e>
                      <m:sub>
                        <m:r>
                          <m:t>s</m:t>
                        </m:r>
                      </m:sub>
                    </m:sSub>
                    <m:sSub>
                      <m:e>
                        <m:r>
                          <m:t>C</m:t>
                        </m:r>
                      </m:e>
                      <m:sub>
                        <m:r>
                          <m:t>W</m:t>
                        </m:r>
                      </m:sub>
                    </m:sSub>
                  </m:e>
                </m:d>
                <m:r>
                  <m:rPr>
                    <m:sty m:val="p"/>
                  </m:rPr>
                  <m:t>=</m:t>
                </m:r>
                <m:r>
                  <m:rPr>
                    <m:sty m:val="p"/>
                  </m:rPr>
                  <m:t>∇</m:t>
                </m:r>
                <m:r>
                  <m:rPr>
                    <m:sty m:val="p"/>
                  </m:rPr>
                  <m:t>⋅</m:t>
                </m:r>
                <m:d>
                  <m:dPr>
                    <m:begChr m:val="("/>
                    <m:endChr m:val=")"/>
                    <m:sepChr m:val=""/>
                    <m:grow/>
                  </m:dPr>
                  <m:e>
                    <m:sSub>
                      <m:e>
                        <m:r>
                          <m:t>D</m:t>
                        </m:r>
                      </m:e>
                      <m:sub>
                        <m:r>
                          <m:t>W</m:t>
                        </m:r>
                      </m:sub>
                    </m:sSub>
                    <m:r>
                      <m:rPr>
                        <m:sty m:val="p"/>
                      </m:rPr>
                      <m:t>∇</m:t>
                    </m:r>
                    <m:sSub>
                      <m:e>
                        <m:r>
                          <m:t>C</m:t>
                        </m:r>
                      </m:e>
                      <m:sub>
                        <m:r>
                          <m:t>W</m:t>
                        </m:r>
                      </m:sub>
                    </m:sSub>
                  </m:e>
                </m:d>
                <m:r>
                  <m:rPr>
                    <m:sty m:val="p"/>
                  </m:rPr>
                  <m:t>+</m:t>
                </m:r>
                <m:r>
                  <m:t>f</m:t>
                </m:r>
                <m:d>
                  <m:dPr>
                    <m:begChr m:val="("/>
                    <m:endChr m:val=")"/>
                    <m:sepChr m:val=""/>
                    <m:grow/>
                  </m:dPr>
                  <m:e>
                    <m:sSub>
                      <m:e>
                        <m:r>
                          <m:t>C</m:t>
                        </m:r>
                      </m:e>
                      <m:sub>
                        <m:r>
                          <m:t>W</m:t>
                        </m:r>
                      </m:sub>
                    </m:sSub>
                    <m:r>
                      <m:rPr>
                        <m:sty m:val="p"/>
                      </m:rPr>
                      <m:t>,</m:t>
                    </m:r>
                    <m:sSub>
                      <m:e>
                        <m:r>
                          <m:t>C</m:t>
                        </m:r>
                      </m:e>
                      <m:sub>
                        <m:r>
                          <m:t>W</m:t>
                        </m:r>
                        <m:r>
                          <m:t>I</m:t>
                        </m:r>
                      </m:sub>
                    </m:sSub>
                  </m:e>
                </m:d>
                <m:r>
                  <m:rPr>
                    <m:sty m:val="p"/>
                  </m:rPr>
                  <m:t>,</m:t>
                </m:r>
              </m:e>
            </m:mr>
            <m:mr>
              <m:e/>
              <m:e>
                <m:f>
                  <m:fPr>
                    <m:type m:val="bar"/>
                  </m:fPr>
                  <m:num>
                    <m:r>
                      <m:rPr>
                        <m:sty m:val="p"/>
                      </m:rPr>
                      <m:t>∂</m:t>
                    </m:r>
                    <m:sSub>
                      <m:e>
                        <m:r>
                          <m:t>C</m:t>
                        </m:r>
                      </m:e>
                      <m:sub>
                        <m:r>
                          <m:t>W</m:t>
                        </m:r>
                        <m:r>
                          <m:t>I</m:t>
                        </m:r>
                      </m:sub>
                    </m:sSub>
                  </m:num>
                  <m:den>
                    <m:r>
                      <m:rPr>
                        <m:sty m:val="p"/>
                      </m:rPr>
                      <m:t>∂</m:t>
                    </m:r>
                    <m:r>
                      <m:t>t</m:t>
                    </m:r>
                  </m:den>
                </m:f>
                <m:r>
                  <m:rPr>
                    <m:sty m:val="p"/>
                  </m:rPr>
                  <m:t>+</m:t>
                </m:r>
                <m:r>
                  <m:rPr>
                    <m:sty m:val="p"/>
                  </m:rPr>
                  <m:t>∇</m:t>
                </m:r>
                <m:r>
                  <m:rPr>
                    <m:sty m:val="p"/>
                  </m:rPr>
                  <m:t>⋅</m:t>
                </m:r>
                <m:d>
                  <m:dPr>
                    <m:begChr m:val="("/>
                    <m:endChr m:val=")"/>
                    <m:sepChr m:val=""/>
                    <m:grow/>
                  </m:dPr>
                  <m:e>
                    <m:sSub>
                      <m:e>
                        <m:r>
                          <m:t>u</m:t>
                        </m:r>
                      </m:e>
                      <m:sub>
                        <m:r>
                          <m:t>s</m:t>
                        </m:r>
                      </m:sub>
                    </m:sSub>
                    <m:sSub>
                      <m:e>
                        <m:r>
                          <m:t>C</m:t>
                        </m:r>
                      </m:e>
                      <m:sub>
                        <m:r>
                          <m:t>W</m:t>
                        </m:r>
                        <m:r>
                          <m:t>I</m:t>
                        </m:r>
                      </m:sub>
                    </m:sSub>
                  </m:e>
                </m:d>
                <m:r>
                  <m:rPr>
                    <m:sty m:val="p"/>
                  </m:rPr>
                  <m:t>=</m:t>
                </m:r>
                <m:r>
                  <m:rPr>
                    <m:sty m:val="p"/>
                  </m:rPr>
                  <m:t>∇</m:t>
                </m:r>
                <m:r>
                  <m:rPr>
                    <m:sty m:val="p"/>
                  </m:rPr>
                  <m:t>⋅</m:t>
                </m:r>
                <m:d>
                  <m:dPr>
                    <m:begChr m:val="("/>
                    <m:endChr m:val=")"/>
                    <m:sepChr m:val=""/>
                    <m:grow/>
                  </m:dPr>
                  <m:e>
                    <m:sSub>
                      <m:e>
                        <m:r>
                          <m:t>D</m:t>
                        </m:r>
                      </m:e>
                      <m:sub>
                        <m:r>
                          <m:t>W</m:t>
                        </m:r>
                        <m:r>
                          <m:t>I</m:t>
                        </m:r>
                      </m:sub>
                    </m:sSub>
                    <m:r>
                      <m:rPr>
                        <m:sty m:val="p"/>
                      </m:rPr>
                      <m:t>∇</m:t>
                    </m:r>
                    <m:sSub>
                      <m:e>
                        <m:r>
                          <m:t>C</m:t>
                        </m:r>
                      </m:e>
                      <m:sub>
                        <m:r>
                          <m:t>W</m:t>
                        </m:r>
                        <m:r>
                          <m:t>I</m:t>
                        </m:r>
                      </m:sub>
                    </m:sSub>
                  </m:e>
                </m:d>
                <m:r>
                  <m:rPr>
                    <m:sty m:val="p"/>
                  </m:rPr>
                  <m:t>+</m:t>
                </m:r>
                <m:r>
                  <m:t>g</m:t>
                </m:r>
                <m:d>
                  <m:dPr>
                    <m:begChr m:val="("/>
                    <m:endChr m:val=")"/>
                    <m:sepChr m:val=""/>
                    <m:grow/>
                  </m:dPr>
                  <m:e>
                    <m:sSub>
                      <m:e>
                        <m:r>
                          <m:t>C</m:t>
                        </m:r>
                      </m:e>
                      <m:sub>
                        <m:r>
                          <m:t>W</m:t>
                        </m:r>
                      </m:sub>
                    </m:sSub>
                    <m:r>
                      <m:rPr>
                        <m:sty m:val="p"/>
                      </m:rPr>
                      <m:t>,</m:t>
                    </m:r>
                    <m:sSub>
                      <m:e>
                        <m:r>
                          <m:t>C</m:t>
                        </m:r>
                      </m:e>
                      <m:sub>
                        <m:r>
                          <m:t>W</m:t>
                        </m:r>
                        <m:r>
                          <m:t>I</m:t>
                        </m:r>
                      </m:sub>
                    </m:sSub>
                  </m:e>
                </m:d>
                <m:r>
                  <m:rPr>
                    <m:sty m:val="p"/>
                  </m:rPr>
                  <m:t>,</m:t>
                </m:r>
              </m:e>
            </m:mr>
          </m:m>
          <m:r>
            <m:t>  </m:t>
          </m:r>
          <m:d>
            <m:dPr>
              <m:begChr m:val="("/>
              <m:endChr m:val=")"/>
              <m:sepChr m:val=""/>
              <m:grow/>
            </m:dPr>
            <m:e>
              <m:r>
                <m:t>1.17</m:t>
              </m:r>
            </m:e>
          </m:d>
        </m:oMath>
      </m:oMathPara>
      <w:bookmarkEnd w:id="47"/>
    </w:p>
    <w:p>
      <w:pPr>
        <w:pStyle w:val="FirstParagraph"/>
      </w:pPr>
      <w:r>
        <w:t xml:space="preserve">where</w:t>
      </w:r>
    </w:p>
    <w:p>
      <w:pPr>
        <w:pStyle w:val="BodyText"/>
      </w:pPr>
      <w:bookmarkStart w:id="48" w:name="eq-youssefpour-f-g"/>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sSub>
                      <m:e>
                        <m:r>
                          <m:t>C</m:t>
                        </m:r>
                      </m:e>
                      <m:sub>
                        <m:r>
                          <m:t>W</m:t>
                        </m:r>
                      </m:sub>
                    </m:sSub>
                    <m:r>
                      <m:rPr>
                        <m:sty m:val="p"/>
                      </m:rPr>
                      <m:t>,</m:t>
                    </m:r>
                    <m:sSub>
                      <m:e>
                        <m:r>
                          <m:t>C</m:t>
                        </m:r>
                      </m:e>
                      <m:sub>
                        <m:r>
                          <m:t>W</m:t>
                        </m:r>
                        <m:r>
                          <m:t>I</m:t>
                        </m:r>
                      </m:sub>
                    </m:sSub>
                  </m:e>
                </m:d>
              </m:e>
              <m:e>
                <m:r>
                  <m:rPr>
                    <m:sty m:val="p"/>
                  </m:rPr>
                  <m:t>=</m:t>
                </m:r>
                <m:sSub>
                  <m:e>
                    <m:r>
                      <m:t>ν</m:t>
                    </m:r>
                  </m:e>
                  <m:sub>
                    <m:r>
                      <m:t>P</m:t>
                    </m:r>
                    <m:r>
                      <m:t>W</m:t>
                    </m:r>
                  </m:sub>
                </m:sSub>
                <m:f>
                  <m:fPr>
                    <m:type m:val="bar"/>
                  </m:fPr>
                  <m:num>
                    <m:sSubSup>
                      <m:e>
                        <m:r>
                          <m:t>C</m:t>
                        </m:r>
                      </m:e>
                      <m:sub>
                        <m:r>
                          <m:t>W</m:t>
                        </m:r>
                      </m:sub>
                      <m:sup>
                        <m:r>
                          <m:t>2</m:t>
                        </m:r>
                      </m:sup>
                    </m:sSubSup>
                  </m:num>
                  <m:den>
                    <m:sSub>
                      <m:e>
                        <m:r>
                          <m:t>C</m:t>
                        </m:r>
                      </m:e>
                      <m:sub>
                        <m:r>
                          <m:t>W</m:t>
                        </m:r>
                        <m:r>
                          <m:t>I</m:t>
                        </m:r>
                      </m:sub>
                    </m:sSub>
                  </m:den>
                </m:f>
                <m:sSub>
                  <m:e>
                    <m:r>
                      <m:t>C</m:t>
                    </m:r>
                  </m:e>
                  <m:sub>
                    <m:r>
                      <m:t>0</m:t>
                    </m:r>
                  </m:sub>
                </m:sSub>
                <m:sSub>
                  <m:e>
                    <m:r>
                      <m:t>ϕ</m:t>
                    </m:r>
                  </m:e>
                  <m:sub>
                    <m:r>
                      <m:rPr>
                        <m:nor/>
                        <m:sty m:val="p"/>
                      </m:rPr>
                      <m:t>CSC</m:t>
                    </m:r>
                  </m:sub>
                </m:sSub>
                <m:r>
                  <m:rPr>
                    <m:sty m:val="p"/>
                  </m:rPr>
                  <m:t>−</m:t>
                </m:r>
                <m:sSub>
                  <m:e>
                    <m:r>
                      <m:t>ν</m:t>
                    </m:r>
                  </m:e>
                  <m:sub>
                    <m:r>
                      <m:t>D</m:t>
                    </m:r>
                    <m:r>
                      <m:t>W</m:t>
                    </m:r>
                  </m:sub>
                </m:sSub>
                <m:sSub>
                  <m:e>
                    <m:r>
                      <m:t>C</m:t>
                    </m:r>
                  </m:e>
                  <m:sub>
                    <m:r>
                      <m:t>W</m:t>
                    </m:r>
                  </m:sub>
                </m:sSub>
                <m:r>
                  <m:rPr>
                    <m:sty m:val="p"/>
                  </m:rPr>
                  <m:t>+</m:t>
                </m:r>
                <m:sSub>
                  <m:e>
                    <m:r>
                      <m:t>u</m:t>
                    </m:r>
                  </m:e>
                  <m:sub>
                    <m:r>
                      <m:t>0</m:t>
                    </m:r>
                  </m:sub>
                </m:sSub>
                <m:sSub>
                  <m:e>
                    <m:r>
                      <m:t>C</m:t>
                    </m:r>
                  </m:e>
                  <m:sub>
                    <m:r>
                      <m:t>0</m:t>
                    </m:r>
                  </m:sub>
                </m:sSub>
                <m:d>
                  <m:dPr>
                    <m:begChr m:val="("/>
                    <m:endChr m:val=")"/>
                    <m:sepChr m:val=""/>
                    <m:grow/>
                  </m:dPr>
                  <m:e>
                    <m:sSub>
                      <m:e>
                        <m:r>
                          <m:t>ϕ</m:t>
                        </m:r>
                      </m:e>
                      <m:sub>
                        <m:r>
                          <m:rPr>
                            <m:nor/>
                            <m:sty m:val="p"/>
                          </m:rPr>
                          <m:t>CSC</m:t>
                        </m:r>
                      </m:sub>
                    </m:sSub>
                    <m:r>
                      <m:rPr>
                        <m:sty m:val="p"/>
                      </m:rPr>
                      <m:t>+</m:t>
                    </m:r>
                    <m:sSub>
                      <m:e>
                        <m:r>
                          <m:t>ϕ</m:t>
                        </m:r>
                      </m:e>
                      <m:sub>
                        <m:r>
                          <m:rPr>
                            <m:nor/>
                            <m:sty m:val="p"/>
                          </m:rPr>
                          <m:t>CP</m:t>
                        </m:r>
                      </m:sub>
                    </m:sSub>
                    <m:r>
                      <m:rPr>
                        <m:sty m:val="p"/>
                      </m:rPr>
                      <m:t>+</m:t>
                    </m:r>
                    <m:sSub>
                      <m:e>
                        <m:r>
                          <m:t>ϕ</m:t>
                        </m:r>
                      </m:e>
                      <m:sub>
                        <m:r>
                          <m:rPr>
                            <m:nor/>
                            <m:sty m:val="p"/>
                          </m:rPr>
                          <m:t>TC</m:t>
                        </m:r>
                      </m:sub>
                    </m:sSub>
                  </m:e>
                </m:d>
                <m:r>
                  <m:rPr>
                    <m:sty m:val="p"/>
                  </m:rPr>
                  <m:t>,</m:t>
                </m:r>
              </m:e>
            </m:mr>
            <m:mr>
              <m:e>
                <m:r>
                  <m:t>g</m:t>
                </m:r>
                <m:d>
                  <m:dPr>
                    <m:begChr m:val="("/>
                    <m:endChr m:val=")"/>
                    <m:sepChr m:val=""/>
                    <m:grow/>
                  </m:dPr>
                  <m:e>
                    <m:sSub>
                      <m:e>
                        <m:r>
                          <m:t>C</m:t>
                        </m:r>
                      </m:e>
                      <m:sub>
                        <m:r>
                          <m:t>W</m:t>
                        </m:r>
                      </m:sub>
                    </m:sSub>
                    <m:r>
                      <m:rPr>
                        <m:sty m:val="p"/>
                      </m:rPr>
                      <m:t>,</m:t>
                    </m:r>
                    <m:sSub>
                      <m:e>
                        <m:r>
                          <m:t>C</m:t>
                        </m:r>
                      </m:e>
                      <m:sub>
                        <m:r>
                          <m:t>W</m:t>
                        </m:r>
                        <m:r>
                          <m:t>I</m:t>
                        </m:r>
                      </m:sub>
                    </m:sSub>
                  </m:e>
                </m:d>
              </m:e>
              <m:e>
                <m:r>
                  <m:rPr>
                    <m:sty m:val="p"/>
                  </m:rPr>
                  <m:t>=</m:t>
                </m:r>
                <m:sSub>
                  <m:e>
                    <m:r>
                      <m:t>ν</m:t>
                    </m:r>
                  </m:e>
                  <m:sub>
                    <m:r>
                      <m:rPr>
                        <m:nor/>
                        <m:sty m:val="p"/>
                      </m:rPr>
                      <m:t>PWI</m:t>
                    </m:r>
                  </m:sub>
                </m:sSub>
                <m:sSubSup>
                  <m:e>
                    <m:r>
                      <m:t>C</m:t>
                    </m:r>
                  </m:e>
                  <m:sub>
                    <m:r>
                      <m:t>W</m:t>
                    </m:r>
                  </m:sub>
                  <m:sup>
                    <m:r>
                      <m:t>2</m:t>
                    </m:r>
                  </m:sup>
                </m:sSubSup>
                <m:sSub>
                  <m:e>
                    <m:r>
                      <m:t>C</m:t>
                    </m:r>
                  </m:e>
                  <m:sub>
                    <m:r>
                      <m:t>0</m:t>
                    </m:r>
                  </m:sub>
                </m:sSub>
                <m:sSub>
                  <m:e>
                    <m:r>
                      <m:t>ϕ</m:t>
                    </m:r>
                  </m:e>
                  <m:sub>
                    <m:r>
                      <m:rPr>
                        <m:nor/>
                        <m:sty m:val="p"/>
                      </m:rPr>
                      <m:t>CSC</m:t>
                    </m:r>
                  </m:sub>
                </m:sSub>
                <m:r>
                  <m:rPr>
                    <m:sty m:val="p"/>
                  </m:rPr>
                  <m:t>−</m:t>
                </m:r>
                <m:sSub>
                  <m:e>
                    <m:r>
                      <m:t>ν</m:t>
                    </m:r>
                  </m:e>
                  <m:sub>
                    <m:r>
                      <m:rPr>
                        <m:nor/>
                        <m:sty m:val="p"/>
                      </m:rPr>
                      <m:t>DWI</m:t>
                    </m:r>
                  </m:sub>
                </m:sSub>
                <m:sSub>
                  <m:e>
                    <m:r>
                      <m:t>C</m:t>
                    </m:r>
                  </m:e>
                  <m:sub>
                    <m:r>
                      <m:t>W</m:t>
                    </m:r>
                    <m:r>
                      <m:t>I</m:t>
                    </m:r>
                  </m:sub>
                </m:sSub>
                <m:r>
                  <m:rPr>
                    <m:sty m:val="p"/>
                  </m:rPr>
                  <m:t>.</m:t>
                </m:r>
              </m:e>
            </m:mr>
          </m:m>
          <m:r>
            <m:t>  </m:t>
          </m:r>
          <m:d>
            <m:dPr>
              <m:begChr m:val="("/>
              <m:endChr m:val=")"/>
              <m:sepChr m:val=""/>
              <m:grow/>
            </m:dPr>
            <m:e>
              <m:r>
                <m:t>1.18</m:t>
              </m:r>
            </m:e>
          </m:d>
        </m:oMath>
      </m:oMathPara>
      <w:bookmarkEnd w:id="48"/>
    </w:p>
    <w:p>
      <w:pPr>
        <w:pStyle w:val="FirstParagraph"/>
      </w:pPr>
      <w:r>
        <w:t xml:space="preserve">The parameters</w:t>
      </w:r>
      <w:r>
        <w:t xml:space="preserve"> </w:t>
      </w:r>
      <m:oMath>
        <m:sSub>
          <m:e>
            <m:r>
              <m:t>D</m:t>
            </m:r>
          </m:e>
          <m:sub>
            <m:r>
              <m:t>W</m:t>
            </m:r>
          </m:sub>
        </m:sSub>
      </m:oMath>
      <w:r>
        <w:t xml:space="preserve"> </w:t>
      </w:r>
      <w:r>
        <w:t xml:space="preserve">and</w:t>
      </w:r>
      <w:r>
        <w:t xml:space="preserve"> </w:t>
      </w:r>
      <m:oMath>
        <m:sSub>
          <m:e>
            <m:r>
              <m:t>D</m:t>
            </m:r>
          </m:e>
          <m:sub>
            <m:r>
              <m:t>W</m:t>
            </m:r>
            <m:r>
              <m:t>I</m:t>
            </m:r>
          </m:sub>
        </m:sSub>
      </m:oMath>
      <w:r>
        <w:t xml:space="preserve"> </w:t>
      </w:r>
      <w:r>
        <w:t xml:space="preserve">are the difusion coefficeints,</w:t>
      </w:r>
      <w:r>
        <w:t xml:space="preserve"> </w:t>
      </w:r>
      <m:oMath>
        <m:sSub>
          <m:e>
            <m:r>
              <m:t>ν</m:t>
            </m:r>
          </m:e>
          <m:sub>
            <m:r>
              <m:rPr>
                <m:nor/>
                <m:sty m:val="p"/>
              </m:rPr>
              <m:t>PW</m:t>
            </m:r>
          </m:sub>
        </m:sSub>
      </m:oMath>
      <w:r>
        <w:t xml:space="preserve">,</w:t>
      </w:r>
      <w:r>
        <w:t xml:space="preserve"> </w:t>
      </w:r>
      <m:oMath>
        <m:sSub>
          <m:e>
            <m:r>
              <m:t>ν</m:t>
            </m:r>
          </m:e>
          <m:sub>
            <m:r>
              <m:rPr>
                <m:nor/>
                <m:sty m:val="p"/>
              </m:rPr>
              <m:t>DW</m:t>
            </m:r>
          </m:sub>
        </m:sSub>
      </m:oMath>
      <w:r>
        <w:t xml:space="preserve"> </w:t>
      </w:r>
      <w:r>
        <w:t xml:space="preserve">and</w:t>
      </w:r>
      <w:r>
        <w:t xml:space="preserve"> </w:t>
      </w:r>
      <m:oMath>
        <m:sSub>
          <m:e>
            <m:r>
              <m:t>ν</m:t>
            </m:r>
          </m:e>
          <m:sub>
            <m:r>
              <m:rPr>
                <m:nor/>
                <m:sty m:val="p"/>
              </m:rPr>
              <m:t>PWI</m:t>
            </m:r>
          </m:sub>
        </m:sSub>
      </m:oMath>
      <w:r>
        <w:t xml:space="preserve">,</w:t>
      </w:r>
      <w:r>
        <w:t xml:space="preserve"> </w:t>
      </w:r>
      <m:oMath>
        <m:sSub>
          <m:e>
            <m:r>
              <m:t>ν</m:t>
            </m:r>
          </m:e>
          <m:sub>
            <m:r>
              <m:rPr>
                <m:nor/>
                <m:sty m:val="p"/>
              </m:rPr>
              <m:t>DWI</m:t>
            </m:r>
          </m:sub>
        </m:sSub>
      </m:oMath>
      <w:r>
        <w:t xml:space="preserve"> </w:t>
      </w:r>
      <w:r>
        <w:t xml:space="preserve">are the production and decay rates of</w:t>
      </w:r>
      <w:r>
        <w:t xml:space="preserve"> </w:t>
      </w:r>
      <m:oMath>
        <m:r>
          <m:t>W</m:t>
        </m:r>
      </m:oMath>
      <w:r>
        <w:t xml:space="preserve"> </w:t>
      </w:r>
      <w:r>
        <w:t xml:space="preserve">and</w:t>
      </w:r>
      <w:r>
        <w:t xml:space="preserve"> </w:t>
      </w:r>
      <m:oMath>
        <m:r>
          <m:t>W</m:t>
        </m:r>
        <m:r>
          <m:t>I</m:t>
        </m:r>
      </m:oMath>
      <w:r>
        <w:t xml:space="preserve"> </w:t>
      </w:r>
      <w:r>
        <w:t xml:space="preserve">respectively. The parameter</w:t>
      </w:r>
      <w:r>
        <w:t xml:space="preserve"> </w:t>
      </w:r>
      <m:oMath>
        <m:sSub>
          <m:e>
            <m:r>
              <m:t>u</m:t>
            </m:r>
          </m:e>
          <m:sub>
            <m:r>
              <m:t>0</m:t>
            </m:r>
          </m:sub>
        </m:sSub>
      </m:oMath>
      <w:r>
        <w:t xml:space="preserve"> </w:t>
      </w:r>
      <w:r>
        <w:t xml:space="preserve">represnts a low-level source of</w:t>
      </w:r>
      <w:r>
        <w:t xml:space="preserve"> </w:t>
      </w:r>
      <m:oMath>
        <m:r>
          <m:t>W</m:t>
        </m:r>
      </m:oMath>
      <w:r>
        <w:t xml:space="preserve"> </w:t>
      </w:r>
      <w:r>
        <w:t xml:space="preserve">from all the tumour cells.</w:t>
      </w:r>
    </w:p>
    <w:p>
      <w:pPr>
        <w:pStyle w:val="BodyText"/>
      </w:pPr>
      <w:r>
        <w:t xml:space="preserve">To model differentiation therapy they fix</w:t>
      </w:r>
      <w:r>
        <w:t xml:space="preserve"> </w:t>
      </w:r>
      <m:oMath>
        <m:r>
          <m:t>ψ</m:t>
        </m:r>
        <m:r>
          <m:rPr>
            <m:sty m:val="p"/>
          </m:rPr>
          <m:t>=</m:t>
        </m:r>
        <m:r>
          <m:t>0.5</m:t>
        </m:r>
      </m:oMath>
      <w:r>
        <w:t xml:space="preserve"> </w:t>
      </w:r>
      <w:r>
        <w:t xml:space="preserve">and introduce an external source of</w:t>
      </w:r>
      <w:r>
        <w:t xml:space="preserve"> </w:t>
      </w:r>
      <m:oMath>
        <m:r>
          <m:t>T</m:t>
        </m:r>
      </m:oMath>
      <w:r>
        <w:t xml:space="preserve"> </w:t>
      </w:r>
      <w:r>
        <w:t xml:space="preserve">i.e., a constant source term is added to</w:t>
      </w:r>
      <w:r>
        <w:t xml:space="preserve"> </w:t>
      </w:r>
      <w:hyperlink w:anchor="eq-youssefpour-T">
        <w:r>
          <w:rPr>
            <w:rStyle w:val="Hyperlink"/>
          </w:rPr>
          <w:t xml:space="preserve">Equation 1.16</w:t>
        </w:r>
      </w:hyperlink>
      <w:r>
        <w:t xml:space="preserve">.</w:t>
      </w:r>
    </w:p>
    <w:bookmarkEnd w:id="49"/>
    <w:bookmarkStart w:id="53" w:name="no-self-renewal-promoter"/>
    <w:p>
      <w:pPr>
        <w:pStyle w:val="Heading3"/>
      </w:pPr>
      <w:r>
        <w:t xml:space="preserve">1.5.2 No self-renewal promoter</w:t>
      </w:r>
    </w:p>
    <w:p>
      <w:pPr>
        <w:pStyle w:val="FirstParagraph"/>
      </w:pPr>
      <w:r>
        <w:t xml:space="preserve">In</w:t>
      </w:r>
      <w:r>
        <w:t xml:space="preserve"> </w:t>
      </w:r>
      <w:r>
        <w:t xml:space="preserve">(Bachman and Hillen 2013)</w:t>
      </w:r>
      <w:r>
        <w:t xml:space="preserve"> </w:t>
      </w:r>
      <w:r>
        <w:t xml:space="preserve">they follow</w:t>
      </w:r>
      <w:r>
        <w:t xml:space="preserve"> </w:t>
      </w:r>
      <w:r>
        <w:t xml:space="preserve">(Youssefpour et al. 2012)</w:t>
      </w:r>
      <w:r>
        <w:t xml:space="preserve"> </w:t>
      </w:r>
      <w:r>
        <w:t xml:space="preserve">and model differentiation therapy through a relationship between the average level of differentiation promoter, which they denote</w:t>
      </w:r>
      <w:r>
        <w:t xml:space="preserve"> </w:t>
      </w:r>
      <m:oMath>
        <m:sSub>
          <m:e>
            <m:r>
              <m:t>C</m:t>
            </m:r>
          </m:e>
          <m:sub>
            <m:r>
              <m:t>F</m:t>
            </m:r>
          </m:sub>
        </m:sSub>
      </m:oMath>
      <w:r>
        <w:t xml:space="preserve"> </w:t>
      </w:r>
      <w:r>
        <w:t xml:space="preserve">and the probability of CSC self-renewal</w:t>
      </w:r>
      <w:r>
        <w:t xml:space="preserve"> </w:t>
      </w:r>
      <m:oMath>
        <m:sSub>
          <m:e>
            <m:r>
              <m:t>P</m:t>
            </m:r>
          </m:e>
          <m:sub>
            <m:r>
              <m:t>s</m:t>
            </m:r>
          </m:sub>
        </m:sSub>
      </m:oMath>
      <w:r>
        <w:t xml:space="preserve">. But hey do not include the effects of a CSC self-renewal promoting factor, thus</w:t>
      </w:r>
    </w:p>
    <w:p>
      <w:pPr>
        <w:pStyle w:val="BodyText"/>
      </w:pPr>
      <w:bookmarkStart w:id="50" w:name="eq-bachman-Ps"/>
      <m:oMathPara>
        <m:oMathParaPr>
          <m:jc m:val="center"/>
        </m:oMathParaPr>
        <m:oMath>
          <m:sSub>
            <m:e>
              <m:r>
                <m:t>P</m:t>
              </m:r>
            </m:e>
            <m:sub>
              <m:r>
                <m:t>s</m:t>
              </m:r>
            </m:sub>
          </m:sSub>
          <m:d>
            <m:dPr>
              <m:begChr m:val="("/>
              <m:endChr m:val=")"/>
              <m:sepChr m:val=""/>
              <m:grow/>
            </m:dPr>
            <m:e>
              <m:r>
                <m:t>t</m:t>
              </m:r>
            </m:e>
          </m:d>
          <m:r>
            <m:rPr>
              <m:sty m:val="p"/>
            </m:rPr>
            <m:t>=</m:t>
          </m:r>
          <m:sSub>
            <m:e>
              <m:r>
                <m:t>P</m:t>
              </m:r>
            </m:e>
            <m:sub>
              <m:r>
                <m:rPr>
                  <m:nor/>
                  <m:sty m:val="p"/>
                </m:rPr>
                <m:t>min</m:t>
              </m:r>
            </m:sub>
          </m:sSub>
          <m:r>
            <m:rPr>
              <m:sty m:val="p"/>
            </m:rPr>
            <m:t>+</m:t>
          </m:r>
          <m:d>
            <m:dPr>
              <m:begChr m:val="("/>
              <m:endChr m:val=")"/>
              <m:sepChr m:val=""/>
              <m:grow/>
            </m:dPr>
            <m:e>
              <m:sSub>
                <m:e>
                  <m:r>
                    <m:t>P</m:t>
                  </m:r>
                </m:e>
                <m:sub>
                  <m:r>
                    <m:rPr>
                      <m:nor/>
                      <m:sty m:val="p"/>
                    </m:rPr>
                    <m:t>max</m:t>
                  </m:r>
                </m:sub>
              </m:sSub>
              <m:r>
                <m:rPr>
                  <m:sty m:val="p"/>
                </m:rPr>
                <m:t>−</m:t>
              </m:r>
              <m:sSub>
                <m:e>
                  <m:r>
                    <m:t>P</m:t>
                  </m:r>
                </m:e>
                <m:sub>
                  <m:r>
                    <m:rPr>
                      <m:nor/>
                      <m:sty m:val="p"/>
                    </m:rPr>
                    <m:t>min</m:t>
                  </m:r>
                </m:sub>
              </m:sSub>
            </m:e>
          </m:d>
          <m:d>
            <m:dPr>
              <m:begChr m:val="("/>
              <m:endChr m:val=")"/>
              <m:sepChr m:val=""/>
              <m:grow/>
            </m:dPr>
            <m:e>
              <m:f>
                <m:fPr>
                  <m:type m:val="bar"/>
                </m:fPr>
                <m:num>
                  <m:r>
                    <m:t>1</m:t>
                  </m:r>
                </m:num>
                <m:den>
                  <m:r>
                    <m:t>1</m:t>
                  </m:r>
                  <m:r>
                    <m:rPr>
                      <m:sty m:val="p"/>
                    </m:rPr>
                    <m:t>+</m:t>
                  </m:r>
                  <m:r>
                    <m:t>ψ</m:t>
                  </m:r>
                  <m:sSub>
                    <m:e>
                      <m:r>
                        <m:t>C</m:t>
                      </m:r>
                    </m:e>
                    <m:sub>
                      <m:r>
                        <m:t>F</m:t>
                      </m:r>
                    </m:sub>
                  </m:sSub>
                  <m:d>
                    <m:dPr>
                      <m:begChr m:val="("/>
                      <m:endChr m:val=")"/>
                      <m:sepChr m:val=""/>
                      <m:grow/>
                    </m:dPr>
                    <m:e>
                      <m:r>
                        <m:t>t</m:t>
                      </m:r>
                    </m:e>
                  </m:d>
                </m:den>
              </m:f>
            </m:e>
          </m:d>
          <m:r>
            <m:rPr>
              <m:sty m:val="p"/>
            </m:rPr>
            <m:t>,</m:t>
          </m:r>
          <m:r>
            <m:t>  </m:t>
          </m:r>
          <m:d>
            <m:dPr>
              <m:begChr m:val="("/>
              <m:endChr m:val=")"/>
              <m:sepChr m:val=""/>
              <m:grow/>
            </m:dPr>
            <m:e>
              <m:r>
                <m:t>1.19</m:t>
              </m:r>
            </m:e>
          </m:d>
        </m:oMath>
      </m:oMathPara>
      <w:bookmarkEnd w:id="50"/>
    </w:p>
    <w:p>
      <w:pPr>
        <w:pStyle w:val="FirstParagraph"/>
      </w:pPr>
      <w:r>
        <w:t xml:space="preserve">where the notation is the same as in</w:t>
      </w:r>
      <w:r>
        <w:t xml:space="preserve"> </w:t>
      </w:r>
      <w:hyperlink w:anchor="eq-youssefpour-Ps">
        <w:r>
          <w:rPr>
            <w:rStyle w:val="Hyperlink"/>
          </w:rPr>
          <w:t xml:space="preserve">Equation 1.15</w:t>
        </w:r>
      </w:hyperlink>
      <w:r>
        <w:t xml:space="preserve">. Since</w:t>
      </w:r>
      <w:r>
        <w:t xml:space="preserve"> </w:t>
      </w:r>
      <w:r>
        <w:t xml:space="preserve">(Bachman and Hillen 2013)</w:t>
      </w:r>
      <w:r>
        <w:t xml:space="preserve"> </w:t>
      </w:r>
      <w:r>
        <w:t xml:space="preserve">do not model endogenous production of differentiation promoter,</w:t>
      </w:r>
      <w:r>
        <w:t xml:space="preserve"> </w:t>
      </w:r>
      <m:oMath>
        <m:sSub>
          <m:e>
            <m:r>
              <m:t>C</m:t>
            </m:r>
          </m:e>
          <m:sub>
            <m:r>
              <m:t>F</m:t>
            </m:r>
          </m:sub>
        </m:sSub>
      </m:oMath>
      <w:r>
        <w:t xml:space="preserve"> </w:t>
      </w:r>
      <w:r>
        <w:t xml:space="preserve">solely represents the level of differentiation promoter prescribed during differentiation therpay. To address this lack of endogenous differentiation promoters they take</w:t>
      </w:r>
      <w:r>
        <w:t xml:space="preserve"> </w:t>
      </w:r>
      <m:oMath>
        <m:sSub>
          <m:e>
            <m:r>
              <m:t>P</m:t>
            </m:r>
          </m:e>
          <m:sub>
            <m:r>
              <m:rPr>
                <m:nor/>
                <m:sty m:val="p"/>
              </m:rPr>
              <m:t>max</m:t>
            </m:r>
          </m:sub>
        </m:sSub>
        <m:r>
          <m:rPr>
            <m:sty m:val="p"/>
          </m:rPr>
          <m:t>=</m:t>
        </m:r>
        <m:r>
          <m:t>0.505</m:t>
        </m:r>
      </m:oMath>
      <w:r>
        <w:t xml:space="preserve"> </w:t>
      </w:r>
      <w:r>
        <w:t xml:space="preserve">(which is equivalent to setting</w:t>
      </w:r>
      <w:r>
        <w:t xml:space="preserve"> </w:t>
      </w:r>
      <m:oMath>
        <m:r>
          <m:t>δ</m:t>
        </m:r>
        <m:r>
          <m:rPr>
            <m:sty m:val="p"/>
          </m:rPr>
          <m:t>=</m:t>
        </m:r>
        <m:r>
          <m:t>0.01</m:t>
        </m:r>
      </m:oMath>
      <w:r>
        <w:t xml:space="preserve"> </w:t>
      </w:r>
      <w:r>
        <w:t xml:space="preserve">as was done in</w:t>
      </w:r>
      <w:r>
        <w:t xml:space="preserve"> </w:t>
      </w:r>
      <w:r>
        <w:t xml:space="preserve">(Hillen, Enderling, and Hahnfeldt 2013)</w:t>
      </w:r>
      <w:r>
        <w:t xml:space="preserve">) and</w:t>
      </w:r>
      <w:r>
        <w:t xml:space="preserve"> </w:t>
      </w:r>
      <m:oMath>
        <m:sSub>
          <m:e>
            <m:r>
              <m:t>P</m:t>
            </m:r>
          </m:e>
          <m:sub>
            <m:r>
              <m:rPr>
                <m:nor/>
                <m:sty m:val="p"/>
              </m:rPr>
              <m:t>min</m:t>
            </m:r>
          </m:sub>
        </m:sSub>
        <m:r>
          <m:rPr>
            <m:sty m:val="p"/>
          </m:rPr>
          <m:t>=</m:t>
        </m:r>
        <m:r>
          <m:t>0.2</m:t>
        </m:r>
      </m:oMath>
      <w:r>
        <w:t xml:space="preserve">, as is done in</w:t>
      </w:r>
      <w:r>
        <w:t xml:space="preserve"> </w:t>
      </w:r>
      <w:r>
        <w:t xml:space="preserve">(Youssefpour et al. 2012)</w:t>
      </w:r>
      <w:r>
        <w:t xml:space="preserve">.</w:t>
      </w:r>
    </w:p>
    <w:p>
      <w:pPr>
        <w:pStyle w:val="BodyText"/>
      </w:pPr>
      <w:r>
        <w:t xml:space="preserve">As</w:t>
      </w:r>
      <w:r>
        <w:t xml:space="preserve"> </w:t>
      </w:r>
      <w:r>
        <w:t xml:space="preserve">(Bachman and Hillen 2013)</w:t>
      </w:r>
      <w:r>
        <w:t xml:space="preserve"> </w:t>
      </w:r>
      <w:r>
        <w:t xml:space="preserve">use the ODE model developed in</w:t>
      </w:r>
      <w:r>
        <w:t xml:space="preserve"> </w:t>
      </w:r>
      <w:r>
        <w:t xml:space="preserve">(Hillen, Enderling, and Hahnfeldt 2013)</w:t>
      </w:r>
      <w:r>
        <w:t xml:space="preserve"> </w:t>
      </w:r>
      <w:r>
        <w:t xml:space="preserve">they must also develop a submodel for the average level of differentiation promoter. As it is an ODE model they consider the average level of differentiation promoter within a spatially homogeous tumour</w:t>
      </w:r>
      <w:r>
        <w:t xml:space="preserve"> </w:t>
      </w:r>
      <m:oMath>
        <m:sSub>
          <m:e>
            <m:r>
              <m:t>C</m:t>
            </m:r>
          </m:e>
          <m:sub>
            <m:r>
              <m:t>F</m:t>
            </m:r>
          </m:sub>
        </m:sSub>
        <m:d>
          <m:dPr>
            <m:begChr m:val="("/>
            <m:endChr m:val=")"/>
            <m:sepChr m:val=""/>
            <m:grow/>
          </m:dPr>
          <m:e>
            <m:r>
              <m:t>t</m:t>
            </m:r>
          </m:e>
        </m:d>
      </m:oMath>
      <w:r>
        <w:t xml:space="preserve">. It is assumed that the tumour resides within a spherical region of tissue and that differentiation promoter enters this area through the boundary. The differentaition promoter enters the region from the boundary and will diffuse very quickly and attain a steady state disttibution over this region. To compute the value of</w:t>
      </w:r>
      <w:r>
        <w:t xml:space="preserve"> </w:t>
      </w:r>
      <m:oMath>
        <m:sSub>
          <m:e>
            <m:r>
              <m:t>C</m:t>
            </m:r>
          </m:e>
          <m:sub>
            <m:r>
              <m:t>F</m:t>
            </m:r>
          </m:sub>
        </m:sSub>
        <m:d>
          <m:dPr>
            <m:begChr m:val="("/>
            <m:endChr m:val=")"/>
            <m:sepChr m:val=""/>
            <m:grow/>
          </m:dPr>
          <m:e>
            <m:r>
              <m:t>t</m:t>
            </m:r>
          </m:e>
        </m:d>
      </m:oMath>
      <w:r>
        <w:t xml:space="preserve"> </w:t>
      </w:r>
      <w:r>
        <w:t xml:space="preserve">they solve the problem of diffusion over a sphere of radius</w:t>
      </w:r>
      <w:r>
        <w:t xml:space="preserve"> </w:t>
      </w:r>
      <m:oMath>
        <m:r>
          <m:t>R</m:t>
        </m:r>
      </m:oMath>
      <w:r>
        <w:t xml:space="preserve"> </w:t>
      </w:r>
      <w:r>
        <w:t xml:space="preserve">and avergae the solution over the volume of the sphere. We use the lower case letter to describ the radial symmetric solution</w:t>
      </w:r>
      <w:r>
        <w:t xml:space="preserve"> </w:t>
      </w:r>
      <m:oMath>
        <m:sSub>
          <m:e>
            <m:r>
              <m:t>c</m:t>
            </m:r>
          </m:e>
          <m:sub>
            <m:r>
              <m:t>F</m:t>
            </m:r>
          </m:sub>
        </m:sSub>
        <m:d>
          <m:dPr>
            <m:begChr m:val="("/>
            <m:endChr m:val=")"/>
            <m:sepChr m:val=""/>
            <m:grow/>
          </m:dPr>
          <m:e>
            <m:r>
              <m:t>r</m:t>
            </m:r>
            <m:r>
              <m:rPr>
                <m:sty m:val="p"/>
              </m:rPr>
              <m:t>,</m:t>
            </m:r>
            <m:r>
              <m:t>t</m:t>
            </m:r>
          </m:e>
        </m:d>
      </m:oMath>
      <w:r>
        <w:t xml:space="preserve"> </w:t>
      </w:r>
      <w:r>
        <w:t xml:space="preserve">of the follwoing boundary value probalem</w:t>
      </w:r>
    </w:p>
    <w:p>
      <w:pPr>
        <w:pStyle w:val="BodyText"/>
      </w:pPr>
      <w:bookmarkStart w:id="51" w:name="eq-bachman-CF"/>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sSub>
                      <m:e>
                        <m:r>
                          <m:t>c</m:t>
                        </m:r>
                      </m:e>
                      <m:sub>
                        <m:r>
                          <m:t>F</m:t>
                        </m:r>
                      </m:sub>
                    </m:sSub>
                  </m:num>
                  <m:den>
                    <m:r>
                      <m:rPr>
                        <m:sty m:val="p"/>
                      </m:rPr>
                      <m:t>∂</m:t>
                    </m:r>
                    <m:r>
                      <m:t>t</m:t>
                    </m:r>
                  </m:den>
                </m:f>
              </m:e>
              <m:e>
                <m:r>
                  <m:rPr>
                    <m:sty m:val="p"/>
                  </m:rPr>
                  <m:t>=</m:t>
                </m:r>
                <m:r>
                  <m:t>ω</m:t>
                </m:r>
                <m:d>
                  <m:dPr>
                    <m:begChr m:val="("/>
                    <m:endChr m:val=")"/>
                    <m:sepChr m:val=""/>
                    <m:grow/>
                  </m:dPr>
                  <m:e>
                    <m:f>
                      <m:fPr>
                        <m:type m:val="bar"/>
                      </m:fPr>
                      <m:num>
                        <m:r>
                          <m:rPr>
                            <m:sty m:val="p"/>
                          </m:rPr>
                          <m:t>∂</m:t>
                        </m:r>
                      </m:num>
                      <m:den>
                        <m:r>
                          <m:rPr>
                            <m:sty m:val="p"/>
                          </m:rPr>
                          <m:t>∂</m:t>
                        </m:r>
                        <m:r>
                          <m:t>r</m:t>
                        </m:r>
                      </m:den>
                    </m:f>
                    <m:d>
                      <m:dPr>
                        <m:begChr m:val="("/>
                        <m:endChr m:val=")"/>
                        <m:sepChr m:val=""/>
                        <m:grow/>
                      </m:dPr>
                      <m:e>
                        <m:f>
                          <m:fPr>
                            <m:type m:val="bar"/>
                          </m:fPr>
                          <m:num>
                            <m:r>
                              <m:rPr>
                                <m:sty m:val="p"/>
                              </m:rPr>
                              <m:t>∂</m:t>
                            </m:r>
                            <m:sSub>
                              <m:e>
                                <m:r>
                                  <m:t>c</m:t>
                                </m:r>
                              </m:e>
                              <m:sub>
                                <m:r>
                                  <m:t>F</m:t>
                                </m:r>
                              </m:sub>
                            </m:sSub>
                          </m:num>
                          <m:den>
                            <m:r>
                              <m:rPr>
                                <m:sty m:val="p"/>
                              </m:rPr>
                              <m:t>∂</m:t>
                            </m:r>
                            <m:r>
                              <m:t>r</m:t>
                            </m:r>
                          </m:den>
                        </m:f>
                      </m:e>
                    </m:d>
                    <m:r>
                      <m:rPr>
                        <m:sty m:val="p"/>
                      </m:rPr>
                      <m:t>+</m:t>
                    </m:r>
                    <m:f>
                      <m:fPr>
                        <m:type m:val="bar"/>
                      </m:fPr>
                      <m:num>
                        <m:r>
                          <m:t>2</m:t>
                        </m:r>
                      </m:num>
                      <m:den>
                        <m:r>
                          <m:t>r</m:t>
                        </m:r>
                      </m:den>
                    </m:f>
                    <m:f>
                      <m:fPr>
                        <m:type m:val="bar"/>
                      </m:fPr>
                      <m:num>
                        <m:r>
                          <m:rPr>
                            <m:sty m:val="p"/>
                          </m:rPr>
                          <m:t>∂</m:t>
                        </m:r>
                        <m:sSub>
                          <m:e>
                            <m:r>
                              <m:t>c</m:t>
                            </m:r>
                          </m:e>
                          <m:sub>
                            <m:r>
                              <m:t>f</m:t>
                            </m:r>
                          </m:sub>
                        </m:sSub>
                      </m:num>
                      <m:den>
                        <m:r>
                          <m:rPr>
                            <m:sty m:val="p"/>
                          </m:rPr>
                          <m:t>∂</m:t>
                        </m:r>
                        <m:r>
                          <m:t>r</m:t>
                        </m:r>
                      </m:den>
                    </m:f>
                  </m:e>
                </m:d>
              </m:e>
            </m:mr>
            <m:mr>
              <m:e>
                <m:sSub>
                  <m:e>
                    <m:r>
                      <m:t>c</m:t>
                    </m:r>
                  </m:e>
                  <m:sub>
                    <m:r>
                      <m:t>F</m:t>
                    </m:r>
                  </m:sub>
                </m:sSub>
                <m:d>
                  <m:dPr>
                    <m:begChr m:val="("/>
                    <m:endChr m:val=")"/>
                    <m:sepChr m:val=""/>
                    <m:grow/>
                  </m:dPr>
                  <m:e>
                    <m:r>
                      <m:t>R</m:t>
                    </m:r>
                    <m:r>
                      <m:rPr>
                        <m:sty m:val="p"/>
                      </m:rPr>
                      <m:t>,</m:t>
                    </m:r>
                    <m:r>
                      <m:t>t</m:t>
                    </m:r>
                  </m:e>
                </m:d>
              </m:e>
              <m:e>
                <m:r>
                  <m:rPr>
                    <m:sty m:val="p"/>
                  </m:rPr>
                  <m:t>=</m:t>
                </m:r>
                <m:sSub>
                  <m:e>
                    <m:r>
                      <m:t>C</m:t>
                    </m:r>
                  </m:e>
                  <m:sub>
                    <m:r>
                      <m:t>F</m:t>
                    </m:r>
                    <m:r>
                      <m:t>0</m:t>
                    </m:r>
                  </m:sub>
                </m:sSub>
                <m:d>
                  <m:dPr>
                    <m:begChr m:val="("/>
                    <m:endChr m:val=")"/>
                    <m:sepChr m:val=""/>
                    <m:grow/>
                  </m:dPr>
                  <m:e>
                    <m:r>
                      <m:t>t</m:t>
                    </m:r>
                  </m:e>
                </m:d>
                <m:r>
                  <m:rPr>
                    <m:sty m:val="p"/>
                  </m:rPr>
                  <m:t>.</m:t>
                </m:r>
              </m:e>
            </m:mr>
          </m:m>
          <m:r>
            <m:t>  </m:t>
          </m:r>
          <m:d>
            <m:dPr>
              <m:begChr m:val="("/>
              <m:endChr m:val=")"/>
              <m:sepChr m:val=""/>
              <m:grow/>
            </m:dPr>
            <m:e>
              <m:r>
                <m:t>1.20</m:t>
              </m:r>
            </m:e>
          </m:d>
        </m:oMath>
      </m:oMathPara>
      <w:bookmarkEnd w:id="51"/>
    </w:p>
    <w:p>
      <w:pPr>
        <w:pStyle w:val="FirstParagraph"/>
      </w:pPr>
      <w:r>
        <w:t xml:space="preserve">Where</w:t>
      </w:r>
      <w:r>
        <w:t xml:space="preserve"> </w:t>
      </w:r>
      <m:oMath>
        <m:r>
          <m:t>ω</m:t>
        </m:r>
      </m:oMath>
      <w:r>
        <w:t xml:space="preserve"> </w:t>
      </w:r>
      <w:r>
        <w:t xml:space="preserve">is the effective diffusivity of the differentiation promoter. Before differentation therapy begins</w:t>
      </w:r>
      <w:r>
        <w:t xml:space="preserve"> </w:t>
      </w:r>
      <m:oMath>
        <m:sSub>
          <m:e>
            <m:r>
              <m:t>C</m:t>
            </m:r>
          </m:e>
          <m:sub>
            <m:r>
              <m:t>F</m:t>
            </m:r>
            <m:r>
              <m:t>0</m:t>
            </m:r>
          </m:sub>
        </m:sSub>
        <m:d>
          <m:dPr>
            <m:begChr m:val="("/>
            <m:endChr m:val=")"/>
            <m:sepChr m:val=""/>
            <m:grow/>
          </m:dPr>
          <m:e>
            <m:r>
              <m:t>t</m:t>
            </m:r>
          </m:e>
        </m:d>
      </m:oMath>
      <w:r>
        <w:t xml:space="preserve"> </w:t>
      </w:r>
      <w:r>
        <w:t xml:space="preserve">is 0, when differnetiation therapy begins the boundary condition on the sphere is set to</w:t>
      </w:r>
      <w:r>
        <w:t xml:space="preserve"> </w:t>
      </w:r>
      <m:oMath>
        <m:sSub>
          <m:e>
            <m:r>
              <m:t>C</m:t>
            </m:r>
          </m:e>
          <m:sub>
            <m:r>
              <m:t>F</m:t>
            </m:r>
            <m:r>
              <m:t>0</m:t>
            </m:r>
          </m:sub>
        </m:sSub>
        <m:d>
          <m:dPr>
            <m:begChr m:val="("/>
            <m:endChr m:val=")"/>
            <m:sepChr m:val=""/>
            <m:grow/>
          </m:dPr>
          <m:e>
            <m:r>
              <m:t>t</m:t>
            </m:r>
          </m:e>
        </m:d>
        <m:r>
          <m:rPr>
            <m:sty m:val="p"/>
          </m:rPr>
          <m:t>=</m:t>
        </m:r>
        <m:r>
          <m:t>1</m:t>
        </m:r>
      </m:oMath>
      <w:r>
        <w:t xml:space="preserve">, and the promoter diffuses into the sphere. When differentaition therapy ends, the bounayry condition is simply set to 0 and the promoter diffusies out of the sphere. They then set</w:t>
      </w:r>
    </w:p>
    <w:p>
      <w:pPr>
        <w:pStyle w:val="BodyText"/>
      </w:pPr>
      <w:bookmarkStart w:id="52" w:name="eq-bachman-CF2"/>
      <m:oMathPara>
        <m:oMathParaPr>
          <m:jc m:val="center"/>
        </m:oMathParaPr>
        <m:oMath>
          <m:sSub>
            <m:e>
              <m:r>
                <m:t>C</m:t>
              </m:r>
            </m:e>
            <m:sub>
              <m:r>
                <m:t>F</m:t>
              </m:r>
            </m:sub>
          </m:sSub>
          <m:d>
            <m:dPr>
              <m:begChr m:val="("/>
              <m:endChr m:val=")"/>
              <m:sepChr m:val=""/>
              <m:grow/>
            </m:dPr>
            <m:e>
              <m:r>
                <m:t>t</m:t>
              </m:r>
            </m:e>
          </m:d>
          <m:r>
            <m:rPr>
              <m:sty m:val="p"/>
            </m:rPr>
            <m:t>=</m:t>
          </m:r>
          <m:f>
            <m:fPr>
              <m:type m:val="bar"/>
            </m:fPr>
            <m:num>
              <m:r>
                <m:t>3</m:t>
              </m:r>
            </m:num>
            <m:den>
              <m:sSup>
                <m:e>
                  <m:r>
                    <m:t>R</m:t>
                  </m:r>
                </m:e>
                <m:sup>
                  <m:r>
                    <m:t>3</m:t>
                  </m:r>
                </m:sup>
              </m:sSup>
            </m:den>
          </m:f>
          <m:r>
            <m:rPr>
              <m:sty m:val="p"/>
            </m:rPr>
            <m:t>=</m:t>
          </m:r>
          <m:nary>
            <m:naryPr>
              <m:chr m:val="∫"/>
              <m:limLoc m:val="subSup"/>
              <m:subHide m:val="off"/>
              <m:supHide m:val="off"/>
            </m:naryPr>
            <m:sub>
              <m:r>
                <m:t>0</m:t>
              </m:r>
            </m:sub>
            <m:sup>
              <m:r>
                <m:t>R</m:t>
              </m:r>
            </m:sup>
            <m:e>
              <m:sSub>
                <m:e>
                  <m:r>
                    <m:t>c</m:t>
                  </m:r>
                </m:e>
                <m:sub>
                  <m:r>
                    <m:t>F</m:t>
                  </m:r>
                </m:sub>
              </m:sSub>
            </m:e>
          </m:nary>
          <m:d>
            <m:dPr>
              <m:begChr m:val="("/>
              <m:endChr m:val=")"/>
              <m:sepChr m:val=""/>
              <m:grow/>
            </m:dPr>
            <m:e>
              <m:r>
                <m:t>r</m:t>
              </m:r>
              <m:r>
                <m:rPr>
                  <m:sty m:val="p"/>
                </m:rPr>
                <m:t>,</m:t>
              </m:r>
              <m:r>
                <m:t>t</m:t>
              </m:r>
            </m:e>
          </m:d>
          <m:sSup>
            <m:e>
              <m:r>
                <m:t>r</m:t>
              </m:r>
            </m:e>
            <m:sup>
              <m:r>
                <m:t>2</m:t>
              </m:r>
            </m:sup>
          </m:sSup>
          <m:r>
            <m:t>d</m:t>
          </m:r>
          <m:r>
            <m:t>r</m:t>
          </m:r>
          <m:r>
            <m:rPr>
              <m:sty m:val="p"/>
            </m:rPr>
            <m:t>.</m:t>
          </m:r>
          <m:r>
            <m:t>  </m:t>
          </m:r>
          <m:d>
            <m:dPr>
              <m:begChr m:val="("/>
              <m:endChr m:val=")"/>
              <m:sepChr m:val=""/>
              <m:grow/>
            </m:dPr>
            <m:e>
              <m:r>
                <m:t>1.21</m:t>
              </m:r>
            </m:e>
          </m:d>
        </m:oMath>
      </m:oMathPara>
      <w:bookmarkEnd w:id="52"/>
    </w:p>
    <w:bookmarkEnd w:id="53"/>
    <w:bookmarkStart w:id="54" w:name="bmp4-in-glioma"/>
    <w:p>
      <w:pPr>
        <w:pStyle w:val="Heading3"/>
      </w:pPr>
      <w:r>
        <w:t xml:space="preserve">1.5.3 BMP4 in glioma</w:t>
      </w:r>
    </w:p>
    <w:p>
      <w:pPr>
        <w:pStyle w:val="FirstParagraph"/>
      </w:pPr>
      <w:r>
        <w:t xml:space="preserve">In the previous models</w:t>
      </w:r>
      <w:r>
        <w:t xml:space="preserve"> </w:t>
      </w:r>
      <w:r>
        <w:t xml:space="preserve">(Youssefpour et al. 2012; Hillen, Enderling, and Hahnfeldt 2013)</w:t>
      </w:r>
      <w:r>
        <w:t xml:space="preserve"> </w:t>
      </w:r>
      <w:r>
        <w:t xml:space="preserve">they considered a gneral differentaition promoter, in</w:t>
      </w:r>
      <w:r>
        <w:t xml:space="preserve"> </w:t>
      </w:r>
      <w:r>
        <w:t xml:space="preserve">(Turner et al. 2009)</w:t>
      </w:r>
      <w:r>
        <w:t xml:space="preserve"> </w:t>
      </w:r>
      <w:r>
        <w:t xml:space="preserve">they consider a the specific differentaiton promter, BMP4 in GBM. As in the case for the general differentaiton promoter they interprest the effects of BMP4 as decrreasing the net symmetric division rate</w:t>
      </w:r>
      <w:r>
        <w:t xml:space="preserve"> </w:t>
      </w:r>
      <m:oMath>
        <m:r>
          <m:t>r</m:t>
        </m:r>
      </m:oMath>
      <w:r>
        <w:t xml:space="preserve"> </w:t>
      </w:r>
      <w:r>
        <w:t xml:space="preserve">(following the notatiomn used in</w:t>
      </w:r>
      <w:r>
        <w:t xml:space="preserve"> </w:t>
      </w:r>
      <w:hyperlink w:anchor="sec-stochastic-model">
        <w:r>
          <w:rPr>
            <w:rStyle w:val="Hyperlink"/>
          </w:rPr>
          <w:t xml:space="preserve">Section 1.4.4</w:t>
        </w:r>
      </w:hyperlink>
      <w:r>
        <w:t xml:space="preserve">). Based on</w:t>
      </w:r>
      <w:r>
        <w:t xml:space="preserve"> </w:t>
      </w:r>
      <w:r>
        <w:t xml:space="preserve">(Piccirillo et al. 2006)</w:t>
      </w:r>
      <w:r>
        <w:t xml:space="preserve"> </w:t>
      </w:r>
      <w:r>
        <w:t xml:space="preserve">they estimate that from a pre-treatment value of</w:t>
      </w:r>
      <w:r>
        <w:t xml:space="preserve"> </w:t>
      </w:r>
      <m:oMath>
        <m:r>
          <m:t>r</m:t>
        </m:r>
        <m:r>
          <m:rPr>
            <m:sty m:val="p"/>
          </m:rPr>
          <m:t>=</m:t>
        </m:r>
        <m:r>
          <m:t>0.1</m:t>
        </m:r>
      </m:oMath>
      <w:r>
        <w:t xml:space="preserve"> </w:t>
      </w:r>
      <w:r>
        <w:t xml:space="preserve">the effect of BMP4 is to reduce</w:t>
      </w:r>
      <w:r>
        <w:t xml:space="preserve"> </w:t>
      </w:r>
      <m:oMath>
        <m:r>
          <m:t>r</m:t>
        </m:r>
      </m:oMath>
      <w:r>
        <w:t xml:space="preserve"> </w:t>
      </w:r>
      <w:r>
        <w:t xml:space="preserve">to</w:t>
      </w:r>
      <w:r>
        <w:t xml:space="preserve"> </w:t>
      </w:r>
      <m:oMath>
        <m:r>
          <m:rPr>
            <m:sty m:val="p"/>
          </m:rPr>
          <m:t>−</m:t>
        </m:r>
        <m:r>
          <m:t>0.1</m:t>
        </m:r>
      </m:oMath>
      <w:r>
        <w:t xml:space="preserve">, note that following the notation used in</w:t>
      </w:r>
      <w:r>
        <w:t xml:space="preserve"> </w:t>
      </w:r>
      <w:hyperlink w:anchor="sec-stochastic-model">
        <w:r>
          <w:rPr>
            <w:rStyle w:val="Hyperlink"/>
          </w:rPr>
          <w:t xml:space="preserve">Section 1.4.4</w:t>
        </w:r>
      </w:hyperlink>
      <w:r>
        <w:t xml:space="preserve"> </w:t>
      </w:r>
      <m:oMath>
        <m:r>
          <m:t>r</m:t>
        </m:r>
      </m:oMath>
      <w:r>
        <w:t xml:space="preserve"> </w:t>
      </w:r>
      <w:r>
        <w:t xml:space="preserve">is defined as</w:t>
      </w:r>
      <w:r>
        <w:t xml:space="preserve"> </w:t>
      </w:r>
      <m:oMath>
        <m:r>
          <m:t>r</m:t>
        </m:r>
        <m:r>
          <m:rPr>
            <m:sty m:val="p"/>
          </m:rPr>
          <m:t>=</m:t>
        </m:r>
        <m:sSub>
          <m:e>
            <m:r>
              <m:t>r</m:t>
            </m:r>
          </m:e>
          <m:sub>
            <m:r>
              <m:t>1</m:t>
            </m:r>
          </m:sub>
        </m:sSub>
        <m:r>
          <m:rPr>
            <m:sty m:val="p"/>
          </m:rPr>
          <m:t>−</m:t>
        </m:r>
        <m:sSub>
          <m:e>
            <m:r>
              <m:t>r</m:t>
            </m:r>
          </m:e>
          <m:sub>
            <m:r>
              <m:t>3</m:t>
            </m:r>
          </m:sub>
        </m:sSub>
      </m:oMath>
      <w:r>
        <w:t xml:space="preserve"> </w:t>
      </w:r>
      <w:r>
        <w:t xml:space="preserve">so a change of</w:t>
      </w:r>
      <w:r>
        <w:t xml:space="preserve"> </w:t>
      </w:r>
      <m:oMath>
        <m:r>
          <m:t>r</m:t>
        </m:r>
      </m:oMath>
      <w:r>
        <w:t xml:space="preserve"> </w:t>
      </w:r>
      <w:r>
        <w:t xml:space="preserve">to negative represnts a both an increaese in the proportion of symmetric differentaiton divisions and a decrease in symetric slef-renewal divisions. To model differentaiton therapy the parameter value</w:t>
      </w:r>
      <w:r>
        <w:t xml:space="preserve"> </w:t>
      </w:r>
      <m:oMath>
        <m:r>
          <m:t>r</m:t>
        </m:r>
      </m:oMath>
      <w:r>
        <w:t xml:space="preserve"> </w:t>
      </w:r>
      <w:r>
        <w:t xml:space="preserve">is simply swtiched beteen these two values for the duratio nof BMP4 exposure.</w:t>
      </w:r>
    </w:p>
    <w:bookmarkEnd w:id="54"/>
    <w:bookmarkStart w:id="55" w:name="Xc8d3ab7958f0daf355b60fe1f11d88122307dce"/>
    <w:p>
      <w:pPr>
        <w:pStyle w:val="Heading3"/>
      </w:pPr>
      <w:r>
        <w:t xml:space="preserve">1.5.4 Summary of differentaition therpay results</w:t>
      </w:r>
    </w:p>
    <w:p>
      <w:pPr>
        <w:pStyle w:val="FirstParagraph"/>
      </w:pPr>
      <w:r>
        <w:t xml:space="preserve">All the models compare 3 different tretament cases radiation alone, differentaition therapy alone and combination therpay. Importantly, as has been shown, all models assume that CSCs are less senstavie to radiation than TCs</w:t>
      </w:r>
      <w:r>
        <w:t xml:space="preserve"> </w:t>
      </w:r>
      <w:r>
        <w:t xml:space="preserve">(Bao et al. 2006)</w:t>
      </w:r>
      <w:r>
        <w:t xml:space="preserve">. Despite the slight differences in implementation of the models, all models find similar result. Radiotherpy alone fails as some CSCs survive and are able to repopulate the tumour. In fact all models show an extention of the</w:t>
      </w:r>
      <w:r>
        <w:t xml:space="preserve"> </w:t>
      </w:r>
      <w:r>
        <w:t xml:space="preserve">“</w:t>
      </w:r>
      <w:r>
        <w:t xml:space="preserve">tumour growth paradox</w:t>
      </w:r>
      <w:r>
        <w:t xml:space="preserve">”</w:t>
      </w:r>
      <w:r>
        <w:t xml:space="preserve"> </w:t>
      </w:r>
      <w:r>
        <w:t xml:space="preserve">which we term the</w:t>
      </w:r>
      <w:r>
        <w:t xml:space="preserve"> </w:t>
      </w:r>
      <w:r>
        <w:t xml:space="preserve">“</w:t>
      </w:r>
      <w:r>
        <w:t xml:space="preserve">tumour treatment paradox</w:t>
      </w:r>
      <w:r>
        <w:t xml:space="preserve">”</w:t>
      </w:r>
      <w:r>
        <w:t xml:space="preserve">. When treating with radiation alone the fraction of CSCs increases and since the TCs die there is more room for CSCs this allows much more rapid re-grwoth of the tumour. This suggests that current standard of care treatment selects for the more resistant and turmourogenic CSCs thus treatment often fasicilitates more rapid and agressive tumour recurrace. Diffenrentiation therpy alone can succesfuly iradicate the tumour, however, given all models assume that CSCs can only transform into TCs through (asymmetric) cellualr divison, rather than direct transition, large intermediate values of total tumour size may be reached using this approach. Combination of differentiation and radiothery out perfomred eith single therapies often showing that the tumour can be driven to much smaller sizes and potentially extinction. This is because the differentiation agent induces CSCs to turn into TCs which then can be killed by traditional radiation therapy. This combination therapy can be considered a new class of strategies for cancer therapy known as evolutionary steeringvappraoches. Rather than reactively altering treatment as resitance is aqured we proactively slecet our treamtent to minimise resistantce and increase chance of extinction</w:t>
      </w:r>
      <w:r>
        <w:t xml:space="preserve"> </w:t>
      </w:r>
      <w:r>
        <w:t xml:space="preserve">(Enriquez-Navas, Wojtkowiak, and Gatenby 2015; Acar et al. 2020)</w:t>
      </w:r>
      <w:r>
        <w:t xml:space="preserve">.</w:t>
      </w:r>
    </w:p>
    <w:bookmarkEnd w:id="55"/>
    <w:bookmarkEnd w:id="56"/>
    <w:bookmarkEnd w:id="57"/>
    <w:bookmarkStart w:id="58" w:name="conclusion"/>
    <w:p>
      <w:pPr>
        <w:pStyle w:val="Heading1"/>
      </w:pPr>
      <w:r>
        <w:t xml:space="preserve">2. Conclusion</w:t>
      </w:r>
    </w:p>
    <w:p>
      <w:pPr>
        <w:pStyle w:val="FirstParagraph"/>
      </w:pPr>
      <w:r>
        <w:t xml:space="preserve">None of the models attempt to parameterise senstaitvit of cell lines to differentiation promoter. None model a specific feasible delivery strategy for differntiation promoter. None consider effects on cohorts of virtual populations and interactions between other parameters and differentiation therapy. In all cases it was assumed that CSCs can only transform into TCs through asymetric divison rather than any direct traistions from CSCs to TCs.</w:t>
      </w:r>
    </w:p>
    <w:bookmarkEnd w:id="58"/>
    <w:bookmarkStart w:id="59" w:name="summary"/>
    <w:p>
      <w:pPr>
        <w:pStyle w:val="Heading1"/>
      </w:pPr>
      <w:r>
        <w:t xml:space="preserve">3. Summary</w:t>
      </w:r>
    </w:p>
    <w:p>
      <w:pPr>
        <w:pStyle w:val="FirstParagraph"/>
      </w:pPr>
      <w:r>
        <w:t xml:space="preserve">This is the summary of main results and plan for thesis.</w:t>
      </w:r>
    </w:p>
    <w:p>
      <w:pPr>
        <w:pStyle w:val="BodyText"/>
      </w:pPr>
      <w:r>
        <w:t xml:space="preserve">Plan for thesis: Thesis by papers?</w:t>
      </w:r>
    </w:p>
    <w:p>
      <w:pPr>
        <w:pStyle w:val="BodyText"/>
      </w:pPr>
      <w:r>
        <w:t xml:space="preserve">possible papers:</w:t>
      </w:r>
      <w:r>
        <w:t xml:space="preserve"> </w:t>
      </w:r>
      <w:r>
        <w:t xml:space="preserve">- virtual clinical trials for BMP4.</w:t>
      </w:r>
      <w:r>
        <w:t xml:space="preserve"> </w:t>
      </w:r>
      <w:r>
        <w:t xml:space="preserve">- Frontiers of young minds paper.</w:t>
      </w:r>
      <w:r>
        <w:t xml:space="preserve"> </w:t>
      </w:r>
      <w:r>
        <w:t xml:space="preserve">- More math bio journal analysis of the model (some of the stuff Markus already stated look at with the model; nullclines, model reduction, also think looking at pde and ideas of tumour growth paradox).</w:t>
      </w:r>
      <w:r>
        <w:t xml:space="preserve"> </w:t>
      </w:r>
      <w:r>
        <w:t xml:space="preserve">- More digital twin PI modeling using data from patinet view/Mayo. Incorporating uncertainty in DT model. corresponds with Turing institute placemnt.</w:t>
      </w:r>
    </w:p>
    <w:bookmarkEnd w:id="59"/>
    <w:bookmarkStart w:id="60" w:name="preprint"/>
    <w:p>
      <w:pPr>
        <w:pStyle w:val="Heading1"/>
      </w:pPr>
      <w:r>
        <w:t xml:space="preserve">4. Preprint</w:t>
      </w:r>
    </w:p>
    <w:p>
      <w:pPr>
        <w:pStyle w:val="FirstParagraph"/>
      </w:pPr>
      <w:r>
        <w:t xml:space="preserve">This is the preprint it constitutes a substantial piece of work that will contribute to my thesis.</w:t>
      </w:r>
    </w:p>
    <w:bookmarkEnd w:id="60"/>
    <w:bookmarkStart w:id="145" w:name="references"/>
    <w:p>
      <w:pPr>
        <w:pStyle w:val="Heading1"/>
      </w:pPr>
      <w:r>
        <w:t xml:space="preserve">References</w:t>
      </w:r>
    </w:p>
    <w:bookmarkStart w:id="144" w:name="refs"/>
    <w:bookmarkStart w:id="62" w:name="ref-acar2020"/>
    <w:p>
      <w:pPr>
        <w:pStyle w:val="Bibliography"/>
      </w:pPr>
      <w:r>
        <w:t xml:space="preserve">Acar, Ahmet, Daniel Nichol, Javier Fernandez-Mateos, George D. Cresswell, Iros Barozzi, Sung Pil Hong, Nicholas Trahearn, et al. 2020.</w:t>
      </w:r>
      <w:r>
        <w:t xml:space="preserve"> </w:t>
      </w:r>
      <w:r>
        <w:t xml:space="preserve">“Exploiting Evolutionary Steering to Induce Collateral Drug Sensitivity in Cancer.”</w:t>
      </w:r>
      <w:r>
        <w:t xml:space="preserve"> </w:t>
      </w:r>
      <w:r>
        <w:rPr>
          <w:i/>
          <w:iCs/>
        </w:rPr>
        <w:t xml:space="preserve">Nature Communications</w:t>
      </w:r>
      <w:r>
        <w:t xml:space="preserve"> </w:t>
      </w:r>
      <w:r>
        <w:t xml:space="preserve">11 (1): 1923.</w:t>
      </w:r>
      <w:r>
        <w:t xml:space="preserve"> </w:t>
      </w:r>
      <w:hyperlink r:id="rId61">
        <w:r>
          <w:rPr>
            <w:rStyle w:val="Hyperlink"/>
          </w:rPr>
          <w:t xml:space="preserve">https://doi.org/10.1038/s41467-020-15596-z</w:t>
        </w:r>
      </w:hyperlink>
      <w:r>
        <w:t xml:space="preserve">.</w:t>
      </w:r>
    </w:p>
    <w:bookmarkEnd w:id="62"/>
    <w:bookmarkStart w:id="64" w:name="ref-al-hajj2003"/>
    <w:p>
      <w:pPr>
        <w:pStyle w:val="Bibliography"/>
      </w:pPr>
      <w:r>
        <w:t xml:space="preserve">Al-Hajj, Muhammad, Max S. Wicha, Adalberto Benito-Hernandez, Sean J. Morrison, and Michael F. Clarke. 2003.</w:t>
      </w:r>
      <w:r>
        <w:t xml:space="preserve"> </w:t>
      </w:r>
      <w:r>
        <w:t xml:space="preserve">“Prospective Identification of Tumorigenic Breast Cancer Cells.”</w:t>
      </w:r>
      <w:r>
        <w:t xml:space="preserve"> </w:t>
      </w:r>
      <w:r>
        <w:rPr>
          <w:i/>
          <w:iCs/>
        </w:rPr>
        <w:t xml:space="preserve">Proceedings of the National Academy of Sciences</w:t>
      </w:r>
      <w:r>
        <w:t xml:space="preserve"> </w:t>
      </w:r>
      <w:r>
        <w:t xml:space="preserve">100 (7): 3983–88.</w:t>
      </w:r>
      <w:r>
        <w:t xml:space="preserve"> </w:t>
      </w:r>
      <w:hyperlink r:id="rId63">
        <w:r>
          <w:rPr>
            <w:rStyle w:val="Hyperlink"/>
          </w:rPr>
          <w:t xml:space="preserve">https://doi.org/10.1073/pnas.0530291100</w:t>
        </w:r>
      </w:hyperlink>
      <w:r>
        <w:t xml:space="preserve">.</w:t>
      </w:r>
    </w:p>
    <w:bookmarkEnd w:id="64"/>
    <w:bookmarkStart w:id="66" w:name="ref-bachman2013"/>
    <w:p>
      <w:pPr>
        <w:pStyle w:val="Bibliography"/>
      </w:pPr>
      <w:r>
        <w:t xml:space="preserve">Bachman, Jeff W. N., and Thomas Hillen. 2013.</w:t>
      </w:r>
      <w:r>
        <w:t xml:space="preserve"> </w:t>
      </w:r>
      <w:r>
        <w:t xml:space="preserve">“Mathematical Optimization of the Combination of Radiation and Differentiation Therapies for Cancer.”</w:t>
      </w:r>
      <w:r>
        <w:t xml:space="preserve"> </w:t>
      </w:r>
      <w:r>
        <w:rPr>
          <w:i/>
          <w:iCs/>
        </w:rPr>
        <w:t xml:space="preserve">Frontiers in Oncology</w:t>
      </w:r>
      <w:r>
        <w:t xml:space="preserve"> </w:t>
      </w:r>
      <w:r>
        <w:t xml:space="preserve">3.</w:t>
      </w:r>
      <w:r>
        <w:t xml:space="preserve"> </w:t>
      </w:r>
      <w:hyperlink r:id="rId65">
        <w:r>
          <w:rPr>
            <w:rStyle w:val="Hyperlink"/>
          </w:rPr>
          <w:t xml:space="preserve">https://doi.org/10.3389/fonc.2013.00052</w:t>
        </w:r>
      </w:hyperlink>
      <w:r>
        <w:t xml:space="preserve">.</w:t>
      </w:r>
    </w:p>
    <w:bookmarkEnd w:id="66"/>
    <w:bookmarkStart w:id="68" w:name="ref-bailey2007"/>
    <w:p>
      <w:pPr>
        <w:pStyle w:val="Bibliography"/>
      </w:pPr>
      <w:r>
        <w:t xml:space="preserve">Bailey, Jennifer M., Pankaj K. Singh, and Michael A. Hollingsworth. 2007.</w:t>
      </w:r>
      <w:r>
        <w:t xml:space="preserve"> </w:t>
      </w:r>
      <w:r>
        <w:t xml:space="preserve">“Cancer Metastasis Facilitated by Developmental Pathways: Sonic Hedgehog, Notch, and Bone Morphogenic Proteins.”</w:t>
      </w:r>
      <w:r>
        <w:t xml:space="preserve"> </w:t>
      </w:r>
      <w:r>
        <w:rPr>
          <w:i/>
          <w:iCs/>
        </w:rPr>
        <w:t xml:space="preserve">Journal of Cellular Biochemistry</w:t>
      </w:r>
      <w:r>
        <w:t xml:space="preserve"> </w:t>
      </w:r>
      <w:r>
        <w:t xml:space="preserve">102 (4): 829–39.</w:t>
      </w:r>
      <w:r>
        <w:t xml:space="preserve"> </w:t>
      </w:r>
      <w:hyperlink r:id="rId67">
        <w:r>
          <w:rPr>
            <w:rStyle w:val="Hyperlink"/>
          </w:rPr>
          <w:t xml:space="preserve">https://doi.org/10.1002/jcb.21509</w:t>
        </w:r>
      </w:hyperlink>
      <w:r>
        <w:t xml:space="preserve">.</w:t>
      </w:r>
    </w:p>
    <w:bookmarkEnd w:id="68"/>
    <w:bookmarkStart w:id="70" w:name="ref-balk2011"/>
    <w:p>
      <w:pPr>
        <w:pStyle w:val="Bibliography"/>
      </w:pPr>
      <w:r>
        <w:t xml:space="preserve">Balk, Sophie J. 2011.</w:t>
      </w:r>
      <w:r>
        <w:t xml:space="preserve"> </w:t>
      </w:r>
      <w:r>
        <w:t xml:space="preserve">“Ultraviolet Radiation: A Hazard to Children and Adolescents.”</w:t>
      </w:r>
      <w:r>
        <w:t xml:space="preserve"> </w:t>
      </w:r>
      <w:r>
        <w:rPr>
          <w:i/>
          <w:iCs/>
        </w:rPr>
        <w:t xml:space="preserve">Pediatrics</w:t>
      </w:r>
      <w:r>
        <w:t xml:space="preserve"> </w:t>
      </w:r>
      <w:r>
        <w:t xml:space="preserve">127 (3): e791–817.</w:t>
      </w:r>
      <w:r>
        <w:t xml:space="preserve"> </w:t>
      </w:r>
      <w:hyperlink r:id="rId69">
        <w:r>
          <w:rPr>
            <w:rStyle w:val="Hyperlink"/>
          </w:rPr>
          <w:t xml:space="preserve">https://doi.org/10.1542/peds.2010-3502</w:t>
        </w:r>
      </w:hyperlink>
      <w:r>
        <w:t xml:space="preserve">.</w:t>
      </w:r>
    </w:p>
    <w:bookmarkEnd w:id="70"/>
    <w:bookmarkStart w:id="72" w:name="ref-bao2006"/>
    <w:p>
      <w:pPr>
        <w:pStyle w:val="Bibliography"/>
      </w:pPr>
      <w:r>
        <w:t xml:space="preserve">Bao, Shideng, Qiulian Wu, Roger E. McLendon, Yueling Hao, Qing Shi, Anita B. Hjelmeland, Mark W. Dewhirst, Darell D. Bigner, and Jeremy N. Rich. 2006.</w:t>
      </w:r>
      <w:r>
        <w:t xml:space="preserve"> </w:t>
      </w:r>
      <w:r>
        <w:t xml:space="preserve">“Glioma Stem Cells Promote Radioresistance by Preferential Activation of the DNA Damage Response.”</w:t>
      </w:r>
      <w:r>
        <w:t xml:space="preserve"> </w:t>
      </w:r>
      <w:r>
        <w:rPr>
          <w:i/>
          <w:iCs/>
        </w:rPr>
        <w:t xml:space="preserve">Nature</w:t>
      </w:r>
      <w:r>
        <w:t xml:space="preserve"> </w:t>
      </w:r>
      <w:r>
        <w:t xml:space="preserve">444 (7120): 756–60.</w:t>
      </w:r>
      <w:r>
        <w:t xml:space="preserve"> </w:t>
      </w:r>
      <w:hyperlink r:id="rId71">
        <w:r>
          <w:rPr>
            <w:rStyle w:val="Hyperlink"/>
          </w:rPr>
          <w:t xml:space="preserve">https://doi.org/10.1038/nature05236</w:t>
        </w:r>
      </w:hyperlink>
      <w:r>
        <w:t xml:space="preserve">.</w:t>
      </w:r>
    </w:p>
    <w:bookmarkEnd w:id="72"/>
    <w:bookmarkStart w:id="74" w:name="ref-baskar2012"/>
    <w:p>
      <w:pPr>
        <w:pStyle w:val="Bibliography"/>
      </w:pPr>
      <w:r>
        <w:t xml:space="preserve">Baskar, Rajamanickam, Kuo Ann Lee, Richard Yeo, and Kheng-Wei Yeoh. 2012.</w:t>
      </w:r>
      <w:r>
        <w:t xml:space="preserve"> </w:t>
      </w:r>
      <w:r>
        <w:t xml:space="preserve">“Cancer and Radiation Therapy: Current Advances and Future Directions.”</w:t>
      </w:r>
      <w:r>
        <w:t xml:space="preserve"> </w:t>
      </w:r>
      <w:r>
        <w:rPr>
          <w:i/>
          <w:iCs/>
        </w:rPr>
        <w:t xml:space="preserve">International Journal of Medical Sciences</w:t>
      </w:r>
      <w:r>
        <w:t xml:space="preserve"> </w:t>
      </w:r>
      <w:r>
        <w:t xml:space="preserve">9 (3): 193–99.</w:t>
      </w:r>
      <w:r>
        <w:t xml:space="preserve"> </w:t>
      </w:r>
      <w:hyperlink r:id="rId73">
        <w:r>
          <w:rPr>
            <w:rStyle w:val="Hyperlink"/>
          </w:rPr>
          <w:t xml:space="preserve">https://doi.org/10.7150/ijms.3635</w:t>
        </w:r>
      </w:hyperlink>
      <w:r>
        <w:t xml:space="preserve">.</w:t>
      </w:r>
    </w:p>
    <w:bookmarkEnd w:id="74"/>
    <w:bookmarkStart w:id="76" w:name="ref-bonnet1997"/>
    <w:p>
      <w:pPr>
        <w:pStyle w:val="Bibliography"/>
      </w:pPr>
      <w:r>
        <w:t xml:space="preserve">Bonnet, Dominique, and John E. Dick. 1997.</w:t>
      </w:r>
      <w:r>
        <w:t xml:space="preserve"> </w:t>
      </w:r>
      <w:r>
        <w:t xml:space="preserve">“Human Acute Myeloid Leukemia Is Organized as a Hierarchy That Originates from a Primitive Hematopoietic Cell.”</w:t>
      </w:r>
      <w:r>
        <w:t xml:space="preserve"> </w:t>
      </w:r>
      <w:r>
        <w:rPr>
          <w:i/>
          <w:iCs/>
        </w:rPr>
        <w:t xml:space="preserve">Nature Medicine</w:t>
      </w:r>
      <w:r>
        <w:t xml:space="preserve"> </w:t>
      </w:r>
      <w:r>
        <w:t xml:space="preserve">3 (7): 730–37.</w:t>
      </w:r>
      <w:r>
        <w:t xml:space="preserve"> </w:t>
      </w:r>
      <w:hyperlink r:id="rId75">
        <w:r>
          <w:rPr>
            <w:rStyle w:val="Hyperlink"/>
          </w:rPr>
          <w:t xml:space="preserve">https://doi.org/10.1038/nm0797-730</w:t>
        </w:r>
      </w:hyperlink>
      <w:r>
        <w:t xml:space="preserve">.</w:t>
      </w:r>
    </w:p>
    <w:bookmarkEnd w:id="76"/>
    <w:bookmarkStart w:id="78" w:name="ref-carén2016"/>
    <w:p>
      <w:pPr>
        <w:pStyle w:val="Bibliography"/>
      </w:pPr>
      <w:r>
        <w:t xml:space="preserve">Carén, Helena, Stephan Beck, and Steven M. Pollard. 2016.</w:t>
      </w:r>
      <w:r>
        <w:t xml:space="preserve"> </w:t>
      </w:r>
      <w:r>
        <w:t xml:space="preserve">“Differentiation Therapy for Glioblastoma</w:t>
      </w:r>
      <w:r>
        <w:t xml:space="preserve"> </w:t>
      </w:r>
      <w:r>
        <w:t xml:space="preserve"> </w:t>
      </w:r>
      <w:r>
        <w:t xml:space="preserve">Too Many Obstacles?”</w:t>
      </w:r>
      <w:r>
        <w:t xml:space="preserve"> </w:t>
      </w:r>
      <w:r>
        <w:rPr>
          <w:i/>
          <w:iCs/>
        </w:rPr>
        <w:t xml:space="preserve">Molecular &amp; Cellular Oncology</w:t>
      </w:r>
      <w:r>
        <w:t xml:space="preserve"> </w:t>
      </w:r>
      <w:r>
        <w:t xml:space="preserve">3 (2): e1124174.</w:t>
      </w:r>
      <w:r>
        <w:t xml:space="preserve"> </w:t>
      </w:r>
      <w:hyperlink r:id="rId77">
        <w:r>
          <w:rPr>
            <w:rStyle w:val="Hyperlink"/>
          </w:rPr>
          <w:t xml:space="preserve">https://doi.org/10.1080/23723556.2015.1124174</w:t>
        </w:r>
      </w:hyperlink>
      <w:r>
        <w:t xml:space="preserve">.</w:t>
      </w:r>
    </w:p>
    <w:bookmarkEnd w:id="78"/>
    <w:bookmarkStart w:id="80" w:name="ref-dethé2018"/>
    <w:p>
      <w:pPr>
        <w:pStyle w:val="Bibliography"/>
      </w:pPr>
      <w:r>
        <w:t xml:space="preserve">De Thé, Hugues. 2018.</w:t>
      </w:r>
      <w:r>
        <w:t xml:space="preserve"> </w:t>
      </w:r>
      <w:r>
        <w:t xml:space="preserve">“Differentiation Therapy Revisited.”</w:t>
      </w:r>
      <w:r>
        <w:t xml:space="preserve"> </w:t>
      </w:r>
      <w:r>
        <w:rPr>
          <w:i/>
          <w:iCs/>
        </w:rPr>
        <w:t xml:space="preserve">Nature Reviews Cancer</w:t>
      </w:r>
      <w:r>
        <w:t xml:space="preserve"> </w:t>
      </w:r>
      <w:r>
        <w:t xml:space="preserve">18 (2): 117–27.</w:t>
      </w:r>
      <w:r>
        <w:t xml:space="preserve"> </w:t>
      </w:r>
      <w:hyperlink r:id="rId79">
        <w:r>
          <w:rPr>
            <w:rStyle w:val="Hyperlink"/>
          </w:rPr>
          <w:t xml:space="preserve">https://doi.org/10.1038/nrc.2017.103</w:t>
        </w:r>
      </w:hyperlink>
      <w:r>
        <w:t xml:space="preserve">.</w:t>
      </w:r>
    </w:p>
    <w:bookmarkEnd w:id="80"/>
    <w:bookmarkStart w:id="82" w:name="ref-enderling2009"/>
    <w:p>
      <w:pPr>
        <w:pStyle w:val="Bibliography"/>
      </w:pPr>
      <w:r>
        <w:t xml:space="preserve">Enderling, Heiko, Alexander R. A. Anderson, Mark A. J. Chaplain, Afshin Beheshti, Lynn Hlatky, and Philip Hahnfeldt. 2009.</w:t>
      </w:r>
      <w:r>
        <w:t xml:space="preserve"> </w:t>
      </w:r>
      <w:r>
        <w:t xml:space="preserve">“Paradoxical Dependencies of Tumor Dormancy and Progression on Basic Cell Kinetics.”</w:t>
      </w:r>
      <w:r>
        <w:t xml:space="preserve"> </w:t>
      </w:r>
      <w:r>
        <w:rPr>
          <w:i/>
          <w:iCs/>
        </w:rPr>
        <w:t xml:space="preserve">Cancer Research</w:t>
      </w:r>
      <w:r>
        <w:t xml:space="preserve"> </w:t>
      </w:r>
      <w:r>
        <w:t xml:space="preserve">69 (22): 8814–21.</w:t>
      </w:r>
      <w:r>
        <w:t xml:space="preserve"> </w:t>
      </w:r>
      <w:hyperlink r:id="rId81">
        <w:r>
          <w:rPr>
            <w:rStyle w:val="Hyperlink"/>
          </w:rPr>
          <w:t xml:space="preserve">https://doi.org/10.1158/0008-5472.CAN-09-2115</w:t>
        </w:r>
      </w:hyperlink>
      <w:r>
        <w:t xml:space="preserve">.</w:t>
      </w:r>
    </w:p>
    <w:bookmarkEnd w:id="82"/>
    <w:bookmarkStart w:id="84" w:name="ref-enriquez-navas2015"/>
    <w:p>
      <w:pPr>
        <w:pStyle w:val="Bibliography"/>
      </w:pPr>
      <w:r>
        <w:t xml:space="preserve">Enriquez-Navas, Pedro M., Jonathan W. Wojtkowiak, and Robert A. Gatenby. 2015.</w:t>
      </w:r>
      <w:r>
        <w:t xml:space="preserve"> </w:t>
      </w:r>
      <w:r>
        <w:t xml:space="preserve">“Application of Evolutionary Principles to Cancer Therapy.”</w:t>
      </w:r>
      <w:r>
        <w:t xml:space="preserve"> </w:t>
      </w:r>
      <w:r>
        <w:rPr>
          <w:i/>
          <w:iCs/>
        </w:rPr>
        <w:t xml:space="preserve">Cancer Research</w:t>
      </w:r>
      <w:r>
        <w:t xml:space="preserve"> </w:t>
      </w:r>
      <w:r>
        <w:t xml:space="preserve">75 (22): 4675–80.</w:t>
      </w:r>
      <w:r>
        <w:t xml:space="preserve"> </w:t>
      </w:r>
      <w:hyperlink r:id="rId83">
        <w:r>
          <w:rPr>
            <w:rStyle w:val="Hyperlink"/>
          </w:rPr>
          <w:t xml:space="preserve">https://doi.org/10.1158/0008-5472.CAN-15-1337</w:t>
        </w:r>
      </w:hyperlink>
      <w:r>
        <w:t xml:space="preserve">.</w:t>
      </w:r>
    </w:p>
    <w:bookmarkEnd w:id="84"/>
    <w:bookmarkStart w:id="86" w:name="ref-folkman2004"/>
    <w:p>
      <w:pPr>
        <w:pStyle w:val="Bibliography"/>
      </w:pPr>
      <w:r>
        <w:t xml:space="preserve">Folkman, Judah, and Raghu Kalluri. 2004.</w:t>
      </w:r>
      <w:r>
        <w:t xml:space="preserve"> </w:t>
      </w:r>
      <w:r>
        <w:t xml:space="preserve">“Cancer Without Disease.”</w:t>
      </w:r>
      <w:r>
        <w:t xml:space="preserve"> </w:t>
      </w:r>
      <w:r>
        <w:rPr>
          <w:i/>
          <w:iCs/>
        </w:rPr>
        <w:t xml:space="preserve">Nature</w:t>
      </w:r>
      <w:r>
        <w:t xml:space="preserve"> </w:t>
      </w:r>
      <w:r>
        <w:t xml:space="preserve">427 (6977): 787–87.</w:t>
      </w:r>
      <w:r>
        <w:t xml:space="preserve"> </w:t>
      </w:r>
      <w:hyperlink r:id="rId85">
        <w:r>
          <w:rPr>
            <w:rStyle w:val="Hyperlink"/>
          </w:rPr>
          <w:t xml:space="preserve">https://doi.org/10.1038/427787a</w:t>
        </w:r>
      </w:hyperlink>
      <w:r>
        <w:t xml:space="preserve">.</w:t>
      </w:r>
    </w:p>
    <w:bookmarkEnd w:id="86"/>
    <w:bookmarkStart w:id="88" w:name="ref-galli2004"/>
    <w:p>
      <w:pPr>
        <w:pStyle w:val="Bibliography"/>
      </w:pPr>
      <w:r>
        <w:t xml:space="preserve">Galli, Rossella, Elena Binda, Ugo Orfanelli, Barbara Cipelletti, Angela Gritti, Simona De Vitis, Roberta Fiocco, Chiara Foroni, Francesco Dimeco, and Angelo Vescovi. 2004.</w:t>
      </w:r>
      <w:r>
        <w:t xml:space="preserve"> </w:t>
      </w:r>
      <w:r>
        <w:t xml:space="preserve">“Isolation and Characterization of Tumorigenic, Stem-Like Neural Precursors from Human Glioblastoma.”</w:t>
      </w:r>
      <w:r>
        <w:t xml:space="preserve"> </w:t>
      </w:r>
      <w:r>
        <w:rPr>
          <w:i/>
          <w:iCs/>
        </w:rPr>
        <w:t xml:space="preserve">Cancer Research</w:t>
      </w:r>
      <w:r>
        <w:t xml:space="preserve"> </w:t>
      </w:r>
      <w:r>
        <w:t xml:space="preserve">64 (19): 7011–21.</w:t>
      </w:r>
      <w:r>
        <w:t xml:space="preserve"> </w:t>
      </w:r>
      <w:hyperlink r:id="rId87">
        <w:r>
          <w:rPr>
            <w:rStyle w:val="Hyperlink"/>
          </w:rPr>
          <w:t xml:space="preserve">https://doi.org/10.1158/0008-5472.CAN-04-1364</w:t>
        </w:r>
      </w:hyperlink>
      <w:r>
        <w:t xml:space="preserve">.</w:t>
      </w:r>
    </w:p>
    <w:bookmarkEnd w:id="88"/>
    <w:bookmarkStart w:id="90" w:name="ref-gao2013"/>
    <w:p>
      <w:pPr>
        <w:pStyle w:val="Bibliography"/>
      </w:pPr>
      <w:r>
        <w:t xml:space="preserve">Gao, Xuefeng, J. Tyson McDonald, Lynn Hlatky, and Heiko Enderling. 2013.</w:t>
      </w:r>
      <w:r>
        <w:t xml:space="preserve"> </w:t>
      </w:r>
      <w:r>
        <w:t xml:space="preserve">“Acute and Fractionated Irradiation Differentially Modulate Glioma Stem Cell Division Kinetics.”</w:t>
      </w:r>
      <w:r>
        <w:t xml:space="preserve"> </w:t>
      </w:r>
      <w:r>
        <w:rPr>
          <w:i/>
          <w:iCs/>
        </w:rPr>
        <w:t xml:space="preserve">Cancer Research</w:t>
      </w:r>
      <w:r>
        <w:t xml:space="preserve"> </w:t>
      </w:r>
      <w:r>
        <w:t xml:space="preserve">73 (5): 1481–90.</w:t>
      </w:r>
      <w:r>
        <w:t xml:space="preserve"> </w:t>
      </w:r>
      <w:hyperlink r:id="rId89">
        <w:r>
          <w:rPr>
            <w:rStyle w:val="Hyperlink"/>
          </w:rPr>
          <w:t xml:space="preserve">https://doi.org/10.1158/0008-5472.CAN-12-3429</w:t>
        </w:r>
      </w:hyperlink>
      <w:r>
        <w:t xml:space="preserve">.</w:t>
      </w:r>
    </w:p>
    <w:bookmarkEnd w:id="90"/>
    <w:bookmarkStart w:id="92" w:name="ref-hanahan2000"/>
    <w:p>
      <w:pPr>
        <w:pStyle w:val="Bibliography"/>
      </w:pPr>
      <w:r>
        <w:t xml:space="preserve">Hanahan, Douglas, and Robert A Weinberg. 2000.</w:t>
      </w:r>
      <w:r>
        <w:t xml:space="preserve"> </w:t>
      </w:r>
      <w:r>
        <w:t xml:space="preserve">“The Hallmarks of Cancer.”</w:t>
      </w:r>
      <w:r>
        <w:t xml:space="preserve"> </w:t>
      </w:r>
      <w:r>
        <w:rPr>
          <w:i/>
          <w:iCs/>
        </w:rPr>
        <w:t xml:space="preserve">Cell</w:t>
      </w:r>
      <w:r>
        <w:t xml:space="preserve"> </w:t>
      </w:r>
      <w:r>
        <w:t xml:space="preserve">100 (1): 57–70.</w:t>
      </w:r>
      <w:r>
        <w:t xml:space="preserve"> </w:t>
      </w:r>
      <w:hyperlink r:id="rId91">
        <w:r>
          <w:rPr>
            <w:rStyle w:val="Hyperlink"/>
          </w:rPr>
          <w:t xml:space="preserve">https://doi.org/10.1016/S0092-8674(00)81683-9</w:t>
        </w:r>
      </w:hyperlink>
      <w:r>
        <w:t xml:space="preserve">.</w:t>
      </w:r>
    </w:p>
    <w:bookmarkEnd w:id="92"/>
    <w:bookmarkStart w:id="94" w:name="ref-hemmati2003"/>
    <w:p>
      <w:pPr>
        <w:pStyle w:val="Bibliography"/>
      </w:pPr>
      <w:r>
        <w:t xml:space="preserve">Hemmati, Houman D., Ichiro Nakano, Jorge A. Lazareff, Michael Masterman-Smith, Daniel H. Geschwind, Marianne Bronner-Fraser, and Harley I. Kornblum. 2003.</w:t>
      </w:r>
      <w:r>
        <w:t xml:space="preserve"> </w:t>
      </w:r>
      <w:r>
        <w:t xml:space="preserve">“Cancerous Stem Cells Can Arise from Pediatric Brain Tumors.”</w:t>
      </w:r>
      <w:r>
        <w:t xml:space="preserve"> </w:t>
      </w:r>
      <w:r>
        <w:rPr>
          <w:i/>
          <w:iCs/>
        </w:rPr>
        <w:t xml:space="preserve">Proceedings of the National Academy of Sciences</w:t>
      </w:r>
      <w:r>
        <w:t xml:space="preserve"> </w:t>
      </w:r>
      <w:r>
        <w:t xml:space="preserve">100 (25): 15178–83.</w:t>
      </w:r>
      <w:r>
        <w:t xml:space="preserve"> </w:t>
      </w:r>
      <w:hyperlink r:id="rId93">
        <w:r>
          <w:rPr>
            <w:rStyle w:val="Hyperlink"/>
          </w:rPr>
          <w:t xml:space="preserve">https://doi.org/10.1073/pnas.2036535100</w:t>
        </w:r>
      </w:hyperlink>
      <w:r>
        <w:t xml:space="preserve">.</w:t>
      </w:r>
    </w:p>
    <w:bookmarkEnd w:id="94"/>
    <w:bookmarkStart w:id="96" w:name="ref-hillen2013"/>
    <w:p>
      <w:pPr>
        <w:pStyle w:val="Bibliography"/>
      </w:pPr>
      <w:r>
        <w:t xml:space="preserve">Hillen, Thomas, Heiko Enderling, and Philip Hahnfeldt. 2013.</w:t>
      </w:r>
      <w:r>
        <w:t xml:space="preserve"> </w:t>
      </w:r>
      <w:r>
        <w:t xml:space="preserve">“The Tumor Growth Paradox and Immune System-Mediated Selection for Cancer Stem Cells.”</w:t>
      </w:r>
      <w:r>
        <w:t xml:space="preserve"> </w:t>
      </w:r>
      <w:r>
        <w:rPr>
          <w:i/>
          <w:iCs/>
        </w:rPr>
        <w:t xml:space="preserve">Bulletin of Mathematical Biology</w:t>
      </w:r>
      <w:r>
        <w:t xml:space="preserve"> </w:t>
      </w:r>
      <w:r>
        <w:t xml:space="preserve">75 (1): 161–84.</w:t>
      </w:r>
      <w:r>
        <w:t xml:space="preserve"> </w:t>
      </w:r>
      <w:hyperlink r:id="rId95">
        <w:r>
          <w:rPr>
            <w:rStyle w:val="Hyperlink"/>
          </w:rPr>
          <w:t xml:space="preserve">https://doi.org/10.1007/s11538-012-9798-x</w:t>
        </w:r>
      </w:hyperlink>
      <w:r>
        <w:t xml:space="preserve">.</w:t>
      </w:r>
    </w:p>
    <w:bookmarkEnd w:id="96"/>
    <w:bookmarkStart w:id="98" w:name="ref-ignatova2002"/>
    <w:p>
      <w:pPr>
        <w:pStyle w:val="Bibliography"/>
      </w:pPr>
      <w:r>
        <w:t xml:space="preserve">Ignatova, Tatyana N., Valery G. Kukekov, Eric D. Laywell, Oleg N. Suslov, Frank D. Vrionis, and Dennis A. Steindler. 2002.</w:t>
      </w:r>
      <w:r>
        <w:t xml:space="preserve"> </w:t>
      </w:r>
      <w:r>
        <w:t xml:space="preserve">“Human Cortical Glial Tumors Contain Neural Stem</w:t>
      </w:r>
      <w:r>
        <w:t xml:space="preserve">-</w:t>
      </w:r>
      <w:r>
        <w:t xml:space="preserve">Like Cells Expressing Astroglial and Neuronal Markers in Vitro.”</w:t>
      </w:r>
      <w:r>
        <w:t xml:space="preserve"> </w:t>
      </w:r>
      <w:r>
        <w:rPr>
          <w:i/>
          <w:iCs/>
        </w:rPr>
        <w:t xml:space="preserve">Glia</w:t>
      </w:r>
      <w:r>
        <w:t xml:space="preserve"> </w:t>
      </w:r>
      <w:r>
        <w:t xml:space="preserve">39 (3): 193–206.</w:t>
      </w:r>
      <w:r>
        <w:t xml:space="preserve"> </w:t>
      </w:r>
      <w:hyperlink r:id="rId97">
        <w:r>
          <w:rPr>
            <w:rStyle w:val="Hyperlink"/>
          </w:rPr>
          <w:t xml:space="preserve">https://doi.org/10.1002/glia.10094</w:t>
        </w:r>
      </w:hyperlink>
      <w:r>
        <w:t xml:space="preserve">.</w:t>
      </w:r>
    </w:p>
    <w:bookmarkEnd w:id="98"/>
    <w:bookmarkStart w:id="100"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99">
        <w:r>
          <w:rPr>
            <w:rStyle w:val="Hyperlink"/>
          </w:rPr>
          <w:t xml:space="preserve">https://doi.org/10.1093/comjnl/27.2.97</w:t>
        </w:r>
      </w:hyperlink>
      <w:r>
        <w:t xml:space="preserve">.</w:t>
      </w:r>
    </w:p>
    <w:bookmarkEnd w:id="100"/>
    <w:bookmarkStart w:id="102" w:name="ref-lander2009"/>
    <w:p>
      <w:pPr>
        <w:pStyle w:val="Bibliography"/>
      </w:pPr>
      <w:r>
        <w:t xml:space="preserve">Lander, Arthur D, Kimberly K Gokoffski, Frederic Y. M Wan, Qing Nie, and Anne L Calof. 2009.</w:t>
      </w:r>
      <w:r>
        <w:t xml:space="preserve"> </w:t>
      </w:r>
      <w:r>
        <w:t xml:space="preserve">“Cell Lineages and the Logic of Proliferative Control.”</w:t>
      </w:r>
      <w:r>
        <w:t xml:space="preserve"> </w:t>
      </w:r>
      <w:r>
        <w:t xml:space="preserve">Edited by Charles F Stevens.</w:t>
      </w:r>
      <w:r>
        <w:t xml:space="preserve"> </w:t>
      </w:r>
      <w:r>
        <w:rPr>
          <w:i/>
          <w:iCs/>
        </w:rPr>
        <w:t xml:space="preserve">PLoS Biology</w:t>
      </w:r>
      <w:r>
        <w:t xml:space="preserve"> </w:t>
      </w:r>
      <w:r>
        <w:t xml:space="preserve">7 (1): e1000015.</w:t>
      </w:r>
      <w:r>
        <w:t xml:space="preserve"> </w:t>
      </w:r>
      <w:hyperlink r:id="rId101">
        <w:r>
          <w:rPr>
            <w:rStyle w:val="Hyperlink"/>
          </w:rPr>
          <w:t xml:space="preserve">https://doi.org/10.1371/journal.pbio.1000015</w:t>
        </w:r>
      </w:hyperlink>
      <w:r>
        <w:t xml:space="preserve">.</w:t>
      </w:r>
    </w:p>
    <w:bookmarkEnd w:id="102"/>
    <w:bookmarkStart w:id="104" w:name="ref-lapidot1994"/>
    <w:p>
      <w:pPr>
        <w:pStyle w:val="Bibliography"/>
      </w:pPr>
      <w:r>
        <w:t xml:space="preserve">Lapidot, Tsvee, Christian Sirard, Josef Vormoor, Barbara Murdoch, Trang Hoang, Julio Caceres-Cortes, Mark Minden, Bruce Paterson, Michael A. Caligiuri, and John E. Dick. 1994.</w:t>
      </w:r>
      <w:r>
        <w:t xml:space="preserve"> </w:t>
      </w:r>
      <w:r>
        <w:t xml:space="preserve">“A Cell Initiating Human Acute Myeloid Leukaemia After Transplantation into SCID Mice.”</w:t>
      </w:r>
      <w:r>
        <w:t xml:space="preserve"> </w:t>
      </w:r>
      <w:r>
        <w:rPr>
          <w:i/>
          <w:iCs/>
        </w:rPr>
        <w:t xml:space="preserve">Nature</w:t>
      </w:r>
      <w:r>
        <w:t xml:space="preserve"> </w:t>
      </w:r>
      <w:r>
        <w:t xml:space="preserve">367 (6464): 645–48.</w:t>
      </w:r>
      <w:r>
        <w:t xml:space="preserve"> </w:t>
      </w:r>
      <w:hyperlink r:id="rId103">
        <w:r>
          <w:rPr>
            <w:rStyle w:val="Hyperlink"/>
          </w:rPr>
          <w:t xml:space="preserve">https://doi.org/10.1038/367645a0</w:t>
        </w:r>
      </w:hyperlink>
      <w:r>
        <w:t xml:space="preserve">.</w:t>
      </w:r>
    </w:p>
    <w:bookmarkEnd w:id="104"/>
    <w:bookmarkStart w:id="106" w:name="ref-lowengrub2010"/>
    <w:p>
      <w:pPr>
        <w:pStyle w:val="Bibliography"/>
      </w:pPr>
      <w:r>
        <w:t xml:space="preserve">Lowengrub, J S, H B Frieboes, F Jin, Y-L Chuang, X Li, P Macklin, S M Wise, and V Cristini. 2010.</w:t>
      </w:r>
      <w:r>
        <w:t xml:space="preserve"> </w:t>
      </w:r>
      <w:r>
        <w:t xml:space="preserve">“Nonlinear Modelling of Cancer: Bridging the Gap Between Cells and Tumours.”</w:t>
      </w:r>
      <w:r>
        <w:t xml:space="preserve"> </w:t>
      </w:r>
      <w:r>
        <w:rPr>
          <w:i/>
          <w:iCs/>
        </w:rPr>
        <w:t xml:space="preserve">Nonlinearity</w:t>
      </w:r>
      <w:r>
        <w:t xml:space="preserve"> </w:t>
      </w:r>
      <w:r>
        <w:t xml:space="preserve">23 (1): R1–91.</w:t>
      </w:r>
      <w:r>
        <w:t xml:space="preserve"> </w:t>
      </w:r>
      <w:hyperlink r:id="rId105">
        <w:r>
          <w:rPr>
            <w:rStyle w:val="Hyperlink"/>
          </w:rPr>
          <w:t xml:space="preserve">https://doi.org/10.1088/0951-7715/23/1/R01</w:t>
        </w:r>
      </w:hyperlink>
      <w:r>
        <w:t xml:space="preserve">.</w:t>
      </w:r>
    </w:p>
    <w:bookmarkEnd w:id="106"/>
    <w:bookmarkStart w:id="108" w:name="ref-ma2018"/>
    <w:p>
      <w:pPr>
        <w:pStyle w:val="Bibliography"/>
      </w:pPr>
      <w:r>
        <w:t xml:space="preserve">Ma, Qianquan, Wenyong Long, Changsheng Xing, Junjun Chu, Mei Luo, Helen Y. Wang, Qing Liu, and Rong-Fu Wang. 2018.</w:t>
      </w:r>
      <w:r>
        <w:t xml:space="preserve"> </w:t>
      </w:r>
      <w:r>
        <w:t xml:space="preserve">“Cancer Stem Cells and Immunosuppressive Microenvironment in Glioma.”</w:t>
      </w:r>
      <w:r>
        <w:t xml:space="preserve"> </w:t>
      </w:r>
      <w:r>
        <w:rPr>
          <w:i/>
          <w:iCs/>
        </w:rPr>
        <w:t xml:space="preserve">Frontiers in Immunology</w:t>
      </w:r>
      <w:r>
        <w:t xml:space="preserve"> </w:t>
      </w:r>
      <w:r>
        <w:t xml:space="preserve">9 (December): 2924.</w:t>
      </w:r>
      <w:r>
        <w:t xml:space="preserve"> </w:t>
      </w:r>
      <w:hyperlink r:id="rId107">
        <w:r>
          <w:rPr>
            <w:rStyle w:val="Hyperlink"/>
          </w:rPr>
          <w:t xml:space="preserve">https://doi.org/10.3389/fimmu.2018.02924</w:t>
        </w:r>
      </w:hyperlink>
      <w:r>
        <w:t xml:space="preserve">.</w:t>
      </w:r>
    </w:p>
    <w:bookmarkEnd w:id="108"/>
    <w:bookmarkStart w:id="110" w:name="ref-meza2008"/>
    <w:p>
      <w:pPr>
        <w:pStyle w:val="Bibliography"/>
      </w:pPr>
      <w:r>
        <w:t xml:space="preserve">Meza, Rafael, Jihyoun Jeon, Suresh H. Moolgavkar, and E. Georg Luebeck. 2008.</w:t>
      </w:r>
      <w:r>
        <w:t xml:space="preserve"> </w:t>
      </w:r>
      <w:r>
        <w:t xml:space="preserve">“Age-Specific Incidence of Cancer: Phases, Transitions, and Biological Implications.”</w:t>
      </w:r>
      <w:r>
        <w:t xml:space="preserve"> </w:t>
      </w:r>
      <w:r>
        <w:rPr>
          <w:i/>
          <w:iCs/>
        </w:rPr>
        <w:t xml:space="preserve">Proceedings of the National Academy of Sciences</w:t>
      </w:r>
      <w:r>
        <w:t xml:space="preserve"> </w:t>
      </w:r>
      <w:r>
        <w:t xml:space="preserve">105 (42): 16284–89.</w:t>
      </w:r>
      <w:r>
        <w:t xml:space="preserve"> </w:t>
      </w:r>
      <w:hyperlink r:id="rId109">
        <w:r>
          <w:rPr>
            <w:rStyle w:val="Hyperlink"/>
          </w:rPr>
          <w:t xml:space="preserve">https://doi.org/10.1073/pnas.0801151105</w:t>
        </w:r>
      </w:hyperlink>
      <w:r>
        <w:t xml:space="preserve">.</w:t>
      </w:r>
    </w:p>
    <w:bookmarkEnd w:id="110"/>
    <w:bookmarkStart w:id="112" w:name="ref-nayak2020"/>
    <w:p>
      <w:pPr>
        <w:pStyle w:val="Bibliography"/>
      </w:pPr>
      <w:r>
        <w:t xml:space="preserve">Nayak, Sonali, Ashorne Mahenthiran, Yongyong Yang, Mark McClendon, Barbara Mania-Farnell, Charles David James, John A. Kessler, et al. 2020.</w:t>
      </w:r>
      <w:r>
        <w:t xml:space="preserve"> </w:t>
      </w:r>
      <w:r>
        <w:t xml:space="preserve">“Bone Morphogenetic Protein 4 Targeting Glioma Stem-Like Cells for Malignant Glioma Treatment: Latest Advances and Implications for Clinical Application.”</w:t>
      </w:r>
      <w:r>
        <w:t xml:space="preserve"> </w:t>
      </w:r>
      <w:r>
        <w:rPr>
          <w:i/>
          <w:iCs/>
        </w:rPr>
        <w:t xml:space="preserve">Cancers</w:t>
      </w:r>
      <w:r>
        <w:t xml:space="preserve"> </w:t>
      </w:r>
      <w:r>
        <w:t xml:space="preserve">12 (2): 516.</w:t>
      </w:r>
      <w:r>
        <w:t xml:space="preserve"> </w:t>
      </w:r>
      <w:hyperlink r:id="rId111">
        <w:r>
          <w:rPr>
            <w:rStyle w:val="Hyperlink"/>
          </w:rPr>
          <w:t xml:space="preserve">https://doi.org/10.3390/cancers12020516</w:t>
        </w:r>
      </w:hyperlink>
      <w:r>
        <w:t xml:space="preserve">.</w:t>
      </w:r>
    </w:p>
    <w:bookmarkEnd w:id="112"/>
    <w:bookmarkStart w:id="114" w:name="ref-neves-e-castro2006"/>
    <w:p>
      <w:pPr>
        <w:pStyle w:val="Bibliography"/>
      </w:pPr>
      <w:r>
        <w:t xml:space="preserve">Neves-E-Castro, Manuel. 2006.</w:t>
      </w:r>
      <w:r>
        <w:t xml:space="preserve"> </w:t>
      </w:r>
      <w:r>
        <w:t xml:space="preserve">“Why Do Some Breast Cancer Cells Remain Dormant?”</w:t>
      </w:r>
      <w:r>
        <w:t xml:space="preserve"> </w:t>
      </w:r>
      <w:r>
        <w:rPr>
          <w:i/>
          <w:iCs/>
        </w:rPr>
        <w:t xml:space="preserve">Gynecological Endocrinology</w:t>
      </w:r>
      <w:r>
        <w:t xml:space="preserve"> </w:t>
      </w:r>
      <w:r>
        <w:t xml:space="preserve">22 (4): 190–97.</w:t>
      </w:r>
      <w:r>
        <w:t xml:space="preserve"> </w:t>
      </w:r>
      <w:hyperlink r:id="rId113">
        <w:r>
          <w:rPr>
            <w:rStyle w:val="Hyperlink"/>
          </w:rPr>
          <w:t xml:space="preserve">https://doi.org/10.1080/09513590600624374</w:t>
        </w:r>
      </w:hyperlink>
      <w:r>
        <w:t xml:space="preserve">.</w:t>
      </w:r>
    </w:p>
    <w:bookmarkEnd w:id="114"/>
    <w:bookmarkStart w:id="116" w:name="ref-pannuti2010"/>
    <w:p>
      <w:pPr>
        <w:pStyle w:val="Bibliography"/>
      </w:pPr>
      <w:r>
        <w:t xml:space="preserve">Pannuti, Antonio, Kimberly Foreman, Paola Rizzo, Clodia Osipo, Todd Golde, Barbara Osborne, and Lucio Miele. 2010.</w:t>
      </w:r>
      <w:r>
        <w:t xml:space="preserve"> </w:t>
      </w:r>
      <w:r>
        <w:t xml:space="preserve">“Targeting Notch to Target Cancer Stem Cells.”</w:t>
      </w:r>
      <w:r>
        <w:t xml:space="preserve"> </w:t>
      </w:r>
      <w:r>
        <w:rPr>
          <w:i/>
          <w:iCs/>
        </w:rPr>
        <w:t xml:space="preserve">Clinical Cancer Research</w:t>
      </w:r>
      <w:r>
        <w:t xml:space="preserve"> </w:t>
      </w:r>
      <w:r>
        <w:t xml:space="preserve">16 (12): 3141–52.</w:t>
      </w:r>
      <w:r>
        <w:t xml:space="preserve"> </w:t>
      </w:r>
      <w:hyperlink r:id="rId115">
        <w:r>
          <w:rPr>
            <w:rStyle w:val="Hyperlink"/>
          </w:rPr>
          <w:t xml:space="preserve">https://doi.org/10.1158/1078-0432.CCR-09-2823</w:t>
        </w:r>
      </w:hyperlink>
      <w:r>
        <w:t xml:space="preserve">.</w:t>
      </w:r>
    </w:p>
    <w:bookmarkEnd w:id="116"/>
    <w:bookmarkStart w:id="118" w:name="ref-piccirillo2006"/>
    <w:p>
      <w:pPr>
        <w:pStyle w:val="Bibliography"/>
      </w:pPr>
      <w:r>
        <w:t xml:space="preserve">Piccirillo, S. G. M., B. A. Reynolds, N. Zanetti, G. Lamorte, E. Binda, G. Broggi, H. Brem, A. Olivi, F. Dimeco, and A. L. Vescovi. 2006.</w:t>
      </w:r>
      <w:r>
        <w:t xml:space="preserve"> </w:t>
      </w:r>
      <w:r>
        <w:t xml:space="preserve">“Bone Morphogenetic Proteins Inhibit the Tumorigenic Potential of Human Brain Tumour-Initiating Cells.”</w:t>
      </w:r>
      <w:r>
        <w:t xml:space="preserve"> </w:t>
      </w:r>
      <w:r>
        <w:rPr>
          <w:i/>
          <w:iCs/>
        </w:rPr>
        <w:t xml:space="preserve">Nature</w:t>
      </w:r>
      <w:r>
        <w:t xml:space="preserve"> </w:t>
      </w:r>
      <w:r>
        <w:t xml:space="preserve">444 (7120): 761–65.</w:t>
      </w:r>
      <w:r>
        <w:t xml:space="preserve"> </w:t>
      </w:r>
      <w:hyperlink r:id="rId117">
        <w:r>
          <w:rPr>
            <w:rStyle w:val="Hyperlink"/>
          </w:rPr>
          <w:t xml:space="preserve">https://doi.org/10.1038/nature05349</w:t>
        </w:r>
      </w:hyperlink>
      <w:r>
        <w:t xml:space="preserve">.</w:t>
      </w:r>
    </w:p>
    <w:bookmarkEnd w:id="118"/>
    <w:bookmarkStart w:id="120" w:name="ref-reya2001"/>
    <w:p>
      <w:pPr>
        <w:pStyle w:val="Bibliography"/>
      </w:pPr>
      <w:r>
        <w:t xml:space="preserve">Reya, Tannishtha, Sean J. Morrison, Michael F. Clarke, and Irving L. Weissman. 2001.</w:t>
      </w:r>
      <w:r>
        <w:t xml:space="preserve"> </w:t>
      </w:r>
      <w:r>
        <w:t xml:space="preserve">“Stem Cells, Cancer, and Cancer Stem Cells.”</w:t>
      </w:r>
      <w:r>
        <w:t xml:space="preserve"> </w:t>
      </w:r>
      <w:r>
        <w:rPr>
          <w:i/>
          <w:iCs/>
        </w:rPr>
        <w:t xml:space="preserve">Nature</w:t>
      </w:r>
      <w:r>
        <w:t xml:space="preserve"> </w:t>
      </w:r>
      <w:r>
        <w:t xml:space="preserve">414 (6859): 105–11.</w:t>
      </w:r>
      <w:r>
        <w:t xml:space="preserve"> </w:t>
      </w:r>
      <w:hyperlink r:id="rId119">
        <w:r>
          <w:rPr>
            <w:rStyle w:val="Hyperlink"/>
          </w:rPr>
          <w:t xml:space="preserve">https://doi.org/10.1038/35102167</w:t>
        </w:r>
      </w:hyperlink>
      <w:r>
        <w:t xml:space="preserve">.</w:t>
      </w:r>
    </w:p>
    <w:bookmarkEnd w:id="120"/>
    <w:bookmarkStart w:id="122" w:name="ref-ricci-vitiani2007"/>
    <w:p>
      <w:pPr>
        <w:pStyle w:val="Bibliography"/>
      </w:pPr>
      <w:r>
        <w:t xml:space="preserve">Ricci-Vitiani, Lucia, Dario G. Lombardi, Emanuela Pilozzi, Mauro Biffoni, Matilde Todaro, Cesare Peschle, and Ruggero De Maria. 2007.</w:t>
      </w:r>
      <w:r>
        <w:t xml:space="preserve"> </w:t>
      </w:r>
      <w:r>
        <w:t xml:space="preserve">“Identification and Expansion of Human Colon-Cancer-Initiating Cells.”</w:t>
      </w:r>
      <w:r>
        <w:t xml:space="preserve"> </w:t>
      </w:r>
      <w:r>
        <w:rPr>
          <w:i/>
          <w:iCs/>
        </w:rPr>
        <w:t xml:space="preserve">Nature</w:t>
      </w:r>
      <w:r>
        <w:t xml:space="preserve"> </w:t>
      </w:r>
      <w:r>
        <w:t xml:space="preserve">445 (7123): 111–15.</w:t>
      </w:r>
      <w:r>
        <w:t xml:space="preserve"> </w:t>
      </w:r>
      <w:hyperlink r:id="rId121">
        <w:r>
          <w:rPr>
            <w:rStyle w:val="Hyperlink"/>
          </w:rPr>
          <w:t xml:space="preserve">https://doi.org/10.1038/nature05384</w:t>
        </w:r>
      </w:hyperlink>
      <w:r>
        <w:t xml:space="preserve">.</w:t>
      </w:r>
    </w:p>
    <w:bookmarkEnd w:id="122"/>
    <w:bookmarkStart w:id="124" w:name="ref-rich2007"/>
    <w:p>
      <w:pPr>
        <w:pStyle w:val="Bibliography"/>
      </w:pPr>
      <w:r>
        <w:t xml:space="preserve">Rich, Jeremy N. 2007.</w:t>
      </w:r>
      <w:r>
        <w:t xml:space="preserve"> </w:t>
      </w:r>
      <w:r>
        <w:t xml:space="preserve">“Cancer Stem Cells in Radiation Resistance.”</w:t>
      </w:r>
      <w:r>
        <w:t xml:space="preserve"> </w:t>
      </w:r>
      <w:r>
        <w:rPr>
          <w:i/>
          <w:iCs/>
        </w:rPr>
        <w:t xml:space="preserve">Cancer Research</w:t>
      </w:r>
      <w:r>
        <w:t xml:space="preserve"> </w:t>
      </w:r>
      <w:r>
        <w:t xml:space="preserve">67 (19): 8980–84.</w:t>
      </w:r>
      <w:r>
        <w:t xml:space="preserve"> </w:t>
      </w:r>
      <w:hyperlink r:id="rId123">
        <w:r>
          <w:rPr>
            <w:rStyle w:val="Hyperlink"/>
          </w:rPr>
          <w:t xml:space="preserve">https://doi.org/10.1158/0008-5472.CAN-07-0895</w:t>
        </w:r>
      </w:hyperlink>
      <w:r>
        <w:t xml:space="preserve">.</w:t>
      </w:r>
    </w:p>
    <w:bookmarkEnd w:id="124"/>
    <w:bookmarkStart w:id="126" w:name="ref-schonberg2014"/>
    <w:p>
      <w:pPr>
        <w:pStyle w:val="Bibliography"/>
      </w:pPr>
      <w:r>
        <w:t xml:space="preserve">Schonberg, David L., Daniel Lubelski, Tyler E. Miller, and Jeremy N. Rich. 2014.</w:t>
      </w:r>
      <w:r>
        <w:t xml:space="preserve"> </w:t>
      </w:r>
      <w:r>
        <w:t xml:space="preserve">“Brain Tumor Stem Cells: Molecular Characteristics and Their Impact on Therapy.”</w:t>
      </w:r>
      <w:r>
        <w:t xml:space="preserve"> </w:t>
      </w:r>
      <w:r>
        <w:rPr>
          <w:i/>
          <w:iCs/>
        </w:rPr>
        <w:t xml:space="preserve">Molecular Aspects of Medicine</w:t>
      </w:r>
      <w:r>
        <w:t xml:space="preserve"> </w:t>
      </w:r>
      <w:r>
        <w:t xml:space="preserve">39 (October): 82–101.</w:t>
      </w:r>
      <w:r>
        <w:t xml:space="preserve"> </w:t>
      </w:r>
      <w:hyperlink r:id="rId125">
        <w:r>
          <w:rPr>
            <w:rStyle w:val="Hyperlink"/>
          </w:rPr>
          <w:t xml:space="preserve">https://doi.org/10.1016/j.mam.2013.06.004</w:t>
        </w:r>
      </w:hyperlink>
      <w:r>
        <w:t xml:space="preserve">.</w:t>
      </w:r>
    </w:p>
    <w:bookmarkEnd w:id="126"/>
    <w:bookmarkStart w:id="127" w:name="ref-singh2003"/>
    <w:p>
      <w:pPr>
        <w:pStyle w:val="Bibliography"/>
      </w:pPr>
      <w:r>
        <w:t xml:space="preserve">Singh, Sheila K., Ian D. Clarke, Mizuhiko Terasaki, Victoria E. Bonn, Cynthia Hawkins, Jeremy Squire, and Peter B. Dirks. 2003.</w:t>
      </w:r>
      <w:r>
        <w:t xml:space="preserve"> </w:t>
      </w:r>
      <w:r>
        <w:t xml:space="preserve">“Identification of a Cancer Stem Cell in Human Brain Tumors.”</w:t>
      </w:r>
      <w:r>
        <w:t xml:space="preserve"> </w:t>
      </w:r>
      <w:r>
        <w:rPr>
          <w:i/>
          <w:iCs/>
        </w:rPr>
        <w:t xml:space="preserve">Cancer Research</w:t>
      </w:r>
      <w:r>
        <w:t xml:space="preserve"> </w:t>
      </w:r>
      <w:r>
        <w:t xml:space="preserve">63 (18): 5821–28.</w:t>
      </w:r>
    </w:p>
    <w:bookmarkEnd w:id="127"/>
    <w:bookmarkStart w:id="129" w:name="ref-singh2004"/>
    <w:p>
      <w:pPr>
        <w:pStyle w:val="Bibliography"/>
      </w:pPr>
      <w:r>
        <w:t xml:space="preserve">Singh, Sheila K., Cynthia Hawkins, Ian D. Clarke, Jeremy A. Squire, Jane Bayani, Takuichiro Hide, R. Mark Henkelman, Michael D. Cusimano, and Peter B. Dirks. 2004.</w:t>
      </w:r>
      <w:r>
        <w:t xml:space="preserve"> </w:t>
      </w:r>
      <w:r>
        <w:t xml:space="preserve">“Identification of Human Brain Tumour Initiating Cells.”</w:t>
      </w:r>
      <w:r>
        <w:t xml:space="preserve"> </w:t>
      </w:r>
      <w:r>
        <w:rPr>
          <w:i/>
          <w:iCs/>
        </w:rPr>
        <w:t xml:space="preserve">Nature</w:t>
      </w:r>
      <w:r>
        <w:t xml:space="preserve"> </w:t>
      </w:r>
      <w:r>
        <w:t xml:space="preserve">432 (7015): 396–401.</w:t>
      </w:r>
      <w:r>
        <w:t xml:space="preserve"> </w:t>
      </w:r>
      <w:hyperlink r:id="rId128">
        <w:r>
          <w:rPr>
            <w:rStyle w:val="Hyperlink"/>
          </w:rPr>
          <w:t xml:space="preserve">https://doi.org/10.1038/nature03128</w:t>
        </w:r>
      </w:hyperlink>
      <w:r>
        <w:t xml:space="preserve">.</w:t>
      </w:r>
    </w:p>
    <w:bookmarkEnd w:id="129"/>
    <w:bookmarkStart w:id="131" w:name="ref-sweeney1995"/>
    <w:p>
      <w:pPr>
        <w:pStyle w:val="Bibliography"/>
      </w:pPr>
      <w:r>
        <w:t xml:space="preserve">Sweeney, Eamon. 1995.</w:t>
      </w:r>
      <w:r>
        <w:t xml:space="preserve"> </w:t>
      </w:r>
      <w:r>
        <w:t xml:space="preserve">“Dormant Cells in Columnar Cell Carcinoma of the Thyroid.”</w:t>
      </w:r>
      <w:r>
        <w:t xml:space="preserve"> </w:t>
      </w:r>
      <w:r>
        <w:rPr>
          <w:i/>
          <w:iCs/>
        </w:rPr>
        <w:t xml:space="preserve">Human Pathology</w:t>
      </w:r>
      <w:r>
        <w:t xml:space="preserve"> </w:t>
      </w:r>
      <w:r>
        <w:t xml:space="preserve">26 (6): 691–92.</w:t>
      </w:r>
      <w:r>
        <w:t xml:space="preserve"> </w:t>
      </w:r>
      <w:hyperlink r:id="rId130">
        <w:r>
          <w:rPr>
            <w:rStyle w:val="Hyperlink"/>
          </w:rPr>
          <w:t xml:space="preserve">https://doi.org/10.1016/0046-8177(95)90180-9</w:t>
        </w:r>
      </w:hyperlink>
      <w:r>
        <w:t xml:space="preserve">.</w:t>
      </w:r>
    </w:p>
    <w:bookmarkEnd w:id="131"/>
    <w:bookmarkStart w:id="133" w:name="ref-taipale2001"/>
    <w:p>
      <w:pPr>
        <w:pStyle w:val="Bibliography"/>
      </w:pPr>
      <w:r>
        <w:t xml:space="preserve">Taipale, Jussi, and Philip A. Beachy. 2001.</w:t>
      </w:r>
      <w:r>
        <w:t xml:space="preserve"> </w:t>
      </w:r>
      <w:r>
        <w:t xml:space="preserve">“The Hedgehog and Wnt Signalling Pathways in Cancer.”</w:t>
      </w:r>
      <w:r>
        <w:t xml:space="preserve"> </w:t>
      </w:r>
      <w:r>
        <w:rPr>
          <w:i/>
          <w:iCs/>
        </w:rPr>
        <w:t xml:space="preserve">Nature</w:t>
      </w:r>
      <w:r>
        <w:t xml:space="preserve"> </w:t>
      </w:r>
      <w:r>
        <w:t xml:space="preserve">411 (6835): 349–54.</w:t>
      </w:r>
      <w:r>
        <w:t xml:space="preserve"> </w:t>
      </w:r>
      <w:hyperlink r:id="rId132">
        <w:r>
          <w:rPr>
            <w:rStyle w:val="Hyperlink"/>
          </w:rPr>
          <w:t xml:space="preserve">https://doi.org/10.1038/35077219</w:t>
        </w:r>
      </w:hyperlink>
      <w:r>
        <w:t xml:space="preserve">.</w:t>
      </w:r>
    </w:p>
    <w:bookmarkEnd w:id="133"/>
    <w:bookmarkStart w:id="135" w:name="ref-tang2021"/>
    <w:p>
      <w:pPr>
        <w:pStyle w:val="Bibliography"/>
      </w:pPr>
      <w:r>
        <w:t xml:space="preserve">Tang, Xuejia, Chenghai Zuo, Pengchao Fang, Guojing Liu, Yongyi Qiu, Yi Huang, and Rongrui Tang. 2021.</w:t>
      </w:r>
      <w:r>
        <w:t xml:space="preserve"> </w:t>
      </w:r>
      <w:r>
        <w:t xml:space="preserve">“Targeting Glioblastoma Stem Cells: A Review on Biomarkers, Signal Pathways and Targeted Therapy.”</w:t>
      </w:r>
      <w:r>
        <w:t xml:space="preserve"> </w:t>
      </w:r>
      <w:r>
        <w:rPr>
          <w:i/>
          <w:iCs/>
        </w:rPr>
        <w:t xml:space="preserve">Frontiers in Oncology</w:t>
      </w:r>
      <w:r>
        <w:t xml:space="preserve"> </w:t>
      </w:r>
      <w:r>
        <w:t xml:space="preserve">11 (July): 701291.</w:t>
      </w:r>
      <w:r>
        <w:t xml:space="preserve"> </w:t>
      </w:r>
      <w:hyperlink r:id="rId134">
        <w:r>
          <w:rPr>
            <w:rStyle w:val="Hyperlink"/>
          </w:rPr>
          <w:t xml:space="preserve">https://doi.org/10.3389/fonc.2021.701291</w:t>
        </w:r>
      </w:hyperlink>
      <w:r>
        <w:t xml:space="preserve">.</w:t>
      </w:r>
    </w:p>
    <w:bookmarkEnd w:id="135"/>
    <w:bookmarkStart w:id="137" w:name="ref-turner2009"/>
    <w:p>
      <w:pPr>
        <w:pStyle w:val="Bibliography"/>
      </w:pPr>
      <w:r>
        <w:t xml:space="preserve">Turner, C., A. R. Stinchcombe, M. Kohandel, S. Singh, and S. Sivaloganathan. 2009.</w:t>
      </w:r>
      <w:r>
        <w:t xml:space="preserve"> </w:t>
      </w:r>
      <w:r>
        <w:t xml:space="preserve">“Characterization of Brain Cancer Stem Cells: A Mathematical Approach.”</w:t>
      </w:r>
      <w:r>
        <w:t xml:space="preserve"> </w:t>
      </w:r>
      <w:r>
        <w:rPr>
          <w:i/>
          <w:iCs/>
        </w:rPr>
        <w:t xml:space="preserve">Cell Proliferation</w:t>
      </w:r>
      <w:r>
        <w:t xml:space="preserve"> </w:t>
      </w:r>
      <w:r>
        <w:t xml:space="preserve">42 (4): 529–40.</w:t>
      </w:r>
      <w:r>
        <w:t xml:space="preserve"> </w:t>
      </w:r>
      <w:hyperlink r:id="rId136">
        <w:r>
          <w:rPr>
            <w:rStyle w:val="Hyperlink"/>
          </w:rPr>
          <w:t xml:space="preserve">https://doi.org/10.1111/j.1365-2184.2009.00619.x</w:t>
        </w:r>
      </w:hyperlink>
      <w:r>
        <w:t xml:space="preserve">.</w:t>
      </w:r>
    </w:p>
    <w:bookmarkEnd w:id="137"/>
    <w:bookmarkStart w:id="139" w:name="ref-weiss2017a"/>
    <w:p>
      <w:pPr>
        <w:pStyle w:val="Bibliography"/>
      </w:pPr>
      <w:r>
        <w:t xml:space="preserve">Weiss, Lora D., Natalia L. Komarova, and Ignacio A. Rodriguez-Brenes. 2017.</w:t>
      </w:r>
      <w:r>
        <w:t xml:space="preserve"> </w:t>
      </w:r>
      <w:r>
        <w:t xml:space="preserve">“Mathematical Modeling of Normal and Cancer Stem Cells.”</w:t>
      </w:r>
      <w:r>
        <w:t xml:space="preserve"> </w:t>
      </w:r>
      <w:r>
        <w:rPr>
          <w:i/>
          <w:iCs/>
        </w:rPr>
        <w:t xml:space="preserve">Current Stem Cell Reports</w:t>
      </w:r>
      <w:r>
        <w:t xml:space="preserve"> </w:t>
      </w:r>
      <w:r>
        <w:t xml:space="preserve">3 (3): 232–39.</w:t>
      </w:r>
      <w:r>
        <w:t xml:space="preserve"> </w:t>
      </w:r>
      <w:hyperlink r:id="rId138">
        <w:r>
          <w:rPr>
            <w:rStyle w:val="Hyperlink"/>
          </w:rPr>
          <w:t xml:space="preserve">https://doi.org/10.1007/s40778-017-0094-4</w:t>
        </w:r>
      </w:hyperlink>
      <w:r>
        <w:t xml:space="preserve">.</w:t>
      </w:r>
    </w:p>
    <w:bookmarkEnd w:id="139"/>
    <w:bookmarkStart w:id="141" w:name="ref-yan2016"/>
    <w:p>
      <w:pPr>
        <w:pStyle w:val="Bibliography"/>
      </w:pPr>
      <w:r>
        <w:t xml:space="preserve">Yan, Min, and Quentin Liu. 2016.</w:t>
      </w:r>
      <w:r>
        <w:t xml:space="preserve"> </w:t>
      </w:r>
      <w:r>
        <w:t xml:space="preserve">“Differentiation Therapy: A Promising Strategy for Cancer Treatment.”</w:t>
      </w:r>
      <w:r>
        <w:t xml:space="preserve"> </w:t>
      </w:r>
      <w:r>
        <w:rPr>
          <w:i/>
          <w:iCs/>
        </w:rPr>
        <w:t xml:space="preserve">Chinese Journal of Cancer</w:t>
      </w:r>
      <w:r>
        <w:t xml:space="preserve"> </w:t>
      </w:r>
      <w:r>
        <w:t xml:space="preserve">35 (1): 3.</w:t>
      </w:r>
      <w:r>
        <w:t xml:space="preserve"> </w:t>
      </w:r>
      <w:hyperlink r:id="rId140">
        <w:r>
          <w:rPr>
            <w:rStyle w:val="Hyperlink"/>
          </w:rPr>
          <w:t xml:space="preserve">https://doi.org/10.1186/s40880-015-0059-x</w:t>
        </w:r>
      </w:hyperlink>
      <w:r>
        <w:t xml:space="preserve">.</w:t>
      </w:r>
    </w:p>
    <w:bookmarkEnd w:id="141"/>
    <w:bookmarkStart w:id="143" w:name="ref-youssefpour2012"/>
    <w:p>
      <w:pPr>
        <w:pStyle w:val="Bibliography"/>
      </w:pPr>
      <w:r>
        <w:t xml:space="preserve">Youssefpour, H., X. Li, A. D. Lander, and J. S. Lowengrub. 2012.</w:t>
      </w:r>
      <w:r>
        <w:t xml:space="preserve"> </w:t>
      </w:r>
      <w:r>
        <w:t xml:space="preserve">“Multispecies Model of Cell Lineages and Feedback Control in Solid Tumors.”</w:t>
      </w:r>
      <w:r>
        <w:t xml:space="preserve"> </w:t>
      </w:r>
      <w:r>
        <w:rPr>
          <w:i/>
          <w:iCs/>
        </w:rPr>
        <w:t xml:space="preserve">Journal of Theoretical Biology</w:t>
      </w:r>
      <w:r>
        <w:t xml:space="preserve"> </w:t>
      </w:r>
      <w:r>
        <w:t xml:space="preserve">304 (July): 39–59.</w:t>
      </w:r>
      <w:r>
        <w:t xml:space="preserve"> </w:t>
      </w:r>
      <w:hyperlink r:id="rId142">
        <w:r>
          <w:rPr>
            <w:rStyle w:val="Hyperlink"/>
          </w:rPr>
          <w:t xml:space="preserve">https://doi.org/10.1016/j.jtbi.2012.02.030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doi.org/10.1002/glia.10094" TargetMode="External" /><Relationship Type="http://schemas.openxmlformats.org/officeDocument/2006/relationships/hyperlink" Id="rId67" Target="https://doi.org/10.1002/jcb.21509" TargetMode="External" /><Relationship Type="http://schemas.openxmlformats.org/officeDocument/2006/relationships/hyperlink" Id="rId95" Target="https://doi.org/10.1007/s11538-012-9798-x" TargetMode="External" /><Relationship Type="http://schemas.openxmlformats.org/officeDocument/2006/relationships/hyperlink" Id="rId138" Target="https://doi.org/10.1007/s40778-017-0094-4" TargetMode="External" /><Relationship Type="http://schemas.openxmlformats.org/officeDocument/2006/relationships/hyperlink" Id="rId130" Target="https://doi.org/10.1016/0046-8177(95)90180-9" TargetMode="External" /><Relationship Type="http://schemas.openxmlformats.org/officeDocument/2006/relationships/hyperlink" Id="rId91" Target="https://doi.org/10.1016/S0092-8674(00)81683-9" TargetMode="External" /><Relationship Type="http://schemas.openxmlformats.org/officeDocument/2006/relationships/hyperlink" Id="rId142" Target="https://doi.org/10.1016/j.jtbi.2012.02.030" TargetMode="External" /><Relationship Type="http://schemas.openxmlformats.org/officeDocument/2006/relationships/hyperlink" Id="rId125" Target="https://doi.org/10.1016/j.mam.2013.06.004" TargetMode="External" /><Relationship Type="http://schemas.openxmlformats.org/officeDocument/2006/relationships/hyperlink" Id="rId132" Target="https://doi.org/10.1038/35077219" TargetMode="External" /><Relationship Type="http://schemas.openxmlformats.org/officeDocument/2006/relationships/hyperlink" Id="rId119" Target="https://doi.org/10.1038/35102167" TargetMode="External" /><Relationship Type="http://schemas.openxmlformats.org/officeDocument/2006/relationships/hyperlink" Id="rId103" Target="https://doi.org/10.1038/367645a0" TargetMode="External" /><Relationship Type="http://schemas.openxmlformats.org/officeDocument/2006/relationships/hyperlink" Id="rId85" Target="https://doi.org/10.1038/427787a" TargetMode="External" /><Relationship Type="http://schemas.openxmlformats.org/officeDocument/2006/relationships/hyperlink" Id="rId128" Target="https://doi.org/10.1038/nature03128" TargetMode="External" /><Relationship Type="http://schemas.openxmlformats.org/officeDocument/2006/relationships/hyperlink" Id="rId71" Target="https://doi.org/10.1038/nature05236" TargetMode="External" /><Relationship Type="http://schemas.openxmlformats.org/officeDocument/2006/relationships/hyperlink" Id="rId117" Target="https://doi.org/10.1038/nature05349" TargetMode="External" /><Relationship Type="http://schemas.openxmlformats.org/officeDocument/2006/relationships/hyperlink" Id="rId121" Target="https://doi.org/10.1038/nature05384" TargetMode="External" /><Relationship Type="http://schemas.openxmlformats.org/officeDocument/2006/relationships/hyperlink" Id="rId75" Target="https://doi.org/10.1038/nm0797-730" TargetMode="External" /><Relationship Type="http://schemas.openxmlformats.org/officeDocument/2006/relationships/hyperlink" Id="rId79" Target="https://doi.org/10.1038/nrc.2017.103" TargetMode="External" /><Relationship Type="http://schemas.openxmlformats.org/officeDocument/2006/relationships/hyperlink" Id="rId61" Target="https://doi.org/10.1038/s41467-020-15596-z" TargetMode="External" /><Relationship Type="http://schemas.openxmlformats.org/officeDocument/2006/relationships/hyperlink" Id="rId63" Target="https://doi.org/10.1073/pnas.0530291100" TargetMode="External" /><Relationship Type="http://schemas.openxmlformats.org/officeDocument/2006/relationships/hyperlink" Id="rId109" Target="https://doi.org/10.1073/pnas.0801151105" TargetMode="External" /><Relationship Type="http://schemas.openxmlformats.org/officeDocument/2006/relationships/hyperlink" Id="rId93" Target="https://doi.org/10.1073/pnas.2036535100" TargetMode="External" /><Relationship Type="http://schemas.openxmlformats.org/officeDocument/2006/relationships/hyperlink" Id="rId113" Target="https://doi.org/10.1080/09513590600624374" TargetMode="External" /><Relationship Type="http://schemas.openxmlformats.org/officeDocument/2006/relationships/hyperlink" Id="rId77" Target="https://doi.org/10.1080/23723556.2015.1124174" TargetMode="External" /><Relationship Type="http://schemas.openxmlformats.org/officeDocument/2006/relationships/hyperlink" Id="rId105" Target="https://doi.org/10.1088/0951-7715/23/1/R01" TargetMode="External" /><Relationship Type="http://schemas.openxmlformats.org/officeDocument/2006/relationships/hyperlink" Id="rId99" Target="https://doi.org/10.1093/comjnl/27.2.97" TargetMode="External" /><Relationship Type="http://schemas.openxmlformats.org/officeDocument/2006/relationships/hyperlink" Id="rId136" Target="https://doi.org/10.1111/j.1365-2184.2009.00619.x" TargetMode="External" /><Relationship Type="http://schemas.openxmlformats.org/officeDocument/2006/relationships/hyperlink" Id="rId87" Target="https://doi.org/10.1158/0008-5472.CAN-04-1364" TargetMode="External" /><Relationship Type="http://schemas.openxmlformats.org/officeDocument/2006/relationships/hyperlink" Id="rId123" Target="https://doi.org/10.1158/0008-5472.CAN-07-0895" TargetMode="External" /><Relationship Type="http://schemas.openxmlformats.org/officeDocument/2006/relationships/hyperlink" Id="rId81" Target="https://doi.org/10.1158/0008-5472.CAN-09-2115" TargetMode="External" /><Relationship Type="http://schemas.openxmlformats.org/officeDocument/2006/relationships/hyperlink" Id="rId89" Target="https://doi.org/10.1158/0008-5472.CAN-12-3429" TargetMode="External" /><Relationship Type="http://schemas.openxmlformats.org/officeDocument/2006/relationships/hyperlink" Id="rId83" Target="https://doi.org/10.1158/0008-5472.CAN-15-1337" TargetMode="External" /><Relationship Type="http://schemas.openxmlformats.org/officeDocument/2006/relationships/hyperlink" Id="rId115" Target="https://doi.org/10.1158/1078-0432.CCR-09-2823" TargetMode="External" /><Relationship Type="http://schemas.openxmlformats.org/officeDocument/2006/relationships/hyperlink" Id="rId140" Target="https://doi.org/10.1186/s40880-015-0059-x" TargetMode="External" /><Relationship Type="http://schemas.openxmlformats.org/officeDocument/2006/relationships/hyperlink" Id="rId101" Target="https://doi.org/10.1371/journal.pbio.1000015" TargetMode="External" /><Relationship Type="http://schemas.openxmlformats.org/officeDocument/2006/relationships/hyperlink" Id="rId69" Target="https://doi.org/10.1542/peds.2010-3502" TargetMode="External" /><Relationship Type="http://schemas.openxmlformats.org/officeDocument/2006/relationships/hyperlink" Id="rId107" Target="https://doi.org/10.3389/fimmu.2018.02924" TargetMode="External" /><Relationship Type="http://schemas.openxmlformats.org/officeDocument/2006/relationships/hyperlink" Id="rId65" Target="https://doi.org/10.3389/fonc.2013.00052" TargetMode="External" /><Relationship Type="http://schemas.openxmlformats.org/officeDocument/2006/relationships/hyperlink" Id="rId134" Target="https://doi.org/10.3389/fonc.2021.701291" TargetMode="External" /><Relationship Type="http://schemas.openxmlformats.org/officeDocument/2006/relationships/hyperlink" Id="rId111" Target="https://doi.org/10.3390/cancers12020516" TargetMode="External" /><Relationship Type="http://schemas.openxmlformats.org/officeDocument/2006/relationships/hyperlink" Id="rId73" Target="https://doi.org/10.7150/ijms.3635" TargetMode="External" /></Relationships>
</file>

<file path=word/_rels/footnotes.xml.rels><?xml version="1.0" encoding="UTF-8"?><Relationships xmlns="http://schemas.openxmlformats.org/package/2006/relationships"><Relationship Type="http://schemas.openxmlformats.org/officeDocument/2006/relationships/hyperlink" Id="rId97" Target="https://doi.org/10.1002/glia.10094" TargetMode="External" /><Relationship Type="http://schemas.openxmlformats.org/officeDocument/2006/relationships/hyperlink" Id="rId67" Target="https://doi.org/10.1002/jcb.21509" TargetMode="External" /><Relationship Type="http://schemas.openxmlformats.org/officeDocument/2006/relationships/hyperlink" Id="rId95" Target="https://doi.org/10.1007/s11538-012-9798-x" TargetMode="External" /><Relationship Type="http://schemas.openxmlformats.org/officeDocument/2006/relationships/hyperlink" Id="rId138" Target="https://doi.org/10.1007/s40778-017-0094-4" TargetMode="External" /><Relationship Type="http://schemas.openxmlformats.org/officeDocument/2006/relationships/hyperlink" Id="rId130" Target="https://doi.org/10.1016/0046-8177(95)90180-9" TargetMode="External" /><Relationship Type="http://schemas.openxmlformats.org/officeDocument/2006/relationships/hyperlink" Id="rId91" Target="https://doi.org/10.1016/S0092-8674(00)81683-9" TargetMode="External" /><Relationship Type="http://schemas.openxmlformats.org/officeDocument/2006/relationships/hyperlink" Id="rId142" Target="https://doi.org/10.1016/j.jtbi.2012.02.030" TargetMode="External" /><Relationship Type="http://schemas.openxmlformats.org/officeDocument/2006/relationships/hyperlink" Id="rId125" Target="https://doi.org/10.1016/j.mam.2013.06.004" TargetMode="External" /><Relationship Type="http://schemas.openxmlformats.org/officeDocument/2006/relationships/hyperlink" Id="rId132" Target="https://doi.org/10.1038/35077219" TargetMode="External" /><Relationship Type="http://schemas.openxmlformats.org/officeDocument/2006/relationships/hyperlink" Id="rId119" Target="https://doi.org/10.1038/35102167" TargetMode="External" /><Relationship Type="http://schemas.openxmlformats.org/officeDocument/2006/relationships/hyperlink" Id="rId103" Target="https://doi.org/10.1038/367645a0" TargetMode="External" /><Relationship Type="http://schemas.openxmlformats.org/officeDocument/2006/relationships/hyperlink" Id="rId85" Target="https://doi.org/10.1038/427787a" TargetMode="External" /><Relationship Type="http://schemas.openxmlformats.org/officeDocument/2006/relationships/hyperlink" Id="rId128" Target="https://doi.org/10.1038/nature03128" TargetMode="External" /><Relationship Type="http://schemas.openxmlformats.org/officeDocument/2006/relationships/hyperlink" Id="rId71" Target="https://doi.org/10.1038/nature05236" TargetMode="External" /><Relationship Type="http://schemas.openxmlformats.org/officeDocument/2006/relationships/hyperlink" Id="rId117" Target="https://doi.org/10.1038/nature05349" TargetMode="External" /><Relationship Type="http://schemas.openxmlformats.org/officeDocument/2006/relationships/hyperlink" Id="rId121" Target="https://doi.org/10.1038/nature05384" TargetMode="External" /><Relationship Type="http://schemas.openxmlformats.org/officeDocument/2006/relationships/hyperlink" Id="rId75" Target="https://doi.org/10.1038/nm0797-730" TargetMode="External" /><Relationship Type="http://schemas.openxmlformats.org/officeDocument/2006/relationships/hyperlink" Id="rId79" Target="https://doi.org/10.1038/nrc.2017.103" TargetMode="External" /><Relationship Type="http://schemas.openxmlformats.org/officeDocument/2006/relationships/hyperlink" Id="rId61" Target="https://doi.org/10.1038/s41467-020-15596-z" TargetMode="External" /><Relationship Type="http://schemas.openxmlformats.org/officeDocument/2006/relationships/hyperlink" Id="rId63" Target="https://doi.org/10.1073/pnas.0530291100" TargetMode="External" /><Relationship Type="http://schemas.openxmlformats.org/officeDocument/2006/relationships/hyperlink" Id="rId109" Target="https://doi.org/10.1073/pnas.0801151105" TargetMode="External" /><Relationship Type="http://schemas.openxmlformats.org/officeDocument/2006/relationships/hyperlink" Id="rId93" Target="https://doi.org/10.1073/pnas.2036535100" TargetMode="External" /><Relationship Type="http://schemas.openxmlformats.org/officeDocument/2006/relationships/hyperlink" Id="rId113" Target="https://doi.org/10.1080/09513590600624374" TargetMode="External" /><Relationship Type="http://schemas.openxmlformats.org/officeDocument/2006/relationships/hyperlink" Id="rId77" Target="https://doi.org/10.1080/23723556.2015.1124174" TargetMode="External" /><Relationship Type="http://schemas.openxmlformats.org/officeDocument/2006/relationships/hyperlink" Id="rId105" Target="https://doi.org/10.1088/0951-7715/23/1/R01" TargetMode="External" /><Relationship Type="http://schemas.openxmlformats.org/officeDocument/2006/relationships/hyperlink" Id="rId99" Target="https://doi.org/10.1093/comjnl/27.2.97" TargetMode="External" /><Relationship Type="http://schemas.openxmlformats.org/officeDocument/2006/relationships/hyperlink" Id="rId136" Target="https://doi.org/10.1111/j.1365-2184.2009.00619.x" TargetMode="External" /><Relationship Type="http://schemas.openxmlformats.org/officeDocument/2006/relationships/hyperlink" Id="rId87" Target="https://doi.org/10.1158/0008-5472.CAN-04-1364" TargetMode="External" /><Relationship Type="http://schemas.openxmlformats.org/officeDocument/2006/relationships/hyperlink" Id="rId123" Target="https://doi.org/10.1158/0008-5472.CAN-07-0895" TargetMode="External" /><Relationship Type="http://schemas.openxmlformats.org/officeDocument/2006/relationships/hyperlink" Id="rId81" Target="https://doi.org/10.1158/0008-5472.CAN-09-2115" TargetMode="External" /><Relationship Type="http://schemas.openxmlformats.org/officeDocument/2006/relationships/hyperlink" Id="rId89" Target="https://doi.org/10.1158/0008-5472.CAN-12-3429" TargetMode="External" /><Relationship Type="http://schemas.openxmlformats.org/officeDocument/2006/relationships/hyperlink" Id="rId83" Target="https://doi.org/10.1158/0008-5472.CAN-15-1337" TargetMode="External" /><Relationship Type="http://schemas.openxmlformats.org/officeDocument/2006/relationships/hyperlink" Id="rId115" Target="https://doi.org/10.1158/1078-0432.CCR-09-2823" TargetMode="External" /><Relationship Type="http://schemas.openxmlformats.org/officeDocument/2006/relationships/hyperlink" Id="rId140" Target="https://doi.org/10.1186/s40880-015-0059-x" TargetMode="External" /><Relationship Type="http://schemas.openxmlformats.org/officeDocument/2006/relationships/hyperlink" Id="rId101" Target="https://doi.org/10.1371/journal.pbio.1000015" TargetMode="External" /><Relationship Type="http://schemas.openxmlformats.org/officeDocument/2006/relationships/hyperlink" Id="rId69" Target="https://doi.org/10.1542/peds.2010-3502" TargetMode="External" /><Relationship Type="http://schemas.openxmlformats.org/officeDocument/2006/relationships/hyperlink" Id="rId107" Target="https://doi.org/10.3389/fimmu.2018.02924" TargetMode="External" /><Relationship Type="http://schemas.openxmlformats.org/officeDocument/2006/relationships/hyperlink" Id="rId65" Target="https://doi.org/10.3389/fonc.2013.00052" TargetMode="External" /><Relationship Type="http://schemas.openxmlformats.org/officeDocument/2006/relationships/hyperlink" Id="rId134" Target="https://doi.org/10.3389/fonc.2021.701291" TargetMode="External" /><Relationship Type="http://schemas.openxmlformats.org/officeDocument/2006/relationships/hyperlink" Id="rId111" Target="https://doi.org/10.3390/cancers12020516" TargetMode="External" /><Relationship Type="http://schemas.openxmlformats.org/officeDocument/2006/relationships/hyperlink" Id="rId73" Target="https://doi.org/10.7150/ijms.36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year progress review</dc:title>
  <dc:creator>Nicholas Harbour</dc:creator>
  <cp:keywords/>
  <dcterms:created xsi:type="dcterms:W3CDTF">2024-09-02T13:47:06Z</dcterms:created>
  <dcterms:modified xsi:type="dcterms:W3CDTF">2024-09-02T13:47:06Z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2024-09-02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pervisors">
    <vt:lpwstr/>
  </property>
  <property fmtid="{D5CDD505-2E9C-101B-9397-08002B2CF9AE}" pid="17" name="template-partials">
    <vt:lpwstr/>
  </property>
  <property fmtid="{D5CDD505-2E9C-101B-9397-08002B2CF9AE}" pid="18" name="toc-title">
    <vt:lpwstr>Table of contents</vt:lpwstr>
  </property>
</Properties>
</file>