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JTitle"/>
        <w:jc w:val="left"/>
      </w:pPr>
      <w:r>
        <w:rPr>
          <w:rFonts w:ascii="Arial" w:hAnsi="Arial" w:eastAsia="Microsoft YaHei"/>
        </w:rPr>
        <w:t>理赔 FAQ / 规则说明 / SOP</w:t>
        <w:br/>
      </w:r>
      <w:r>
        <w:rPr>
          <w:b w:val="0"/>
          <w:color w:val="323232"/>
          <w:sz w:val="26"/>
        </w:rPr>
        <w:t>公开资料整理版（适用于人身险 / 意健险内部知识库起草）</w:t>
      </w:r>
    </w:p>
    <w:p>
      <w:pPr>
        <w:pStyle w:val="TJSubtitle"/>
        <w:jc w:val="left"/>
      </w:pPr>
      <w:r>
        <w:t>用途：作为内部 FAQ、规则说明、客服口径和 SOP 初稿模板使用。</w:t>
      </w:r>
      <w:r>
        <w:t xml:space="preserve"> 说明：本整理仅基于公开资料，不替代保险合同、条款、监管口径或公司内部制度。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8787"/>
            <w:vAlign w:val="center"/>
            <w:shd w:fill="EAF3FB"/>
          </w:tcPr>
          <w:p>
            <w:pPr>
              <w:spacing w:after="0"/>
            </w:pPr>
            <w:r>
              <w:rPr>
                <w:b/>
                <w:color w:val="1B4C80"/>
              </w:rPr>
              <w:t>建议落地方式：</w:t>
            </w:r>
            <w:r>
              <w:t xml:space="preserve"> 先用“规则说明”统一外部口径，再把“FAQ”给客服/运营，再把“SOP”给理赔受理与审核团队；公司特有字段、单证和系统节点后续替换即可。</w:t>
            </w:r>
          </w:p>
        </w:tc>
      </w:tr>
    </w:tbl>
    <w:p/>
    <w:p>
      <w:pPr>
        <w:pStyle w:val="Heading1"/>
      </w:pPr>
      <w:r>
        <w:t>一、可直接参考的公开来源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>
              <w:rPr>
                <w:b/>
              </w:rPr>
              <w:t>文件 / 页面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b/>
              </w:rPr>
              <w:t>可提炼内容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中国保险行业协会</w:t>
            </w:r>
          </w:p>
        </w:tc>
        <w:tc>
          <w:tcPr>
            <w:tcW w:type="dxa" w:w="2721"/>
            <w:vAlign w:val="center"/>
          </w:tcPr>
          <w:p>
            <w:r>
              <w:t>《人身保险理赔服务规范》</w:t>
            </w:r>
          </w:p>
        </w:tc>
        <w:tc>
          <w:tcPr>
            <w:tcW w:type="dxa" w:w="3515"/>
            <w:vAlign w:val="center"/>
          </w:tcPr>
          <w:p>
            <w:r>
              <w:t>服务流程、材料清单、档案管理、纠纷处理、服务评价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t>行业级框架，适合做规则底稿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全国人大 / 保险法</w:t>
            </w:r>
          </w:p>
        </w:tc>
        <w:tc>
          <w:tcPr>
            <w:tcW w:type="dxa" w:w="2721"/>
            <w:vAlign w:val="center"/>
          </w:tcPr>
          <w:p>
            <w:r>
              <w:t>保险法第22-25条</w:t>
            </w:r>
          </w:p>
        </w:tc>
        <w:tc>
          <w:tcPr>
            <w:tcW w:type="dxa" w:w="3515"/>
            <w:vAlign w:val="center"/>
          </w:tcPr>
          <w:p>
            <w:r>
              <w:t>补件一次性告知、核定时限、赔付时限、拒赔通知、先予支付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t>适合作为法务/规则依据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太平洋健康保险</w:t>
            </w:r>
          </w:p>
        </w:tc>
        <w:tc>
          <w:tcPr>
            <w:tcW w:type="dxa" w:w="2721"/>
            <w:vAlign w:val="center"/>
          </w:tcPr>
          <w:p>
            <w:r>
              <w:t>《理赔服务指南（通用版）》</w:t>
            </w:r>
          </w:p>
        </w:tc>
        <w:tc>
          <w:tcPr>
            <w:tcW w:type="dxa" w:w="3515"/>
            <w:vAlign w:val="center"/>
          </w:tcPr>
          <w:p>
            <w:r>
              <w:t>报案、申请、常见问题、线上线下理赔路径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t>适合整理客服 FAQ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人保健康</w:t>
            </w:r>
          </w:p>
        </w:tc>
        <w:tc>
          <w:tcPr>
            <w:tcW w:type="dxa" w:w="2721"/>
            <w:vAlign w:val="center"/>
          </w:tcPr>
          <w:p>
            <w:r>
              <w:t>理赔指南 / 理赔常见问题</w:t>
            </w:r>
          </w:p>
        </w:tc>
        <w:tc>
          <w:tcPr>
            <w:tcW w:type="dxa" w:w="3515"/>
            <w:vAlign w:val="center"/>
          </w:tcPr>
          <w:p>
            <w:r>
              <w:t>等待期、申诉、授权委托、报案时点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t>适合补全 FAQ 细节</w:t>
            </w:r>
          </w:p>
        </w:tc>
      </w:tr>
    </w:tbl>
    <w:p>
      <w:pPr>
        <w:pStyle w:val="Heading1"/>
      </w:pPr>
      <w:r>
        <w:t>二、规则说明（适合放入内部知识库首页）</w:t>
      </w:r>
    </w:p>
    <w:p>
      <w:pPr>
        <w:pStyle w:val="TJBullet"/>
      </w:pPr>
      <w:r>
        <w:t xml:space="preserve">• </w:t>
      </w:r>
      <w:r>
        <w:t>1. 规则层级：理赔处理应同时遵循法律法规、行业规范、保险合同条款及公司内部制度。发生冲突时，以法律法规和保险合同约定为准；公开指南类材料主要用于服务说明，不作为赔付依据。</w:t>
      </w:r>
    </w:p>
    <w:p>
      <w:pPr>
        <w:pStyle w:val="TJBullet"/>
      </w:pPr>
      <w:r>
        <w:t xml:space="preserve">• </w:t>
      </w:r>
      <w:r>
        <w:t>2. 报案原则：出险后应及时报案。对于健康险、意外险等案件，公开指南通常要求客户尽快通过电话、APP、微信公众号或柜面发起报案；公司可在内部口径中明确“先报案、再补件”的原则，避免客户因资料未齐而延误。</w:t>
      </w:r>
    </w:p>
    <w:p>
      <w:pPr>
        <w:pStyle w:val="TJBullet"/>
      </w:pPr>
      <w:r>
        <w:t xml:space="preserve">• </w:t>
      </w:r>
      <w:r>
        <w:t>3. 补件原则：申请材料不完整时，应及时一次性告知客户需补充的材料，避免多轮零散补件。</w:t>
      </w:r>
    </w:p>
    <w:p>
      <w:pPr>
        <w:pStyle w:val="TJBullet"/>
      </w:pPr>
      <w:r>
        <w:t xml:space="preserve">• </w:t>
      </w:r>
      <w:r>
        <w:t>4. 核定与支付：收到赔偿/给付请求后，应及时核定；情形复杂的，通常应在30日内核定。对属于保险责任的，在达成赔付协议后按法定/合同约定期限支付；对不属于保险责任的，应发出书面拒赔/拒付通知并说明理由。</w:t>
      </w:r>
    </w:p>
    <w:p>
      <w:pPr>
        <w:pStyle w:val="TJBullet"/>
      </w:pPr>
      <w:r>
        <w:t xml:space="preserve">• </w:t>
      </w:r>
      <w:r>
        <w:t>5. 服务透明：建议在内部 SOP 中明确案件状态、短信通知、补件通知、结论通知和申诉入口，减少“客户不知道卡在哪”的体验问题。</w:t>
      </w:r>
    </w:p>
    <w:p>
      <w:pPr>
        <w:pStyle w:val="TJBullet"/>
      </w:pPr>
      <w:r>
        <w:t xml:space="preserve">• </w:t>
      </w:r>
      <w:r>
        <w:t>6. 争议处理：对重大、疑难或条款理解争议案件，可组织案件会商；对外则保留申诉、调解、仲裁、诉讼等路径说明。</w:t>
      </w:r>
    </w:p>
    <w:p>
      <w:pPr>
        <w:pStyle w:val="Heading1"/>
      </w:pPr>
      <w:r>
        <w:t>三、FAQ（可直接改造成客服知识库）</w:t>
      </w:r>
    </w:p>
    <w:p>
      <w:pPr>
        <w:pStyle w:val="Heading2"/>
      </w:pPr>
      <w:r>
        <w:t>1. 出险后第一步做什么？</w:t>
      </w:r>
    </w:p>
    <w:p>
      <w:pPr>
        <w:spacing w:after="60"/>
        <w:ind w:left="113"/>
      </w:pPr>
      <w:r>
        <w:rPr>
          <w:b/>
        </w:rPr>
        <w:t>答：</w:t>
      </w:r>
      <w:r>
        <w:t>先报案。公开资料普遍支持电话、官网、APP、微信公众号或柜面报案。内部知识库可统一口径：先记录出险信息，再引导客户准备材料。</w:t>
      </w:r>
    </w:p>
    <w:p>
      <w:pPr>
        <w:pStyle w:val="Heading2"/>
      </w:pPr>
      <w:r>
        <w:t>2. 报案时一般要提供哪些信息？</w:t>
      </w:r>
    </w:p>
    <w:p>
      <w:pPr>
        <w:spacing w:after="60"/>
        <w:ind w:left="113"/>
      </w:pPr>
      <w:r>
        <w:rPr>
          <w:b/>
        </w:rPr>
        <w:t>答：</w:t>
      </w:r>
      <w:r>
        <w:t>常见包括：被保险人姓名、证件信息、出险时间、地点、经过、就诊医院、联系人和联系电话。</w:t>
      </w:r>
    </w:p>
    <w:p>
      <w:pPr>
        <w:pStyle w:val="Heading2"/>
      </w:pPr>
      <w:r>
        <w:t>3. 谁可以申请理赔？</w:t>
      </w:r>
    </w:p>
    <w:p>
      <w:pPr>
        <w:spacing w:after="60"/>
        <w:ind w:left="113"/>
      </w:pPr>
      <w:r>
        <w:rPr>
          <w:b/>
        </w:rPr>
        <w:t>答：</w:t>
      </w:r>
      <w:r>
        <w:t>一般为被保险人本人；身故案件通常为受益人；未成年人或无/限制民事行为能力人可由法定监护人代办；委托他人办理时需授权委托书和受托人身份证明。</w:t>
      </w:r>
    </w:p>
    <w:p>
      <w:pPr>
        <w:pStyle w:val="Heading2"/>
      </w:pPr>
      <w:r>
        <w:t>4. 理赔材料不全怎么办？</w:t>
      </w:r>
    </w:p>
    <w:p>
      <w:pPr>
        <w:spacing w:after="60"/>
        <w:ind w:left="113"/>
      </w:pPr>
      <w:r>
        <w:rPr>
          <w:b/>
        </w:rPr>
        <w:t>答：</w:t>
      </w:r>
      <w:r>
        <w:t>应一次性告知缺失材料和补交方式。内部操作上建议给出“必交材料”和“视案件补充材料”两级清单。</w:t>
      </w:r>
    </w:p>
    <w:p>
      <w:pPr>
        <w:pStyle w:val="Heading2"/>
      </w:pPr>
      <w:r>
        <w:t>5. 理赔多久会有结果？</w:t>
      </w:r>
    </w:p>
    <w:p>
      <w:pPr>
        <w:spacing w:after="60"/>
        <w:ind w:left="113"/>
      </w:pPr>
      <w:r>
        <w:rPr>
          <w:b/>
        </w:rPr>
        <w:t>答：</w:t>
      </w:r>
      <w:r>
        <w:t>法律和行业规范要求收到申请后及时核定，复杂情形通常在30日内核定；部分互联网人身保险业务还要求更快的在线反馈和核定。</w:t>
      </w:r>
    </w:p>
    <w:p>
      <w:pPr>
        <w:pStyle w:val="Heading2"/>
      </w:pPr>
      <w:r>
        <w:t>6. 赔款多久支付？</w:t>
      </w:r>
    </w:p>
    <w:p>
      <w:pPr>
        <w:spacing w:after="60"/>
        <w:ind w:left="113"/>
      </w:pPr>
      <w:r>
        <w:rPr>
          <w:b/>
        </w:rPr>
        <w:t>答：</w:t>
      </w:r>
      <w:r>
        <w:t>对属于保险责任的，在达成赔付或给付协议后，应按法定/合同约定期限及时支付。</w:t>
      </w:r>
    </w:p>
    <w:p>
      <w:pPr>
        <w:pStyle w:val="Heading2"/>
      </w:pPr>
      <w:r>
        <w:t>7. 不赔会不会说明原因？</w:t>
      </w:r>
    </w:p>
    <w:p>
      <w:pPr>
        <w:spacing w:after="60"/>
        <w:ind w:left="113"/>
      </w:pPr>
      <w:r>
        <w:rPr>
          <w:b/>
        </w:rPr>
        <w:t>答：</w:t>
      </w:r>
      <w:r>
        <w:t>会。对不属于保险责任的，应向申请人发出书面拒赔/拒付通知并说明理由。</w:t>
      </w:r>
    </w:p>
    <w:p>
      <w:pPr>
        <w:pStyle w:val="Heading2"/>
      </w:pPr>
      <w:r>
        <w:t>8. 金额暂时不能完全确定怎么办？</w:t>
      </w:r>
    </w:p>
    <w:p>
      <w:pPr>
        <w:spacing w:after="60"/>
        <w:ind w:left="113"/>
      </w:pPr>
      <w:r>
        <w:rPr>
          <w:b/>
        </w:rPr>
        <w:t>答：</w:t>
      </w:r>
      <w:r>
        <w:t>如现有证明和资料已经可以确定部分金额，法律允许先予支付已可确定的数额。</w:t>
      </w:r>
    </w:p>
    <w:p>
      <w:pPr>
        <w:pStyle w:val="Heading2"/>
      </w:pPr>
      <w:r>
        <w:t>9. 等待期是什么意思？</w:t>
      </w:r>
    </w:p>
    <w:p>
      <w:pPr>
        <w:spacing w:after="60"/>
        <w:ind w:left="113"/>
      </w:pPr>
      <w:r>
        <w:rPr>
          <w:b/>
        </w:rPr>
        <w:t>答：</w:t>
      </w:r>
      <w:r>
        <w:t>等待期通常是指合同生效后一段期间内，因疾病发生的部分保险责任不赔；但具体是否适用、适用多久、意外是否除外，需看具体条款。</w:t>
      </w:r>
    </w:p>
    <w:p>
      <w:pPr>
        <w:pStyle w:val="Heading2"/>
      </w:pPr>
      <w:r>
        <w:t>10. 猝死一定算意外吗？</w:t>
      </w:r>
    </w:p>
    <w:p>
      <w:pPr>
        <w:spacing w:after="60"/>
        <w:ind w:left="113"/>
      </w:pPr>
      <w:r>
        <w:rPr>
          <w:b/>
        </w:rPr>
        <w:t>答：</w:t>
      </w:r>
      <w:r>
        <w:t>不是。公开 FAQ 中常见口径是“猝死通常按疾病身故理解”，但是否赔付仍以具体产品责任定义、免责约定和个案证据为准。</w:t>
      </w:r>
    </w:p>
    <w:p>
      <w:pPr>
        <w:pStyle w:val="Heading2"/>
      </w:pPr>
      <w:r>
        <w:t>11. 客户对理赔结论有异议怎么办？</w:t>
      </w:r>
    </w:p>
    <w:p>
      <w:pPr>
        <w:spacing w:after="60"/>
        <w:ind w:left="113"/>
      </w:pPr>
      <w:r>
        <w:rPr>
          <w:b/>
        </w:rPr>
        <w:t>答：</w:t>
      </w:r>
      <w:r>
        <w:t>可提交书面申诉并补充新的证据材料；内部应保留复核、投诉和纠纷调解流转路径。</w:t>
      </w:r>
    </w:p>
    <w:p>
      <w:pPr>
        <w:pStyle w:val="Heading1"/>
      </w:pPr>
      <w:r>
        <w:t>四、SOP（适合改造成受理/审核流程）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</w:rPr>
              <w:t>主要动作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b/>
              </w:rPr>
              <w:t>对客输出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关键控制点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</w:rPr>
              <w:t>可沉淀到系统的字段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t>1. 报案登记</w:t>
            </w:r>
          </w:p>
        </w:tc>
        <w:tc>
          <w:tcPr>
            <w:tcW w:type="dxa" w:w="2494"/>
            <w:vAlign w:val="center"/>
          </w:tcPr>
          <w:p>
            <w:r>
              <w:t>记录保单/被保人/事故基础信息，生成案件号</w:t>
            </w:r>
          </w:p>
        </w:tc>
        <w:tc>
          <w:tcPr>
            <w:tcW w:type="dxa" w:w="1928"/>
            <w:vAlign w:val="center"/>
          </w:tcPr>
          <w:p>
            <w:r>
              <w:t>报案成功通知、下一步指引</w:t>
            </w:r>
          </w:p>
        </w:tc>
        <w:tc>
          <w:tcPr>
            <w:tcW w:type="dxa" w:w="2381"/>
            <w:vAlign w:val="center"/>
          </w:tcPr>
          <w:p>
            <w:r>
              <w:t>是否在保险期间内；是否需紧急介入</w:t>
            </w:r>
          </w:p>
        </w:tc>
        <w:tc>
          <w:tcPr>
            <w:tcW w:type="dxa" w:w="1984"/>
            <w:vAlign w:val="center"/>
          </w:tcPr>
          <w:p>
            <w:r>
              <w:t>报案时间、事故时间、事故类型、医院/地区、联系人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t>2. 材料指引</w:t>
            </w:r>
          </w:p>
        </w:tc>
        <w:tc>
          <w:tcPr>
            <w:tcW w:type="dxa" w:w="2494"/>
            <w:vAlign w:val="center"/>
          </w:tcPr>
          <w:p>
            <w:r>
              <w:t>下发材料清单，区分必交/补充</w:t>
            </w:r>
          </w:p>
        </w:tc>
        <w:tc>
          <w:tcPr>
            <w:tcW w:type="dxa" w:w="1928"/>
            <w:vAlign w:val="center"/>
          </w:tcPr>
          <w:p>
            <w:r>
              <w:t>材料清单、上传/邮寄方式</w:t>
            </w:r>
          </w:p>
        </w:tc>
        <w:tc>
          <w:tcPr>
            <w:tcW w:type="dxa" w:w="2381"/>
            <w:vAlign w:val="center"/>
          </w:tcPr>
          <w:p>
            <w:r>
              <w:t>一次性告知，避免反复补件</w:t>
            </w:r>
          </w:p>
        </w:tc>
        <w:tc>
          <w:tcPr>
            <w:tcW w:type="dxa" w:w="1984"/>
            <w:vAlign w:val="center"/>
          </w:tcPr>
          <w:p>
            <w:r>
              <w:t>缺失项、补件截止日、上传渠道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t>3. 受理建案</w:t>
            </w:r>
          </w:p>
        </w:tc>
        <w:tc>
          <w:tcPr>
            <w:tcW w:type="dxa" w:w="2494"/>
            <w:vAlign w:val="center"/>
          </w:tcPr>
          <w:p>
            <w:r>
              <w:t>校验身份、受益资格、授权关系，完成受理</w:t>
            </w:r>
          </w:p>
        </w:tc>
        <w:tc>
          <w:tcPr>
            <w:tcW w:type="dxa" w:w="1928"/>
            <w:vAlign w:val="center"/>
          </w:tcPr>
          <w:p>
            <w:r>
              <w:t>受理通知</w:t>
            </w:r>
          </w:p>
        </w:tc>
        <w:tc>
          <w:tcPr>
            <w:tcW w:type="dxa" w:w="2381"/>
            <w:vAlign w:val="center"/>
          </w:tcPr>
          <w:p>
            <w:r>
              <w:t>申请人是否有权申请；证件是否一致</w:t>
            </w:r>
          </w:p>
        </w:tc>
        <w:tc>
          <w:tcPr>
            <w:tcW w:type="dxa" w:w="1984"/>
            <w:vAlign w:val="center"/>
          </w:tcPr>
          <w:p>
            <w:r>
              <w:t>申请人类型、授权状态、受益人关系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t>4. 审核核定</w:t>
            </w:r>
          </w:p>
        </w:tc>
        <w:tc>
          <w:tcPr>
            <w:tcW w:type="dxa" w:w="2494"/>
            <w:vAlign w:val="center"/>
          </w:tcPr>
          <w:p>
            <w:r>
              <w:t>责任判断、条款匹配、必要时查勘/会商</w:t>
            </w:r>
          </w:p>
        </w:tc>
        <w:tc>
          <w:tcPr>
            <w:tcW w:type="dxa" w:w="1928"/>
            <w:vAlign w:val="center"/>
          </w:tcPr>
          <w:p>
            <w:r>
              <w:t>进度提醒、补件提醒</w:t>
            </w:r>
          </w:p>
        </w:tc>
        <w:tc>
          <w:tcPr>
            <w:tcW w:type="dxa" w:w="2381"/>
            <w:vAlign w:val="center"/>
          </w:tcPr>
          <w:p>
            <w:r>
              <w:t>条款解释一致性；证据链完整性</w:t>
            </w:r>
          </w:p>
        </w:tc>
        <w:tc>
          <w:tcPr>
            <w:tcW w:type="dxa" w:w="1984"/>
            <w:vAlign w:val="center"/>
          </w:tcPr>
          <w:p>
            <w:r>
              <w:t>责任结论、拒赔原因码、争议标签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t>5. 结案支付</w:t>
            </w:r>
          </w:p>
        </w:tc>
        <w:tc>
          <w:tcPr>
            <w:tcW w:type="dxa" w:w="2494"/>
            <w:vAlign w:val="center"/>
          </w:tcPr>
          <w:p>
            <w:r>
              <w:t>确认金额并支付，或形成拒赔结论</w:t>
            </w:r>
          </w:p>
        </w:tc>
        <w:tc>
          <w:tcPr>
            <w:tcW w:type="dxa" w:w="1928"/>
            <w:vAlign w:val="center"/>
          </w:tcPr>
          <w:p>
            <w:r>
              <w:t>赔付通知/拒赔通知</w:t>
            </w:r>
          </w:p>
        </w:tc>
        <w:tc>
          <w:tcPr>
            <w:tcW w:type="dxa" w:w="2381"/>
            <w:vAlign w:val="center"/>
          </w:tcPr>
          <w:p>
            <w:r>
              <w:t>支付账户校验；拒赔理由书面化</w:t>
            </w:r>
          </w:p>
        </w:tc>
        <w:tc>
          <w:tcPr>
            <w:tcW w:type="dxa" w:w="1984"/>
            <w:vAlign w:val="center"/>
          </w:tcPr>
          <w:p>
            <w:r>
              <w:t>核定日期、支付日期、支付金额、通知日期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t>6. 申诉投诉</w:t>
            </w:r>
          </w:p>
        </w:tc>
        <w:tc>
          <w:tcPr>
            <w:tcW w:type="dxa" w:w="2494"/>
            <w:vAlign w:val="center"/>
          </w:tcPr>
          <w:p>
            <w:r>
              <w:t>受理申诉、复核、调解/法务协同</w:t>
            </w:r>
          </w:p>
        </w:tc>
        <w:tc>
          <w:tcPr>
            <w:tcW w:type="dxa" w:w="1928"/>
            <w:vAlign w:val="center"/>
          </w:tcPr>
          <w:p>
            <w:r>
              <w:t>申诉受理通知、复核结论</w:t>
            </w:r>
          </w:p>
        </w:tc>
        <w:tc>
          <w:tcPr>
            <w:tcW w:type="dxa" w:w="2381"/>
            <w:vAlign w:val="center"/>
          </w:tcPr>
          <w:p>
            <w:r>
              <w:t>投诉闭环、时点留痕</w:t>
            </w:r>
          </w:p>
        </w:tc>
        <w:tc>
          <w:tcPr>
            <w:tcW w:type="dxa" w:w="1984"/>
            <w:vAlign w:val="center"/>
          </w:tcPr>
          <w:p>
            <w:r>
              <w:t>申诉原因、复核结论、调解状态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t>7. 归档复盘</w:t>
            </w:r>
          </w:p>
        </w:tc>
        <w:tc>
          <w:tcPr>
            <w:tcW w:type="dxa" w:w="2494"/>
            <w:vAlign w:val="center"/>
          </w:tcPr>
          <w:p>
            <w:r>
              <w:t>归档单证、沉淀 FAQ、识别高频争议点</w:t>
            </w:r>
          </w:p>
        </w:tc>
        <w:tc>
          <w:tcPr>
            <w:tcW w:type="dxa" w:w="1928"/>
            <w:vAlign w:val="center"/>
          </w:tcPr>
          <w:p>
            <w:r>
              <w:t>无</w:t>
            </w:r>
          </w:p>
        </w:tc>
        <w:tc>
          <w:tcPr>
            <w:tcW w:type="dxa" w:w="2381"/>
            <w:vAlign w:val="center"/>
          </w:tcPr>
          <w:p>
            <w:r>
              <w:t>原始凭证保存、知识库更新</w:t>
            </w:r>
          </w:p>
        </w:tc>
        <w:tc>
          <w:tcPr>
            <w:tcW w:type="dxa" w:w="1984"/>
            <w:vAlign w:val="center"/>
          </w:tcPr>
          <w:p>
            <w:r>
              <w:t>档案编号、争议标签、FAQ编号</w:t>
            </w:r>
          </w:p>
        </w:tc>
      </w:tr>
    </w:tbl>
    <w:p>
      <w:pPr>
        <w:pStyle w:val="Heading1"/>
      </w:pPr>
      <w:r>
        <w:t>五、落地建议（给你当前场景）</w:t>
      </w:r>
    </w:p>
    <w:p>
      <w:pPr>
        <w:pStyle w:val="TJBullet"/>
      </w:pPr>
      <w:r>
        <w:t xml:space="preserve">• </w:t>
      </w:r>
      <w:r>
        <w:t>先做“三件套”：规则说明首页 + 20条 FAQ + 一张 SOP 流程表。</w:t>
      </w:r>
    </w:p>
    <w:p>
      <w:pPr>
        <w:pStyle w:val="TJBullet"/>
      </w:pPr>
      <w:r>
        <w:t xml:space="preserve">• </w:t>
      </w:r>
      <w:r>
        <w:t>知识库字段建议统一：险种、责任类型、申请人类型、案件阶段、缺失材料、结论原因码、是否争议、是否申诉。</w:t>
      </w:r>
    </w:p>
    <w:p>
      <w:pPr>
        <w:pStyle w:val="TJBullet"/>
      </w:pPr>
      <w:r>
        <w:t xml:space="preserve">• </w:t>
      </w:r>
      <w:r>
        <w:t>把“公开规则”和“公司特有规则”分层：前者给客服统一口径，后者给审核和法务使用。</w:t>
      </w:r>
    </w:p>
    <w:p>
      <w:pPr>
        <w:pStyle w:val="TJBullet"/>
      </w:pPr>
      <w:r>
        <w:t xml:space="preserve">• </w:t>
      </w:r>
      <w:r>
        <w:t>对容易争议的问题单独建 FAQ，如等待期、既往症、猝死、医院级别、委托代办、发票原件/电子票据、重复赔付、公共保额等。</w:t>
      </w:r>
    </w:p>
    <w:p>
      <w:pPr>
        <w:pStyle w:val="Heading1"/>
      </w:pPr>
      <w:r>
        <w:t>附：本稿引用的公开来源（按整理用途列示）</w:t>
      </w:r>
    </w:p>
    <w:p>
      <w:pPr>
        <w:pStyle w:val="TJSmall"/>
      </w:pPr>
      <w:r>
        <w:t>1. 中国保险行业协会：《人身保险理赔服务规范》（T/IAC 53—2024，2024-11-19发布，2025-02-19实施）。</w:t>
      </w:r>
    </w:p>
    <w:p>
      <w:pPr>
        <w:pStyle w:val="TJSmall"/>
      </w:pPr>
      <w:r>
        <w:t>2. 《中华人民共和国保险法》第22—25条（关于补件、核定、拒赔通知、先予支付等）。</w:t>
      </w:r>
    </w:p>
    <w:p>
      <w:pPr>
        <w:pStyle w:val="TJSmall"/>
      </w:pPr>
      <w:r>
        <w:t>3. 太平洋健康保险：《理赔服务指南（通用版）》。</w:t>
      </w:r>
    </w:p>
    <w:p>
      <w:pPr>
        <w:pStyle w:val="TJSmall"/>
      </w:pPr>
      <w:r>
        <w:t>4. 人保健康：理赔指南、理赔常见问题。</w:t>
      </w:r>
    </w:p>
    <w:p>
      <w:pPr>
        <w:pStyle w:val="TJSmall"/>
      </w:pPr>
      <w:r>
        <w:t>5. 平安健康险 / 中国人寿等官网理赔常见问题页面（用于补充常见口径示例）。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— </w:t>
    </w:r>
    <w:fldSimple w:instr="PAGE">
      <w:r>
        <w:t>1</w:t>
      </w:r>
    </w:fldSimple>
    <w:r>
      <w:rPr>
        <w:color w:val="646464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B4C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55C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JTitle">
    <w:name w:val="TJTitle"/>
    <w:basedOn w:val="Normal"/>
    <w:pPr>
      <w:spacing w:after="80"/>
    </w:pPr>
    <w:rPr>
      <w:rFonts w:ascii="Arial" w:hAnsi="Arial" w:eastAsia="Microsoft YaHei"/>
      <w:b/>
      <w:color w:val="1B4C80"/>
      <w:sz w:val="44"/>
    </w:rPr>
  </w:style>
  <w:style w:type="paragraph" w:customStyle="1" w:styleId="TJSubtitle">
    <w:name w:val="TJSubtitle"/>
    <w:basedOn w:val="Normal"/>
    <w:pPr>
      <w:spacing w:after="160"/>
    </w:pPr>
    <w:rPr>
      <w:rFonts w:ascii="Arial" w:hAnsi="Arial" w:eastAsia="Microsoft YaHei"/>
      <w:color w:val="5A5A5A"/>
      <w:sz w:val="20"/>
    </w:rPr>
  </w:style>
  <w:style w:type="paragraph" w:customStyle="1" w:styleId="TJBullet">
    <w:name w:val="TJBullet"/>
    <w:basedOn w:val="Normal"/>
    <w:pPr>
      <w:spacing w:after="40"/>
      <w:ind w:left="340" w:hanging="198"/>
    </w:pPr>
    <w:rPr>
      <w:rFonts w:ascii="Arial" w:hAnsi="Arial" w:eastAsia="Microsoft YaHei"/>
      <w:sz w:val="21"/>
    </w:rPr>
  </w:style>
  <w:style w:type="paragraph" w:customStyle="1" w:styleId="TJSmall">
    <w:name w:val="TJSmall"/>
    <w:basedOn w:val="Normal"/>
    <w:pPr>
      <w:spacing w:after="40"/>
    </w:pPr>
    <w:rPr>
      <w:rFonts w:ascii="Arial" w:hAnsi="Arial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