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C0C77" w14:textId="77777777" w:rsidR="00686657" w:rsidRDefault="00686657">
      <w:pPr>
        <w:spacing w:after="480"/>
      </w:pPr>
    </w:p>
    <w:p w14:paraId="3176EED3" w14:textId="77777777" w:rsidR="00686657" w:rsidRDefault="00000000">
      <w:pPr>
        <w:spacing w:after="80"/>
        <w:jc w:val="center"/>
      </w:pPr>
      <w:r>
        <w:rPr>
          <w:b/>
          <w:bCs/>
          <w:color w:val="2E75B6"/>
          <w:sz w:val="52"/>
          <w:szCs w:val="52"/>
        </w:rPr>
        <w:t>RETAIL ANALYTICS</w:t>
      </w:r>
    </w:p>
    <w:p w14:paraId="3AB4D3F8" w14:textId="77777777" w:rsidR="00686657" w:rsidRDefault="00000000">
      <w:pPr>
        <w:spacing w:after="80"/>
        <w:jc w:val="center"/>
      </w:pPr>
      <w:r>
        <w:rPr>
          <w:b/>
          <w:bCs/>
          <w:color w:val="1E3A5F"/>
          <w:sz w:val="38"/>
          <w:szCs w:val="38"/>
        </w:rPr>
        <w:t>Dashboard Intelligence Report</w:t>
      </w:r>
    </w:p>
    <w:p w14:paraId="4634973A" w14:textId="77777777" w:rsidR="00686657" w:rsidRDefault="00000000">
      <w:pPr>
        <w:spacing w:after="400"/>
        <w:jc w:val="center"/>
      </w:pPr>
      <w:r>
        <w:rPr>
          <w:color w:val="5A6A7A"/>
          <w:sz w:val="24"/>
          <w:szCs w:val="24"/>
        </w:rPr>
        <w:t>STAR Methodology · Strategic Insights · Actionable Recommendations</w:t>
      </w:r>
    </w:p>
    <w:p w14:paraId="6A9A6682" w14:textId="77777777" w:rsidR="00686657" w:rsidRDefault="00686657">
      <w:pPr>
        <w:pBdr>
          <w:bottom w:val="single" w:sz="8" w:space="1" w:color="2E75B6"/>
        </w:pBdr>
        <w:spacing w:before="80" w:after="80"/>
      </w:pPr>
    </w:p>
    <w:p w14:paraId="405B6C48" w14:textId="77777777" w:rsidR="00686657" w:rsidRDefault="0068665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86657" w14:paraId="2709A258" w14:textId="77777777">
        <w:tblPrEx>
          <w:tblCellMar>
            <w:top w:w="0" w:type="dxa"/>
            <w:bottom w:w="0" w:type="dxa"/>
          </w:tblCellMar>
        </w:tblPrEx>
        <w:tc>
          <w:tcPr>
            <w:tcW w:w="3120" w:type="dxa"/>
            <w:tcBorders>
              <w:top w:val="single" w:sz="1" w:space="0" w:color="C5D8EC"/>
              <w:left w:val="single" w:sz="1" w:space="0" w:color="C5D8EC"/>
              <w:bottom w:val="single" w:sz="1" w:space="0" w:color="C5D8EC"/>
              <w:right w:val="single" w:sz="1" w:space="0" w:color="C5D8EC"/>
            </w:tcBorders>
            <w:shd w:val="clear" w:color="auto" w:fill="EBF3FB"/>
            <w:tcMar>
              <w:top w:w="160" w:type="dxa"/>
              <w:left w:w="160" w:type="dxa"/>
              <w:bottom w:w="160" w:type="dxa"/>
              <w:right w:w="160" w:type="dxa"/>
            </w:tcMar>
          </w:tcPr>
          <w:p w14:paraId="0E55E4F2" w14:textId="77777777" w:rsidR="00686657" w:rsidRDefault="00000000">
            <w:pPr>
              <w:jc w:val="center"/>
            </w:pPr>
            <w:r>
              <w:rPr>
                <w:b/>
                <w:bCs/>
                <w:color w:val="5A6A7A"/>
                <w:sz w:val="20"/>
                <w:szCs w:val="20"/>
              </w:rPr>
              <w:t>Domain</w:t>
            </w:r>
          </w:p>
          <w:p w14:paraId="103CC2C7" w14:textId="77777777" w:rsidR="00686657" w:rsidRDefault="00000000">
            <w:pPr>
              <w:jc w:val="center"/>
            </w:pPr>
            <w:r>
              <w:rPr>
                <w:b/>
                <w:bCs/>
                <w:color w:val="1E3A5F"/>
              </w:rPr>
              <w:t>Retail E-Commerce</w:t>
            </w:r>
          </w:p>
        </w:tc>
        <w:tc>
          <w:tcPr>
            <w:tcW w:w="3120" w:type="dxa"/>
            <w:tcBorders>
              <w:top w:val="single" w:sz="1" w:space="0" w:color="C5D8EC"/>
              <w:left w:val="single" w:sz="1" w:space="0" w:color="C5D8EC"/>
              <w:bottom w:val="single" w:sz="1" w:space="0" w:color="C5D8EC"/>
              <w:right w:val="single" w:sz="1" w:space="0" w:color="C5D8EC"/>
            </w:tcBorders>
            <w:shd w:val="clear" w:color="auto" w:fill="EBF3FB"/>
            <w:tcMar>
              <w:top w:w="160" w:type="dxa"/>
              <w:left w:w="160" w:type="dxa"/>
              <w:bottom w:w="160" w:type="dxa"/>
              <w:right w:w="160" w:type="dxa"/>
            </w:tcMar>
          </w:tcPr>
          <w:p w14:paraId="0608FBE0" w14:textId="77777777" w:rsidR="00686657" w:rsidRDefault="00000000">
            <w:pPr>
              <w:jc w:val="center"/>
            </w:pPr>
            <w:r>
              <w:rPr>
                <w:b/>
                <w:bCs/>
                <w:color w:val="5A6A7A"/>
                <w:sz w:val="20"/>
                <w:szCs w:val="20"/>
              </w:rPr>
              <w:t>Insights Analysed</w:t>
            </w:r>
          </w:p>
          <w:p w14:paraId="21B380F7" w14:textId="77777777" w:rsidR="00686657" w:rsidRDefault="00000000">
            <w:pPr>
              <w:jc w:val="center"/>
            </w:pPr>
            <w:r>
              <w:rPr>
                <w:b/>
                <w:bCs/>
                <w:color w:val="1E3A5F"/>
              </w:rPr>
              <w:t>53 SQL Insights</w:t>
            </w:r>
          </w:p>
        </w:tc>
        <w:tc>
          <w:tcPr>
            <w:tcW w:w="3120" w:type="dxa"/>
            <w:tcBorders>
              <w:top w:val="single" w:sz="1" w:space="0" w:color="C5D8EC"/>
              <w:left w:val="single" w:sz="1" w:space="0" w:color="C5D8EC"/>
              <w:bottom w:val="single" w:sz="1" w:space="0" w:color="C5D8EC"/>
              <w:right w:val="single" w:sz="1" w:space="0" w:color="C5D8EC"/>
            </w:tcBorders>
            <w:shd w:val="clear" w:color="auto" w:fill="EBF3FB"/>
            <w:tcMar>
              <w:top w:w="160" w:type="dxa"/>
              <w:left w:w="160" w:type="dxa"/>
              <w:bottom w:w="160" w:type="dxa"/>
              <w:right w:w="160" w:type="dxa"/>
            </w:tcMar>
          </w:tcPr>
          <w:p w14:paraId="7E674D3B" w14:textId="77777777" w:rsidR="00686657" w:rsidRDefault="00000000">
            <w:pPr>
              <w:jc w:val="center"/>
            </w:pPr>
            <w:r>
              <w:rPr>
                <w:b/>
                <w:bCs/>
                <w:color w:val="5A6A7A"/>
                <w:sz w:val="20"/>
                <w:szCs w:val="20"/>
              </w:rPr>
              <w:t>Dashboard Pages</w:t>
            </w:r>
          </w:p>
          <w:p w14:paraId="5C0AD7E7" w14:textId="77777777" w:rsidR="00686657" w:rsidRDefault="00000000">
            <w:pPr>
              <w:jc w:val="center"/>
            </w:pPr>
            <w:r>
              <w:rPr>
                <w:b/>
                <w:bCs/>
                <w:color w:val="1E3A5F"/>
              </w:rPr>
              <w:t>3 Focused Views</w:t>
            </w:r>
          </w:p>
        </w:tc>
      </w:tr>
    </w:tbl>
    <w:p w14:paraId="37A5D340" w14:textId="77777777" w:rsidR="00686657" w:rsidRDefault="00686657">
      <w:pPr>
        <w:spacing w:before="360" w:after="80"/>
      </w:pPr>
    </w:p>
    <w:p w14:paraId="6FA60A73" w14:textId="77777777" w:rsidR="00686657" w:rsidRDefault="00000000">
      <w:pPr>
        <w:jc w:val="center"/>
      </w:pPr>
      <w:r>
        <w:rPr>
          <w:color w:val="5A6A7A"/>
          <w:sz w:val="20"/>
          <w:szCs w:val="20"/>
        </w:rPr>
        <w:t>Prepared by: Data Analytics Team</w:t>
      </w:r>
    </w:p>
    <w:p w14:paraId="4FEBD390" w14:textId="77777777" w:rsidR="00686657" w:rsidRDefault="00000000">
      <w:pPr>
        <w:jc w:val="center"/>
      </w:pPr>
      <w:r>
        <w:rPr>
          <w:color w:val="5A6A7A"/>
          <w:sz w:val="20"/>
          <w:szCs w:val="20"/>
        </w:rPr>
        <w:t>Classification: Internal Use Only</w:t>
      </w:r>
    </w:p>
    <w:p w14:paraId="252029D5" w14:textId="77777777" w:rsidR="00686657" w:rsidRDefault="00686657"/>
    <w:p w14:paraId="5DF1A725" w14:textId="77777777" w:rsidR="00686657" w:rsidRDefault="00000000">
      <w:pPr>
        <w:pStyle w:val="Heading1"/>
        <w:shd w:val="clear" w:color="auto" w:fill="1E3A5F"/>
        <w:ind w:left="200"/>
      </w:pPr>
      <w:r>
        <w:t>Executive Summary</w:t>
      </w:r>
    </w:p>
    <w:p w14:paraId="1AA61D52" w14:textId="77777777" w:rsidR="00686657" w:rsidRDefault="00686657">
      <w:pPr>
        <w:spacing w:before="80" w:after="40"/>
      </w:pPr>
    </w:p>
    <w:p w14:paraId="71BF9553" w14:textId="77777777" w:rsidR="00686657" w:rsidRDefault="00000000">
      <w:pPr>
        <w:spacing w:before="60" w:after="60"/>
      </w:pPr>
      <w:r>
        <w:rPr>
          <w:color w:val="1A1A2E"/>
        </w:rPr>
        <w:t>This report analyses retail e-commerce performance across revenue operations, product performance, customer behaviour, and returns risk. Three dashboard views built from 53 SQL insights surface key business signals using the STAR (Situation, Task, Action, Result) methodology to frame each finding as a decision-ready narrative.</w:t>
      </w:r>
    </w:p>
    <w:p w14:paraId="5DD07661" w14:textId="77777777" w:rsidR="00686657" w:rsidRDefault="00686657">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86657" w14:paraId="613E848A" w14:textId="77777777">
        <w:tblPrEx>
          <w:tblCellMar>
            <w:top w:w="0" w:type="dxa"/>
            <w:bottom w:w="0" w:type="dxa"/>
          </w:tblCellMar>
        </w:tblPrEx>
        <w:tc>
          <w:tcPr>
            <w:tcW w:w="2340" w:type="dxa"/>
            <w:tcBorders>
              <w:top w:val="single" w:sz="1" w:space="0" w:color="C5D8EC"/>
              <w:left w:val="single" w:sz="1" w:space="0" w:color="C5D8EC"/>
              <w:bottom w:val="single" w:sz="1" w:space="0" w:color="C5D8EC"/>
              <w:right w:val="single" w:sz="1" w:space="0" w:color="C5D8EC"/>
            </w:tcBorders>
            <w:shd w:val="clear" w:color="auto" w:fill="1E3A5F"/>
            <w:tcMar>
              <w:top w:w="120" w:type="dxa"/>
              <w:left w:w="140" w:type="dxa"/>
              <w:bottom w:w="120" w:type="dxa"/>
              <w:right w:w="140" w:type="dxa"/>
            </w:tcMar>
          </w:tcPr>
          <w:p w14:paraId="215A505D" w14:textId="77777777" w:rsidR="00686657" w:rsidRDefault="00000000">
            <w:pPr>
              <w:jc w:val="center"/>
            </w:pPr>
            <w:r>
              <w:rPr>
                <w:b/>
                <w:bCs/>
                <w:color w:val="FFFFFF"/>
                <w:sz w:val="20"/>
                <w:szCs w:val="20"/>
              </w:rPr>
              <w:t>Total Revenue</w:t>
            </w:r>
          </w:p>
          <w:p w14:paraId="20C9D38F" w14:textId="77777777" w:rsidR="00686657" w:rsidRDefault="00000000">
            <w:pPr>
              <w:jc w:val="center"/>
            </w:pPr>
            <w:r>
              <w:rPr>
                <w:b/>
                <w:bCs/>
                <w:color w:val="B5D4F4"/>
                <w:sz w:val="28"/>
                <w:szCs w:val="28"/>
              </w:rPr>
              <w:t>₹48.2M</w:t>
            </w:r>
          </w:p>
        </w:tc>
        <w:tc>
          <w:tcPr>
            <w:tcW w:w="2340" w:type="dxa"/>
            <w:tcBorders>
              <w:top w:val="single" w:sz="1" w:space="0" w:color="C5D8EC"/>
              <w:left w:val="single" w:sz="1" w:space="0" w:color="C5D8EC"/>
              <w:bottom w:val="single" w:sz="1" w:space="0" w:color="C5D8EC"/>
              <w:right w:val="single" w:sz="1" w:space="0" w:color="C5D8EC"/>
            </w:tcBorders>
            <w:shd w:val="clear" w:color="auto" w:fill="1E3A5F"/>
            <w:tcMar>
              <w:top w:w="120" w:type="dxa"/>
              <w:left w:w="140" w:type="dxa"/>
              <w:bottom w:w="120" w:type="dxa"/>
              <w:right w:w="140" w:type="dxa"/>
            </w:tcMar>
          </w:tcPr>
          <w:p w14:paraId="79C5CB45" w14:textId="77777777" w:rsidR="00686657" w:rsidRDefault="00000000">
            <w:pPr>
              <w:jc w:val="center"/>
            </w:pPr>
            <w:r>
              <w:rPr>
                <w:b/>
                <w:bCs/>
                <w:color w:val="FFFFFF"/>
                <w:sz w:val="20"/>
                <w:szCs w:val="20"/>
              </w:rPr>
              <w:t>Total Orders</w:t>
            </w:r>
          </w:p>
          <w:p w14:paraId="34140A5B" w14:textId="77777777" w:rsidR="00686657" w:rsidRDefault="00000000">
            <w:pPr>
              <w:jc w:val="center"/>
            </w:pPr>
            <w:r>
              <w:rPr>
                <w:b/>
                <w:bCs/>
                <w:color w:val="B5D4F4"/>
                <w:sz w:val="28"/>
                <w:szCs w:val="28"/>
              </w:rPr>
              <w:t>12,340</w:t>
            </w:r>
          </w:p>
        </w:tc>
        <w:tc>
          <w:tcPr>
            <w:tcW w:w="2340" w:type="dxa"/>
            <w:tcBorders>
              <w:top w:val="single" w:sz="1" w:space="0" w:color="C5D8EC"/>
              <w:left w:val="single" w:sz="1" w:space="0" w:color="C5D8EC"/>
              <w:bottom w:val="single" w:sz="1" w:space="0" w:color="C5D8EC"/>
              <w:right w:val="single" w:sz="1" w:space="0" w:color="C5D8EC"/>
            </w:tcBorders>
            <w:shd w:val="clear" w:color="auto" w:fill="1E3A5F"/>
            <w:tcMar>
              <w:top w:w="120" w:type="dxa"/>
              <w:left w:w="140" w:type="dxa"/>
              <w:bottom w:w="120" w:type="dxa"/>
              <w:right w:w="140" w:type="dxa"/>
            </w:tcMar>
          </w:tcPr>
          <w:p w14:paraId="7FDE1B4C" w14:textId="77777777" w:rsidR="00686657" w:rsidRDefault="00000000">
            <w:pPr>
              <w:jc w:val="center"/>
            </w:pPr>
            <w:proofErr w:type="spellStart"/>
            <w:r>
              <w:rPr>
                <w:b/>
                <w:bCs/>
                <w:color w:val="FFFFFF"/>
                <w:sz w:val="20"/>
                <w:szCs w:val="20"/>
              </w:rPr>
              <w:t>Avg</w:t>
            </w:r>
            <w:proofErr w:type="spellEnd"/>
            <w:r>
              <w:rPr>
                <w:b/>
                <w:bCs/>
                <w:color w:val="FFFFFF"/>
                <w:sz w:val="20"/>
                <w:szCs w:val="20"/>
              </w:rPr>
              <w:t xml:space="preserve"> Order Value</w:t>
            </w:r>
          </w:p>
          <w:p w14:paraId="06CA3570" w14:textId="77777777" w:rsidR="00686657" w:rsidRDefault="00000000">
            <w:pPr>
              <w:jc w:val="center"/>
            </w:pPr>
            <w:r>
              <w:rPr>
                <w:b/>
                <w:bCs/>
                <w:color w:val="B5D4F4"/>
                <w:sz w:val="28"/>
                <w:szCs w:val="28"/>
              </w:rPr>
              <w:t>₹17.96K</w:t>
            </w:r>
          </w:p>
        </w:tc>
        <w:tc>
          <w:tcPr>
            <w:tcW w:w="2340" w:type="dxa"/>
            <w:tcBorders>
              <w:top w:val="single" w:sz="1" w:space="0" w:color="C5D8EC"/>
              <w:left w:val="single" w:sz="1" w:space="0" w:color="C5D8EC"/>
              <w:bottom w:val="single" w:sz="1" w:space="0" w:color="C5D8EC"/>
              <w:right w:val="single" w:sz="1" w:space="0" w:color="C5D8EC"/>
            </w:tcBorders>
            <w:shd w:val="clear" w:color="auto" w:fill="1E3A5F"/>
            <w:tcMar>
              <w:top w:w="120" w:type="dxa"/>
              <w:left w:w="140" w:type="dxa"/>
              <w:bottom w:w="120" w:type="dxa"/>
              <w:right w:w="140" w:type="dxa"/>
            </w:tcMar>
          </w:tcPr>
          <w:p w14:paraId="1670C2DC" w14:textId="77777777" w:rsidR="00686657" w:rsidRDefault="00000000">
            <w:pPr>
              <w:jc w:val="center"/>
            </w:pPr>
            <w:r>
              <w:rPr>
                <w:b/>
                <w:bCs/>
                <w:color w:val="FFFFFF"/>
                <w:sz w:val="20"/>
                <w:szCs w:val="20"/>
              </w:rPr>
              <w:t>Return Rate</w:t>
            </w:r>
          </w:p>
          <w:p w14:paraId="7EF03C19" w14:textId="77777777" w:rsidR="00686657" w:rsidRDefault="00000000">
            <w:pPr>
              <w:jc w:val="center"/>
            </w:pPr>
            <w:r>
              <w:rPr>
                <w:b/>
                <w:bCs/>
                <w:color w:val="FFCC80"/>
                <w:sz w:val="28"/>
                <w:szCs w:val="28"/>
              </w:rPr>
              <w:t>16.25%</w:t>
            </w:r>
          </w:p>
        </w:tc>
      </w:tr>
    </w:tbl>
    <w:p w14:paraId="366F8CE8" w14:textId="77777777" w:rsidR="00686657" w:rsidRDefault="00686657">
      <w:pPr>
        <w:spacing w:before="200" w:after="80"/>
      </w:pPr>
    </w:p>
    <w:p w14:paraId="707D73E6" w14:textId="77777777" w:rsidR="00686657" w:rsidRDefault="00000000">
      <w:pPr>
        <w:pStyle w:val="Heading2"/>
        <w:pBdr>
          <w:bottom w:val="single" w:sz="4" w:space="2" w:color="2E75B6"/>
        </w:pBdr>
      </w:pPr>
      <w:r>
        <w:t>Problem Statement</w:t>
      </w:r>
    </w:p>
    <w:p w14:paraId="17D433AC" w14:textId="77777777" w:rsidR="00686657" w:rsidRDefault="00000000">
      <w:pPr>
        <w:spacing w:before="60" w:after="60"/>
      </w:pPr>
      <w:r>
        <w:rPr>
          <w:color w:val="1A1A2E"/>
        </w:rPr>
        <w:t>A multi-brand retail e-commerce platform operating across India faces three interconnected challenges:</w:t>
      </w:r>
    </w:p>
    <w:p w14:paraId="42CEFD5D" w14:textId="77777777" w:rsidR="00686657" w:rsidRDefault="00686657">
      <w:pPr>
        <w:spacing w:before="60" w:after="20"/>
      </w:pPr>
    </w:p>
    <w:p w14:paraId="19DAB540" w14:textId="77777777" w:rsidR="00686657" w:rsidRDefault="00000000">
      <w:pPr>
        <w:pStyle w:val="ListParagraph"/>
        <w:numPr>
          <w:ilvl w:val="0"/>
          <w:numId w:val="2"/>
        </w:numPr>
        <w:spacing w:before="40" w:after="40"/>
      </w:pPr>
      <w:r>
        <w:rPr>
          <w:color w:val="1A1A2E"/>
        </w:rPr>
        <w:t>Revenue leakage from order cancellations (₹2.1M at risk) and a rising return rate of 16.25% that erodes net margin.</w:t>
      </w:r>
    </w:p>
    <w:p w14:paraId="76681144" w14:textId="77777777" w:rsidR="00686657" w:rsidRDefault="00000000">
      <w:pPr>
        <w:pStyle w:val="ListParagraph"/>
        <w:numPr>
          <w:ilvl w:val="0"/>
          <w:numId w:val="2"/>
        </w:numPr>
        <w:spacing w:before="40" w:after="40"/>
      </w:pPr>
      <w:r>
        <w:rPr>
          <w:color w:val="1A1A2E"/>
        </w:rPr>
        <w:t>Uneven geographic performance with top 3 states contributing over 65% of revenue while smaller markets remain under-served.</w:t>
      </w:r>
    </w:p>
    <w:p w14:paraId="116B66AD" w14:textId="77777777" w:rsidR="00686657" w:rsidRDefault="00000000">
      <w:pPr>
        <w:pStyle w:val="ListParagraph"/>
        <w:numPr>
          <w:ilvl w:val="0"/>
          <w:numId w:val="2"/>
        </w:numPr>
        <w:spacing w:before="40" w:after="40"/>
      </w:pPr>
      <w:r>
        <w:rPr>
          <w:color w:val="1A1A2E"/>
        </w:rPr>
        <w:t>Product-level profitability gaps where high-discount SKUs underperform in quantity sold, and Electronics returns lead category return rates, indicating a quality or expectation mismatch.</w:t>
      </w:r>
    </w:p>
    <w:p w14:paraId="604EAFD2" w14:textId="77777777" w:rsidR="00686657" w:rsidRDefault="00686657">
      <w:pPr>
        <w:spacing w:before="80" w:after="40"/>
      </w:pPr>
    </w:p>
    <w:p w14:paraId="45BBF53D" w14:textId="77777777" w:rsidR="00686657" w:rsidRDefault="00000000">
      <w:pPr>
        <w:spacing w:before="60" w:after="60"/>
      </w:pPr>
      <w:r>
        <w:rPr>
          <w:color w:val="5A6A7A"/>
        </w:rPr>
        <w:t>The business needs a structured diagnostic to pinpoint root causes, quantify impact, and prescribe targeted actions across Revenue, Product, Customer, and Returns dimensions.</w:t>
      </w:r>
    </w:p>
    <w:p w14:paraId="56BBF8DB" w14:textId="77777777" w:rsidR="00686657" w:rsidRDefault="00000000">
      <w:r>
        <w:br w:type="page"/>
      </w:r>
    </w:p>
    <w:p w14:paraId="0446BF48" w14:textId="77777777" w:rsidR="00686657" w:rsidRDefault="00000000">
      <w:pPr>
        <w:pStyle w:val="Heading1"/>
        <w:shd w:val="clear" w:color="auto" w:fill="1E3A5F"/>
        <w:ind w:left="200"/>
      </w:pPr>
      <w:r>
        <w:lastRenderedPageBreak/>
        <w:t>Page 1 — Revenue &amp; Orders</w:t>
      </w:r>
    </w:p>
    <w:p w14:paraId="2924D8D7" w14:textId="77777777" w:rsidR="00686657" w:rsidRDefault="00686657">
      <w:pPr>
        <w:spacing w:before="40" w:after="20"/>
      </w:pPr>
    </w:p>
    <w:p w14:paraId="059F85FA" w14:textId="77777777" w:rsidR="00686657" w:rsidRDefault="00000000">
      <w:pPr>
        <w:spacing w:before="60" w:after="60"/>
      </w:pPr>
      <w:r>
        <w:rPr>
          <w:color w:val="5A6A7A"/>
        </w:rPr>
        <w:t>Focus area: Monthly revenue trend, payment methods, geographic concentration, peak demand windows, and cancellation risk.</w:t>
      </w:r>
    </w:p>
    <w:p w14:paraId="53E38170" w14:textId="77777777" w:rsidR="00686657" w:rsidRDefault="00686657">
      <w:pPr>
        <w:spacing w:before="120" w:after="60"/>
      </w:pPr>
    </w:p>
    <w:p w14:paraId="59E999AD" w14:textId="77777777" w:rsidR="00686657" w:rsidRDefault="00000000">
      <w:pPr>
        <w:pStyle w:val="Heading2"/>
        <w:pBdr>
          <w:bottom w:val="single" w:sz="4" w:space="2" w:color="2E75B6"/>
        </w:pBdr>
      </w:pPr>
      <w:r>
        <w:t>STAR Insight 1 — Monthly Revenue Trend &amp; MoM Growth</w:t>
      </w:r>
    </w:p>
    <w:p w14:paraId="71B96294" w14:textId="77777777" w:rsidR="00686657" w:rsidRDefault="00686657">
      <w:pPr>
        <w:spacing w:before="4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6"/>
        <w:gridCol w:w="7894"/>
      </w:tblGrid>
      <w:tr w:rsidR="00686657" w14:paraId="5FF01882" w14:textId="77777777">
        <w:tblPrEx>
          <w:tblCellMar>
            <w:top w:w="0" w:type="dxa"/>
            <w:bottom w:w="0" w:type="dxa"/>
          </w:tblCellMar>
        </w:tblPrEx>
        <w:tc>
          <w:tcPr>
            <w:tcW w:w="1400" w:type="dxa"/>
            <w:tcBorders>
              <w:top w:val="single" w:sz="1" w:space="0" w:color="C5D8EC"/>
              <w:left w:val="single" w:sz="1" w:space="0" w:color="C5D8EC"/>
              <w:bottom w:val="single" w:sz="1" w:space="0" w:color="C5D8EC"/>
              <w:right w:val="single" w:sz="1" w:space="0" w:color="C5D8EC"/>
            </w:tcBorders>
            <w:shd w:val="clear" w:color="auto" w:fill="2E75B6"/>
            <w:tcMar>
              <w:top w:w="120" w:type="dxa"/>
              <w:left w:w="160" w:type="dxa"/>
              <w:bottom w:w="120" w:type="dxa"/>
              <w:right w:w="120" w:type="dxa"/>
            </w:tcMar>
            <w:vAlign w:val="center"/>
          </w:tcPr>
          <w:p w14:paraId="7007B4B5" w14:textId="77777777" w:rsidR="00686657" w:rsidRDefault="00000000">
            <w:pPr>
              <w:jc w:val="center"/>
            </w:pPr>
            <w:r>
              <w:rPr>
                <w:b/>
                <w:bCs/>
                <w:color w:val="FFFFFF"/>
              </w:rPr>
              <w:t>SITUATION</w:t>
            </w:r>
          </w:p>
        </w:tc>
        <w:tc>
          <w:tcPr>
            <w:tcW w:w="7960" w:type="dxa"/>
            <w:tcBorders>
              <w:top w:val="single" w:sz="1" w:space="0" w:color="C5D8EC"/>
              <w:left w:val="single" w:sz="1" w:space="0" w:color="C5D8EC"/>
              <w:bottom w:val="single" w:sz="1" w:space="0" w:color="C5D8EC"/>
              <w:right w:val="single" w:sz="1" w:space="0" w:color="C5D8EC"/>
            </w:tcBorders>
            <w:shd w:val="clear" w:color="auto" w:fill="F0F7FF"/>
            <w:tcMar>
              <w:top w:w="100" w:type="dxa"/>
              <w:left w:w="180" w:type="dxa"/>
              <w:bottom w:w="100" w:type="dxa"/>
              <w:right w:w="120" w:type="dxa"/>
            </w:tcMar>
          </w:tcPr>
          <w:p w14:paraId="72AC8826" w14:textId="77777777" w:rsidR="00686657" w:rsidRDefault="00000000">
            <w:r>
              <w:rPr>
                <w:color w:val="1A1A2E"/>
                <w:sz w:val="21"/>
                <w:szCs w:val="21"/>
              </w:rPr>
              <w:t>Total revenue stands at ₹48.2M across 12,340 orders. Revenue grew consistently from January through November before a slight December dip, indicating strong H2 performance but potential seasonal softness entering Q1.</w:t>
            </w:r>
          </w:p>
        </w:tc>
      </w:tr>
    </w:tbl>
    <w:p w14:paraId="18E91310" w14:textId="77777777" w:rsidR="00686657" w:rsidRDefault="00686657">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686657" w14:paraId="7DCBD526" w14:textId="77777777">
        <w:tblPrEx>
          <w:tblCellMar>
            <w:top w:w="0" w:type="dxa"/>
            <w:bottom w:w="0" w:type="dxa"/>
          </w:tblCellMar>
        </w:tblPrEx>
        <w:tc>
          <w:tcPr>
            <w:tcW w:w="1400" w:type="dxa"/>
            <w:tcBorders>
              <w:top w:val="single" w:sz="1" w:space="0" w:color="C5D8EC"/>
              <w:left w:val="single" w:sz="1" w:space="0" w:color="C5D8EC"/>
              <w:bottom w:val="single" w:sz="1" w:space="0" w:color="C5D8EC"/>
              <w:right w:val="single" w:sz="1" w:space="0" w:color="C5D8EC"/>
            </w:tcBorders>
            <w:shd w:val="clear" w:color="auto" w:fill="2E75B6"/>
            <w:tcMar>
              <w:top w:w="120" w:type="dxa"/>
              <w:left w:w="160" w:type="dxa"/>
              <w:bottom w:w="120" w:type="dxa"/>
              <w:right w:w="120" w:type="dxa"/>
            </w:tcMar>
            <w:vAlign w:val="center"/>
          </w:tcPr>
          <w:p w14:paraId="408D0C80" w14:textId="77777777" w:rsidR="00686657" w:rsidRDefault="00000000">
            <w:pPr>
              <w:jc w:val="center"/>
            </w:pPr>
            <w:r>
              <w:rPr>
                <w:b/>
                <w:bCs/>
                <w:color w:val="FFFFFF"/>
              </w:rPr>
              <w:t>TASK</w:t>
            </w:r>
          </w:p>
        </w:tc>
        <w:tc>
          <w:tcPr>
            <w:tcW w:w="7960" w:type="dxa"/>
            <w:tcBorders>
              <w:top w:val="single" w:sz="1" w:space="0" w:color="C5D8EC"/>
              <w:left w:val="single" w:sz="1" w:space="0" w:color="C5D8EC"/>
              <w:bottom w:val="single" w:sz="1" w:space="0" w:color="C5D8EC"/>
              <w:right w:val="single" w:sz="1" w:space="0" w:color="C5D8EC"/>
            </w:tcBorders>
            <w:shd w:val="clear" w:color="auto" w:fill="F0F7FF"/>
            <w:tcMar>
              <w:top w:w="100" w:type="dxa"/>
              <w:left w:w="180" w:type="dxa"/>
              <w:bottom w:w="100" w:type="dxa"/>
              <w:right w:w="120" w:type="dxa"/>
            </w:tcMar>
          </w:tcPr>
          <w:p w14:paraId="7E257379" w14:textId="77777777" w:rsidR="00686657" w:rsidRDefault="00000000">
            <w:r>
              <w:rPr>
                <w:color w:val="1A1A2E"/>
                <w:sz w:val="21"/>
                <w:szCs w:val="21"/>
              </w:rPr>
              <w:t>Identify months with negative MoM growth and determine whether dips reflect seasonal demand patterns or operational issues requiring intervention.</w:t>
            </w:r>
          </w:p>
        </w:tc>
      </w:tr>
    </w:tbl>
    <w:p w14:paraId="0FBD1E1A" w14:textId="77777777" w:rsidR="00686657" w:rsidRDefault="00686657">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686657" w14:paraId="74C2F289" w14:textId="77777777">
        <w:tblPrEx>
          <w:tblCellMar>
            <w:top w:w="0" w:type="dxa"/>
            <w:bottom w:w="0" w:type="dxa"/>
          </w:tblCellMar>
        </w:tblPrEx>
        <w:tc>
          <w:tcPr>
            <w:tcW w:w="1400" w:type="dxa"/>
            <w:tcBorders>
              <w:top w:val="single" w:sz="1" w:space="0" w:color="C5D8EC"/>
              <w:left w:val="single" w:sz="1" w:space="0" w:color="C5D8EC"/>
              <w:bottom w:val="single" w:sz="1" w:space="0" w:color="C5D8EC"/>
              <w:right w:val="single" w:sz="1" w:space="0" w:color="C5D8EC"/>
            </w:tcBorders>
            <w:shd w:val="clear" w:color="auto" w:fill="2E75B6"/>
            <w:tcMar>
              <w:top w:w="120" w:type="dxa"/>
              <w:left w:w="160" w:type="dxa"/>
              <w:bottom w:w="120" w:type="dxa"/>
              <w:right w:w="120" w:type="dxa"/>
            </w:tcMar>
            <w:vAlign w:val="center"/>
          </w:tcPr>
          <w:p w14:paraId="65387255" w14:textId="77777777" w:rsidR="00686657" w:rsidRDefault="00000000">
            <w:pPr>
              <w:jc w:val="center"/>
            </w:pPr>
            <w:r>
              <w:rPr>
                <w:b/>
                <w:bCs/>
                <w:color w:val="FFFFFF"/>
              </w:rPr>
              <w:t>ACTION</w:t>
            </w:r>
          </w:p>
        </w:tc>
        <w:tc>
          <w:tcPr>
            <w:tcW w:w="7960" w:type="dxa"/>
            <w:tcBorders>
              <w:top w:val="single" w:sz="1" w:space="0" w:color="C5D8EC"/>
              <w:left w:val="single" w:sz="1" w:space="0" w:color="C5D8EC"/>
              <w:bottom w:val="single" w:sz="1" w:space="0" w:color="C5D8EC"/>
              <w:right w:val="single" w:sz="1" w:space="0" w:color="C5D8EC"/>
            </w:tcBorders>
            <w:shd w:val="clear" w:color="auto" w:fill="F0F7FF"/>
            <w:tcMar>
              <w:top w:w="100" w:type="dxa"/>
              <w:left w:w="180" w:type="dxa"/>
              <w:bottom w:w="100" w:type="dxa"/>
              <w:right w:w="120" w:type="dxa"/>
            </w:tcMar>
          </w:tcPr>
          <w:p w14:paraId="41870B22" w14:textId="77777777" w:rsidR="00686657" w:rsidRDefault="00000000">
            <w:r>
              <w:rPr>
                <w:color w:val="1A1A2E"/>
                <w:sz w:val="21"/>
                <w:szCs w:val="21"/>
              </w:rPr>
              <w:t xml:space="preserve">SQL Insight 32 (MoM growth) was applied alongside Insight 6 (monthly orders and revenue). Month-over-month growth rates were computed using </w:t>
            </w:r>
            <w:proofErr w:type="gramStart"/>
            <w:r>
              <w:rPr>
                <w:color w:val="1A1A2E"/>
                <w:sz w:val="21"/>
                <w:szCs w:val="21"/>
              </w:rPr>
              <w:t>LAG(</w:t>
            </w:r>
            <w:proofErr w:type="gramEnd"/>
            <w:r>
              <w:rPr>
                <w:color w:val="1A1A2E"/>
                <w:sz w:val="21"/>
                <w:szCs w:val="21"/>
              </w:rPr>
              <w:t>) window functions partitioned by month to isolate growth acceleration and contraction periods.</w:t>
            </w:r>
          </w:p>
        </w:tc>
      </w:tr>
    </w:tbl>
    <w:p w14:paraId="75DF7424" w14:textId="77777777" w:rsidR="00686657" w:rsidRDefault="00686657">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686657" w14:paraId="3077F337" w14:textId="77777777">
        <w:tblPrEx>
          <w:tblCellMar>
            <w:top w:w="0" w:type="dxa"/>
            <w:bottom w:w="0" w:type="dxa"/>
          </w:tblCellMar>
        </w:tblPrEx>
        <w:tc>
          <w:tcPr>
            <w:tcW w:w="1400" w:type="dxa"/>
            <w:tcBorders>
              <w:top w:val="single" w:sz="1" w:space="0" w:color="C5D8EC"/>
              <w:left w:val="single" w:sz="1" w:space="0" w:color="C5D8EC"/>
              <w:bottom w:val="single" w:sz="1" w:space="0" w:color="C5D8EC"/>
              <w:right w:val="single" w:sz="1" w:space="0" w:color="C5D8EC"/>
            </w:tcBorders>
            <w:shd w:val="clear" w:color="auto" w:fill="2E75B6"/>
            <w:tcMar>
              <w:top w:w="120" w:type="dxa"/>
              <w:left w:w="160" w:type="dxa"/>
              <w:bottom w:w="120" w:type="dxa"/>
              <w:right w:w="120" w:type="dxa"/>
            </w:tcMar>
            <w:vAlign w:val="center"/>
          </w:tcPr>
          <w:p w14:paraId="18778B62" w14:textId="77777777" w:rsidR="00686657" w:rsidRDefault="00000000">
            <w:pPr>
              <w:jc w:val="center"/>
            </w:pPr>
            <w:r>
              <w:rPr>
                <w:b/>
                <w:bCs/>
                <w:color w:val="FFFFFF"/>
              </w:rPr>
              <w:t>RESULT</w:t>
            </w:r>
          </w:p>
        </w:tc>
        <w:tc>
          <w:tcPr>
            <w:tcW w:w="7960" w:type="dxa"/>
            <w:tcBorders>
              <w:top w:val="single" w:sz="1" w:space="0" w:color="C5D8EC"/>
              <w:left w:val="single" w:sz="1" w:space="0" w:color="C5D8EC"/>
              <w:bottom w:val="single" w:sz="1" w:space="0" w:color="C5D8EC"/>
              <w:right w:val="single" w:sz="1" w:space="0" w:color="C5D8EC"/>
            </w:tcBorders>
            <w:shd w:val="clear" w:color="auto" w:fill="F0F7FF"/>
            <w:tcMar>
              <w:top w:w="100" w:type="dxa"/>
              <w:left w:w="180" w:type="dxa"/>
              <w:bottom w:w="100" w:type="dxa"/>
              <w:right w:w="120" w:type="dxa"/>
            </w:tcMar>
          </w:tcPr>
          <w:p w14:paraId="3D2ADD48" w14:textId="77777777" w:rsidR="00686657" w:rsidRDefault="00000000">
            <w:r>
              <w:rPr>
                <w:color w:val="1A1A2E"/>
                <w:sz w:val="21"/>
                <w:szCs w:val="21"/>
              </w:rPr>
              <w:t>November peaked at ₹72L in revenue with 21.8% MoM growth — the highest single-month gain. May and September showed negative MoM growth of -4.9% and -12.7% respectively. These are candidate months for flash sale campaigns and targeted marketing pushes to recover lost momentum.</w:t>
            </w:r>
          </w:p>
        </w:tc>
      </w:tr>
    </w:tbl>
    <w:p w14:paraId="04BA5994" w14:textId="77777777" w:rsidR="00686657" w:rsidRDefault="00686657">
      <w:pPr>
        <w:spacing w:before="120" w:after="60"/>
      </w:pPr>
    </w:p>
    <w:p w14:paraId="7C0B3903" w14:textId="77777777" w:rsidR="00686657" w:rsidRDefault="00000000">
      <w:pPr>
        <w:pStyle w:val="Heading2"/>
        <w:pBdr>
          <w:bottom w:val="single" w:sz="4" w:space="2" w:color="2E75B6"/>
        </w:pBdr>
      </w:pPr>
      <w:r>
        <w:t>STAR Insight 2 — Payment Method Revenue Contribution</w:t>
      </w:r>
    </w:p>
    <w:p w14:paraId="55971569" w14:textId="77777777" w:rsidR="00686657" w:rsidRDefault="00686657">
      <w:pPr>
        <w:spacing w:before="4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6"/>
        <w:gridCol w:w="7894"/>
      </w:tblGrid>
      <w:tr w:rsidR="00686657" w14:paraId="029413DD" w14:textId="77777777">
        <w:tblPrEx>
          <w:tblCellMar>
            <w:top w:w="0" w:type="dxa"/>
            <w:bottom w:w="0" w:type="dxa"/>
          </w:tblCellMar>
        </w:tblPrEx>
        <w:tc>
          <w:tcPr>
            <w:tcW w:w="1400" w:type="dxa"/>
            <w:tcBorders>
              <w:top w:val="single" w:sz="1" w:space="0" w:color="C5D8EC"/>
              <w:left w:val="single" w:sz="1" w:space="0" w:color="C5D8EC"/>
              <w:bottom w:val="single" w:sz="1" w:space="0" w:color="C5D8EC"/>
              <w:right w:val="single" w:sz="1" w:space="0" w:color="C5D8EC"/>
            </w:tcBorders>
            <w:shd w:val="clear" w:color="auto" w:fill="2E75B6"/>
            <w:tcMar>
              <w:top w:w="120" w:type="dxa"/>
              <w:left w:w="160" w:type="dxa"/>
              <w:bottom w:w="120" w:type="dxa"/>
              <w:right w:w="120" w:type="dxa"/>
            </w:tcMar>
            <w:vAlign w:val="center"/>
          </w:tcPr>
          <w:p w14:paraId="201D3796" w14:textId="77777777" w:rsidR="00686657" w:rsidRDefault="00000000">
            <w:pPr>
              <w:jc w:val="center"/>
            </w:pPr>
            <w:r>
              <w:rPr>
                <w:b/>
                <w:bCs/>
                <w:color w:val="FFFFFF"/>
              </w:rPr>
              <w:t>SITUATION</w:t>
            </w:r>
          </w:p>
        </w:tc>
        <w:tc>
          <w:tcPr>
            <w:tcW w:w="7960" w:type="dxa"/>
            <w:tcBorders>
              <w:top w:val="single" w:sz="1" w:space="0" w:color="C5D8EC"/>
              <w:left w:val="single" w:sz="1" w:space="0" w:color="C5D8EC"/>
              <w:bottom w:val="single" w:sz="1" w:space="0" w:color="C5D8EC"/>
              <w:right w:val="single" w:sz="1" w:space="0" w:color="C5D8EC"/>
            </w:tcBorders>
            <w:shd w:val="clear" w:color="auto" w:fill="F0F7FF"/>
            <w:tcMar>
              <w:top w:w="100" w:type="dxa"/>
              <w:left w:w="180" w:type="dxa"/>
              <w:bottom w:w="100" w:type="dxa"/>
              <w:right w:w="120" w:type="dxa"/>
            </w:tcMar>
          </w:tcPr>
          <w:p w14:paraId="1BEA3230" w14:textId="77777777" w:rsidR="00686657" w:rsidRDefault="00000000">
            <w:r>
              <w:rPr>
                <w:color w:val="1A1A2E"/>
                <w:sz w:val="21"/>
                <w:szCs w:val="21"/>
              </w:rPr>
              <w:t>Five payment methods are active: UPI, Credit Card, Debit Card, Net Banking, and Wallet. Revenue concentration across methods directly affects checkout conversion and payment gateway cost optimisation.</w:t>
            </w:r>
          </w:p>
        </w:tc>
      </w:tr>
    </w:tbl>
    <w:p w14:paraId="05CAB026" w14:textId="77777777" w:rsidR="00686657" w:rsidRDefault="00686657">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686657" w14:paraId="485E4460" w14:textId="77777777">
        <w:tblPrEx>
          <w:tblCellMar>
            <w:top w:w="0" w:type="dxa"/>
            <w:bottom w:w="0" w:type="dxa"/>
          </w:tblCellMar>
        </w:tblPrEx>
        <w:tc>
          <w:tcPr>
            <w:tcW w:w="1400" w:type="dxa"/>
            <w:tcBorders>
              <w:top w:val="single" w:sz="1" w:space="0" w:color="C5D8EC"/>
              <w:left w:val="single" w:sz="1" w:space="0" w:color="C5D8EC"/>
              <w:bottom w:val="single" w:sz="1" w:space="0" w:color="C5D8EC"/>
              <w:right w:val="single" w:sz="1" w:space="0" w:color="C5D8EC"/>
            </w:tcBorders>
            <w:shd w:val="clear" w:color="auto" w:fill="2E75B6"/>
            <w:tcMar>
              <w:top w:w="120" w:type="dxa"/>
              <w:left w:w="160" w:type="dxa"/>
              <w:bottom w:w="120" w:type="dxa"/>
              <w:right w:w="120" w:type="dxa"/>
            </w:tcMar>
            <w:vAlign w:val="center"/>
          </w:tcPr>
          <w:p w14:paraId="4BD45163" w14:textId="77777777" w:rsidR="00686657" w:rsidRDefault="00000000">
            <w:pPr>
              <w:jc w:val="center"/>
            </w:pPr>
            <w:r>
              <w:rPr>
                <w:b/>
                <w:bCs/>
                <w:color w:val="FFFFFF"/>
              </w:rPr>
              <w:t>TASK</w:t>
            </w:r>
          </w:p>
        </w:tc>
        <w:tc>
          <w:tcPr>
            <w:tcW w:w="7960" w:type="dxa"/>
            <w:tcBorders>
              <w:top w:val="single" w:sz="1" w:space="0" w:color="C5D8EC"/>
              <w:left w:val="single" w:sz="1" w:space="0" w:color="C5D8EC"/>
              <w:bottom w:val="single" w:sz="1" w:space="0" w:color="C5D8EC"/>
              <w:right w:val="single" w:sz="1" w:space="0" w:color="C5D8EC"/>
            </w:tcBorders>
            <w:shd w:val="clear" w:color="auto" w:fill="F0F7FF"/>
            <w:tcMar>
              <w:top w:w="100" w:type="dxa"/>
              <w:left w:w="180" w:type="dxa"/>
              <w:bottom w:w="100" w:type="dxa"/>
              <w:right w:w="120" w:type="dxa"/>
            </w:tcMar>
          </w:tcPr>
          <w:p w14:paraId="2B431A8C" w14:textId="77777777" w:rsidR="00686657" w:rsidRDefault="00000000">
            <w:r>
              <w:rPr>
                <w:color w:val="1A1A2E"/>
                <w:sz w:val="21"/>
                <w:szCs w:val="21"/>
              </w:rPr>
              <w:t>Rank payment methods by revenue contribution and identify which channels the business should prioritise for offer campaigns or checkout UI optimisation.</w:t>
            </w:r>
          </w:p>
        </w:tc>
      </w:tr>
    </w:tbl>
    <w:p w14:paraId="6371F6B5" w14:textId="77777777" w:rsidR="00686657" w:rsidRDefault="00686657">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686657" w14:paraId="4E23F765" w14:textId="77777777">
        <w:tblPrEx>
          <w:tblCellMar>
            <w:top w:w="0" w:type="dxa"/>
            <w:bottom w:w="0" w:type="dxa"/>
          </w:tblCellMar>
        </w:tblPrEx>
        <w:tc>
          <w:tcPr>
            <w:tcW w:w="1400" w:type="dxa"/>
            <w:tcBorders>
              <w:top w:val="single" w:sz="1" w:space="0" w:color="C5D8EC"/>
              <w:left w:val="single" w:sz="1" w:space="0" w:color="C5D8EC"/>
              <w:bottom w:val="single" w:sz="1" w:space="0" w:color="C5D8EC"/>
              <w:right w:val="single" w:sz="1" w:space="0" w:color="C5D8EC"/>
            </w:tcBorders>
            <w:shd w:val="clear" w:color="auto" w:fill="2E75B6"/>
            <w:tcMar>
              <w:top w:w="120" w:type="dxa"/>
              <w:left w:w="160" w:type="dxa"/>
              <w:bottom w:w="120" w:type="dxa"/>
              <w:right w:w="120" w:type="dxa"/>
            </w:tcMar>
            <w:vAlign w:val="center"/>
          </w:tcPr>
          <w:p w14:paraId="261263CF" w14:textId="77777777" w:rsidR="00686657" w:rsidRDefault="00000000">
            <w:pPr>
              <w:jc w:val="center"/>
            </w:pPr>
            <w:r>
              <w:rPr>
                <w:b/>
                <w:bCs/>
                <w:color w:val="FFFFFF"/>
              </w:rPr>
              <w:t>ACTION</w:t>
            </w:r>
          </w:p>
        </w:tc>
        <w:tc>
          <w:tcPr>
            <w:tcW w:w="7960" w:type="dxa"/>
            <w:tcBorders>
              <w:top w:val="single" w:sz="1" w:space="0" w:color="C5D8EC"/>
              <w:left w:val="single" w:sz="1" w:space="0" w:color="C5D8EC"/>
              <w:bottom w:val="single" w:sz="1" w:space="0" w:color="C5D8EC"/>
              <w:right w:val="single" w:sz="1" w:space="0" w:color="C5D8EC"/>
            </w:tcBorders>
            <w:shd w:val="clear" w:color="auto" w:fill="F0F7FF"/>
            <w:tcMar>
              <w:top w:w="100" w:type="dxa"/>
              <w:left w:w="180" w:type="dxa"/>
              <w:bottom w:w="100" w:type="dxa"/>
              <w:right w:w="120" w:type="dxa"/>
            </w:tcMar>
          </w:tcPr>
          <w:p w14:paraId="2A8BBED0" w14:textId="3CBBA91F" w:rsidR="00686657" w:rsidRDefault="00000000">
            <w:r>
              <w:rPr>
                <w:color w:val="1A1A2E"/>
                <w:sz w:val="21"/>
                <w:szCs w:val="21"/>
              </w:rPr>
              <w:t xml:space="preserve">SQL Insight 8 groups </w:t>
            </w:r>
            <w:r w:rsidR="00B51118">
              <w:rPr>
                <w:color w:val="1A1A2E"/>
                <w:sz w:val="21"/>
                <w:szCs w:val="21"/>
              </w:rPr>
              <w:t>order total</w:t>
            </w:r>
            <w:r>
              <w:rPr>
                <w:color w:val="1A1A2E"/>
                <w:sz w:val="21"/>
                <w:szCs w:val="21"/>
              </w:rPr>
              <w:t xml:space="preserve"> by </w:t>
            </w:r>
            <w:r w:rsidR="00B51118">
              <w:rPr>
                <w:color w:val="1A1A2E"/>
                <w:sz w:val="21"/>
                <w:szCs w:val="21"/>
              </w:rPr>
              <w:t>payment method</w:t>
            </w:r>
            <w:r>
              <w:rPr>
                <w:color w:val="1A1A2E"/>
                <w:sz w:val="21"/>
                <w:szCs w:val="21"/>
              </w:rPr>
              <w:t xml:space="preserve"> and ranks by </w:t>
            </w:r>
            <w:r w:rsidR="00B51118">
              <w:rPr>
                <w:color w:val="1A1A2E"/>
                <w:sz w:val="21"/>
                <w:szCs w:val="21"/>
              </w:rPr>
              <w:t>total revenue</w:t>
            </w:r>
            <w:r>
              <w:rPr>
                <w:color w:val="1A1A2E"/>
                <w:sz w:val="21"/>
                <w:szCs w:val="21"/>
              </w:rPr>
              <w:t xml:space="preserve"> DESC. This surfaces the dominant channel without needing transaction-level data.</w:t>
            </w:r>
          </w:p>
        </w:tc>
      </w:tr>
    </w:tbl>
    <w:p w14:paraId="54D6C29E" w14:textId="77777777" w:rsidR="00686657" w:rsidRDefault="00686657">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686657" w14:paraId="4AF76F44" w14:textId="77777777">
        <w:tblPrEx>
          <w:tblCellMar>
            <w:top w:w="0" w:type="dxa"/>
            <w:bottom w:w="0" w:type="dxa"/>
          </w:tblCellMar>
        </w:tblPrEx>
        <w:tc>
          <w:tcPr>
            <w:tcW w:w="1400" w:type="dxa"/>
            <w:tcBorders>
              <w:top w:val="single" w:sz="1" w:space="0" w:color="C5D8EC"/>
              <w:left w:val="single" w:sz="1" w:space="0" w:color="C5D8EC"/>
              <w:bottom w:val="single" w:sz="1" w:space="0" w:color="C5D8EC"/>
              <w:right w:val="single" w:sz="1" w:space="0" w:color="C5D8EC"/>
            </w:tcBorders>
            <w:shd w:val="clear" w:color="auto" w:fill="2E75B6"/>
            <w:tcMar>
              <w:top w:w="120" w:type="dxa"/>
              <w:left w:w="160" w:type="dxa"/>
              <w:bottom w:w="120" w:type="dxa"/>
              <w:right w:w="120" w:type="dxa"/>
            </w:tcMar>
            <w:vAlign w:val="center"/>
          </w:tcPr>
          <w:p w14:paraId="4DF51AF0" w14:textId="77777777" w:rsidR="00686657" w:rsidRDefault="00000000">
            <w:pPr>
              <w:jc w:val="center"/>
            </w:pPr>
            <w:r>
              <w:rPr>
                <w:b/>
                <w:bCs/>
                <w:color w:val="FFFFFF"/>
              </w:rPr>
              <w:lastRenderedPageBreak/>
              <w:t>RESULT</w:t>
            </w:r>
          </w:p>
        </w:tc>
        <w:tc>
          <w:tcPr>
            <w:tcW w:w="7960" w:type="dxa"/>
            <w:tcBorders>
              <w:top w:val="single" w:sz="1" w:space="0" w:color="C5D8EC"/>
              <w:left w:val="single" w:sz="1" w:space="0" w:color="C5D8EC"/>
              <w:bottom w:val="single" w:sz="1" w:space="0" w:color="C5D8EC"/>
              <w:right w:val="single" w:sz="1" w:space="0" w:color="C5D8EC"/>
            </w:tcBorders>
            <w:shd w:val="clear" w:color="auto" w:fill="F0F7FF"/>
            <w:tcMar>
              <w:top w:w="100" w:type="dxa"/>
              <w:left w:w="180" w:type="dxa"/>
              <w:bottom w:w="100" w:type="dxa"/>
              <w:right w:w="120" w:type="dxa"/>
            </w:tcMar>
          </w:tcPr>
          <w:p w14:paraId="4F174679" w14:textId="77777777" w:rsidR="00686657" w:rsidRDefault="00000000">
            <w:r>
              <w:rPr>
                <w:color w:val="1A1A2E"/>
                <w:sz w:val="21"/>
                <w:szCs w:val="21"/>
              </w:rPr>
              <w:t>UPI leads with 38% of total revenue, followed by Credit Card at 27% and Debit Card at 18%. Wallet contributes just 6%, representing an opportunity to drive adoption through cashback incentives. Net Banking at 11% suggests a B2B or high-ticket customer segment worth nurturing separately.</w:t>
            </w:r>
          </w:p>
        </w:tc>
      </w:tr>
    </w:tbl>
    <w:p w14:paraId="11745F58" w14:textId="77777777" w:rsidR="00686657" w:rsidRDefault="00686657">
      <w:pPr>
        <w:spacing w:before="120" w:after="60"/>
      </w:pPr>
    </w:p>
    <w:p w14:paraId="387A6C11" w14:textId="77777777" w:rsidR="00686657" w:rsidRDefault="00000000">
      <w:pPr>
        <w:pStyle w:val="Heading2"/>
        <w:pBdr>
          <w:bottom w:val="single" w:sz="4" w:space="2" w:color="2E75B6"/>
        </w:pBdr>
      </w:pPr>
      <w:r>
        <w:t>STAR Insight 3 — Geographic Revenue Concentration</w:t>
      </w:r>
    </w:p>
    <w:p w14:paraId="4B908B63" w14:textId="77777777" w:rsidR="00686657" w:rsidRDefault="00686657">
      <w:pPr>
        <w:spacing w:before="4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6"/>
        <w:gridCol w:w="7894"/>
      </w:tblGrid>
      <w:tr w:rsidR="00686657" w14:paraId="23D8E872" w14:textId="77777777">
        <w:tblPrEx>
          <w:tblCellMar>
            <w:top w:w="0" w:type="dxa"/>
            <w:bottom w:w="0" w:type="dxa"/>
          </w:tblCellMar>
        </w:tblPrEx>
        <w:tc>
          <w:tcPr>
            <w:tcW w:w="1400" w:type="dxa"/>
            <w:tcBorders>
              <w:top w:val="single" w:sz="1" w:space="0" w:color="C5D8EC"/>
              <w:left w:val="single" w:sz="1" w:space="0" w:color="C5D8EC"/>
              <w:bottom w:val="single" w:sz="1" w:space="0" w:color="C5D8EC"/>
              <w:right w:val="single" w:sz="1" w:space="0" w:color="C5D8EC"/>
            </w:tcBorders>
            <w:shd w:val="clear" w:color="auto" w:fill="2E75B6"/>
            <w:tcMar>
              <w:top w:w="120" w:type="dxa"/>
              <w:left w:w="160" w:type="dxa"/>
              <w:bottom w:w="120" w:type="dxa"/>
              <w:right w:w="120" w:type="dxa"/>
            </w:tcMar>
            <w:vAlign w:val="center"/>
          </w:tcPr>
          <w:p w14:paraId="03402C2F" w14:textId="77777777" w:rsidR="00686657" w:rsidRDefault="00000000">
            <w:pPr>
              <w:jc w:val="center"/>
            </w:pPr>
            <w:r>
              <w:rPr>
                <w:b/>
                <w:bCs/>
                <w:color w:val="FFFFFF"/>
              </w:rPr>
              <w:t>SITUATION</w:t>
            </w:r>
          </w:p>
        </w:tc>
        <w:tc>
          <w:tcPr>
            <w:tcW w:w="7960" w:type="dxa"/>
            <w:tcBorders>
              <w:top w:val="single" w:sz="1" w:space="0" w:color="C5D8EC"/>
              <w:left w:val="single" w:sz="1" w:space="0" w:color="C5D8EC"/>
              <w:bottom w:val="single" w:sz="1" w:space="0" w:color="C5D8EC"/>
              <w:right w:val="single" w:sz="1" w:space="0" w:color="C5D8EC"/>
            </w:tcBorders>
            <w:shd w:val="clear" w:color="auto" w:fill="F0F7FF"/>
            <w:tcMar>
              <w:top w:w="100" w:type="dxa"/>
              <w:left w:w="180" w:type="dxa"/>
              <w:bottom w:w="100" w:type="dxa"/>
              <w:right w:w="120" w:type="dxa"/>
            </w:tcMar>
          </w:tcPr>
          <w:p w14:paraId="4FEBCB09" w14:textId="77777777" w:rsidR="00686657" w:rsidRDefault="00000000">
            <w:r>
              <w:rPr>
                <w:color w:val="1A1A2E"/>
                <w:sz w:val="21"/>
                <w:szCs w:val="21"/>
              </w:rPr>
              <w:t>Revenue and order volume are distributed unevenly across Indian states and cities. Top markets absorb disproportionate marketing spend while tier-2 cities may be under-invested.</w:t>
            </w:r>
          </w:p>
        </w:tc>
      </w:tr>
    </w:tbl>
    <w:p w14:paraId="535A3587" w14:textId="77777777" w:rsidR="00686657" w:rsidRDefault="00686657">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686657" w14:paraId="3CD2E335" w14:textId="77777777">
        <w:tblPrEx>
          <w:tblCellMar>
            <w:top w:w="0" w:type="dxa"/>
            <w:bottom w:w="0" w:type="dxa"/>
          </w:tblCellMar>
        </w:tblPrEx>
        <w:tc>
          <w:tcPr>
            <w:tcW w:w="1400" w:type="dxa"/>
            <w:tcBorders>
              <w:top w:val="single" w:sz="1" w:space="0" w:color="C5D8EC"/>
              <w:left w:val="single" w:sz="1" w:space="0" w:color="C5D8EC"/>
              <w:bottom w:val="single" w:sz="1" w:space="0" w:color="C5D8EC"/>
              <w:right w:val="single" w:sz="1" w:space="0" w:color="C5D8EC"/>
            </w:tcBorders>
            <w:shd w:val="clear" w:color="auto" w:fill="2E75B6"/>
            <w:tcMar>
              <w:top w:w="120" w:type="dxa"/>
              <w:left w:w="160" w:type="dxa"/>
              <w:bottom w:w="120" w:type="dxa"/>
              <w:right w:w="120" w:type="dxa"/>
            </w:tcMar>
            <w:vAlign w:val="center"/>
          </w:tcPr>
          <w:p w14:paraId="46C46D42" w14:textId="77777777" w:rsidR="00686657" w:rsidRDefault="00000000">
            <w:pPr>
              <w:jc w:val="center"/>
            </w:pPr>
            <w:r>
              <w:rPr>
                <w:b/>
                <w:bCs/>
                <w:color w:val="FFFFFF"/>
              </w:rPr>
              <w:t>TASK</w:t>
            </w:r>
          </w:p>
        </w:tc>
        <w:tc>
          <w:tcPr>
            <w:tcW w:w="7960" w:type="dxa"/>
            <w:tcBorders>
              <w:top w:val="single" w:sz="1" w:space="0" w:color="C5D8EC"/>
              <w:left w:val="single" w:sz="1" w:space="0" w:color="C5D8EC"/>
              <w:bottom w:val="single" w:sz="1" w:space="0" w:color="C5D8EC"/>
              <w:right w:val="single" w:sz="1" w:space="0" w:color="C5D8EC"/>
            </w:tcBorders>
            <w:shd w:val="clear" w:color="auto" w:fill="F0F7FF"/>
            <w:tcMar>
              <w:top w:w="100" w:type="dxa"/>
              <w:left w:w="180" w:type="dxa"/>
              <w:bottom w:w="100" w:type="dxa"/>
              <w:right w:w="120" w:type="dxa"/>
            </w:tcMar>
          </w:tcPr>
          <w:p w14:paraId="78A0686C" w14:textId="77777777" w:rsidR="00686657" w:rsidRDefault="00000000">
            <w:r>
              <w:rPr>
                <w:color w:val="1A1A2E"/>
                <w:sz w:val="21"/>
                <w:szCs w:val="21"/>
              </w:rPr>
              <w:t>Identify the top revenue-generating cities and states to prioritise logistics capacity, last-mile investment, and localised marketing budgets.</w:t>
            </w:r>
          </w:p>
        </w:tc>
      </w:tr>
    </w:tbl>
    <w:p w14:paraId="0163385B" w14:textId="77777777" w:rsidR="00686657" w:rsidRDefault="00686657">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686657" w14:paraId="55C7972C" w14:textId="77777777">
        <w:tblPrEx>
          <w:tblCellMar>
            <w:top w:w="0" w:type="dxa"/>
            <w:bottom w:w="0" w:type="dxa"/>
          </w:tblCellMar>
        </w:tblPrEx>
        <w:tc>
          <w:tcPr>
            <w:tcW w:w="1400" w:type="dxa"/>
            <w:tcBorders>
              <w:top w:val="single" w:sz="1" w:space="0" w:color="C5D8EC"/>
              <w:left w:val="single" w:sz="1" w:space="0" w:color="C5D8EC"/>
              <w:bottom w:val="single" w:sz="1" w:space="0" w:color="C5D8EC"/>
              <w:right w:val="single" w:sz="1" w:space="0" w:color="C5D8EC"/>
            </w:tcBorders>
            <w:shd w:val="clear" w:color="auto" w:fill="2E75B6"/>
            <w:tcMar>
              <w:top w:w="120" w:type="dxa"/>
              <w:left w:w="160" w:type="dxa"/>
              <w:bottom w:w="120" w:type="dxa"/>
              <w:right w:w="120" w:type="dxa"/>
            </w:tcMar>
            <w:vAlign w:val="center"/>
          </w:tcPr>
          <w:p w14:paraId="5675B534" w14:textId="77777777" w:rsidR="00686657" w:rsidRDefault="00000000">
            <w:pPr>
              <w:jc w:val="center"/>
            </w:pPr>
            <w:r>
              <w:rPr>
                <w:b/>
                <w:bCs/>
                <w:color w:val="FFFFFF"/>
              </w:rPr>
              <w:t>ACTION</w:t>
            </w:r>
          </w:p>
        </w:tc>
        <w:tc>
          <w:tcPr>
            <w:tcW w:w="7960" w:type="dxa"/>
            <w:tcBorders>
              <w:top w:val="single" w:sz="1" w:space="0" w:color="C5D8EC"/>
              <w:left w:val="single" w:sz="1" w:space="0" w:color="C5D8EC"/>
              <w:bottom w:val="single" w:sz="1" w:space="0" w:color="C5D8EC"/>
              <w:right w:val="single" w:sz="1" w:space="0" w:color="C5D8EC"/>
            </w:tcBorders>
            <w:shd w:val="clear" w:color="auto" w:fill="F0F7FF"/>
            <w:tcMar>
              <w:top w:w="100" w:type="dxa"/>
              <w:left w:w="180" w:type="dxa"/>
              <w:bottom w:w="100" w:type="dxa"/>
              <w:right w:w="120" w:type="dxa"/>
            </w:tcMar>
          </w:tcPr>
          <w:p w14:paraId="7CB563EE" w14:textId="77777777" w:rsidR="00686657" w:rsidRDefault="00000000">
            <w:r>
              <w:rPr>
                <w:color w:val="1A1A2E"/>
                <w:sz w:val="21"/>
                <w:szCs w:val="21"/>
              </w:rPr>
              <w:t xml:space="preserve">SQL Insights 9 and 43 compute city-wise and state-wise revenue using </w:t>
            </w:r>
            <w:proofErr w:type="gramStart"/>
            <w:r>
              <w:rPr>
                <w:color w:val="1A1A2E"/>
                <w:sz w:val="21"/>
                <w:szCs w:val="21"/>
              </w:rPr>
              <w:t>SUM(</w:t>
            </w:r>
            <w:proofErr w:type="spellStart"/>
            <w:proofErr w:type="gramEnd"/>
            <w:r>
              <w:rPr>
                <w:color w:val="1A1A2E"/>
                <w:sz w:val="21"/>
                <w:szCs w:val="21"/>
              </w:rPr>
              <w:t>order_total</w:t>
            </w:r>
            <w:proofErr w:type="spellEnd"/>
            <w:r>
              <w:rPr>
                <w:color w:val="1A1A2E"/>
                <w:sz w:val="21"/>
                <w:szCs w:val="21"/>
              </w:rPr>
              <w:t xml:space="preserve">) GROUP BY </w:t>
            </w:r>
            <w:proofErr w:type="spellStart"/>
            <w:r>
              <w:rPr>
                <w:color w:val="1A1A2E"/>
                <w:sz w:val="21"/>
                <w:szCs w:val="21"/>
              </w:rPr>
              <w:t>shipping_city</w:t>
            </w:r>
            <w:proofErr w:type="spellEnd"/>
            <w:r>
              <w:rPr>
                <w:color w:val="1A1A2E"/>
                <w:sz w:val="21"/>
                <w:szCs w:val="21"/>
              </w:rPr>
              <w:t>/</w:t>
            </w:r>
            <w:proofErr w:type="spellStart"/>
            <w:r>
              <w:rPr>
                <w:color w:val="1A1A2E"/>
                <w:sz w:val="21"/>
                <w:szCs w:val="21"/>
              </w:rPr>
              <w:t>shipping_state</w:t>
            </w:r>
            <w:proofErr w:type="spellEnd"/>
            <w:r>
              <w:rPr>
                <w:color w:val="1A1A2E"/>
                <w:sz w:val="21"/>
                <w:szCs w:val="21"/>
              </w:rPr>
              <w:t>. Top 5 cities and top 6 states are ranked by revenue DESC.</w:t>
            </w:r>
          </w:p>
        </w:tc>
      </w:tr>
    </w:tbl>
    <w:p w14:paraId="64FF5A9C" w14:textId="77777777" w:rsidR="00686657" w:rsidRDefault="00686657">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686657" w14:paraId="57F13907" w14:textId="77777777">
        <w:tblPrEx>
          <w:tblCellMar>
            <w:top w:w="0" w:type="dxa"/>
            <w:bottom w:w="0" w:type="dxa"/>
          </w:tblCellMar>
        </w:tblPrEx>
        <w:tc>
          <w:tcPr>
            <w:tcW w:w="1400" w:type="dxa"/>
            <w:tcBorders>
              <w:top w:val="single" w:sz="1" w:space="0" w:color="C5D8EC"/>
              <w:left w:val="single" w:sz="1" w:space="0" w:color="C5D8EC"/>
              <w:bottom w:val="single" w:sz="1" w:space="0" w:color="C5D8EC"/>
              <w:right w:val="single" w:sz="1" w:space="0" w:color="C5D8EC"/>
            </w:tcBorders>
            <w:shd w:val="clear" w:color="auto" w:fill="2E75B6"/>
            <w:tcMar>
              <w:top w:w="120" w:type="dxa"/>
              <w:left w:w="160" w:type="dxa"/>
              <w:bottom w:w="120" w:type="dxa"/>
              <w:right w:w="120" w:type="dxa"/>
            </w:tcMar>
            <w:vAlign w:val="center"/>
          </w:tcPr>
          <w:p w14:paraId="3343F488" w14:textId="77777777" w:rsidR="00686657" w:rsidRDefault="00000000">
            <w:pPr>
              <w:jc w:val="center"/>
            </w:pPr>
            <w:r>
              <w:rPr>
                <w:b/>
                <w:bCs/>
                <w:color w:val="FFFFFF"/>
              </w:rPr>
              <w:t>RESULT</w:t>
            </w:r>
          </w:p>
        </w:tc>
        <w:tc>
          <w:tcPr>
            <w:tcW w:w="7960" w:type="dxa"/>
            <w:tcBorders>
              <w:top w:val="single" w:sz="1" w:space="0" w:color="C5D8EC"/>
              <w:left w:val="single" w:sz="1" w:space="0" w:color="C5D8EC"/>
              <w:bottom w:val="single" w:sz="1" w:space="0" w:color="C5D8EC"/>
              <w:right w:val="single" w:sz="1" w:space="0" w:color="C5D8EC"/>
            </w:tcBorders>
            <w:shd w:val="clear" w:color="auto" w:fill="F0F7FF"/>
            <w:tcMar>
              <w:top w:w="100" w:type="dxa"/>
              <w:left w:w="180" w:type="dxa"/>
              <w:bottom w:w="100" w:type="dxa"/>
              <w:right w:w="120" w:type="dxa"/>
            </w:tcMar>
          </w:tcPr>
          <w:p w14:paraId="5108C16C" w14:textId="77777777" w:rsidR="00686657" w:rsidRDefault="00000000">
            <w:r>
              <w:rPr>
                <w:color w:val="1A1A2E"/>
                <w:sz w:val="21"/>
                <w:szCs w:val="21"/>
              </w:rPr>
              <w:t>Mumbai (₹8.4M), Delhi (₹7.1M), and Bangalore (₹6.2M) account for ∼45% of city revenue. Maharashtra leads state revenue at ₹11.2M with 2,840 orders. States like Gujarat and Telangana show strong orders-to-revenue ratios, suggesting higher AOV customers worth targeted premium campaigns.</w:t>
            </w:r>
          </w:p>
        </w:tc>
      </w:tr>
    </w:tbl>
    <w:p w14:paraId="5C25B7DA" w14:textId="77777777" w:rsidR="00686657" w:rsidRDefault="00686657">
      <w:pPr>
        <w:spacing w:before="120" w:after="60"/>
      </w:pPr>
    </w:p>
    <w:p w14:paraId="2E0B1F22" w14:textId="77777777" w:rsidR="00686657" w:rsidRDefault="00000000">
      <w:pPr>
        <w:pStyle w:val="Heading2"/>
        <w:pBdr>
          <w:bottom w:val="single" w:sz="4" w:space="2" w:color="2E75B6"/>
        </w:pBdr>
      </w:pPr>
      <w:r>
        <w:t>STAR Insight 4 — Peak Ordering Hours &amp; Demand Timing</w:t>
      </w:r>
    </w:p>
    <w:p w14:paraId="7BB61545" w14:textId="77777777" w:rsidR="00686657" w:rsidRDefault="00686657">
      <w:pPr>
        <w:spacing w:before="4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6"/>
        <w:gridCol w:w="7894"/>
      </w:tblGrid>
      <w:tr w:rsidR="00686657" w14:paraId="40B0172E" w14:textId="77777777">
        <w:tblPrEx>
          <w:tblCellMar>
            <w:top w:w="0" w:type="dxa"/>
            <w:bottom w:w="0" w:type="dxa"/>
          </w:tblCellMar>
        </w:tblPrEx>
        <w:tc>
          <w:tcPr>
            <w:tcW w:w="1400" w:type="dxa"/>
            <w:tcBorders>
              <w:top w:val="single" w:sz="1" w:space="0" w:color="C5D8EC"/>
              <w:left w:val="single" w:sz="1" w:space="0" w:color="C5D8EC"/>
              <w:bottom w:val="single" w:sz="1" w:space="0" w:color="C5D8EC"/>
              <w:right w:val="single" w:sz="1" w:space="0" w:color="C5D8EC"/>
            </w:tcBorders>
            <w:shd w:val="clear" w:color="auto" w:fill="2E75B6"/>
            <w:tcMar>
              <w:top w:w="120" w:type="dxa"/>
              <w:left w:w="160" w:type="dxa"/>
              <w:bottom w:w="120" w:type="dxa"/>
              <w:right w:w="120" w:type="dxa"/>
            </w:tcMar>
            <w:vAlign w:val="center"/>
          </w:tcPr>
          <w:p w14:paraId="135AE192" w14:textId="77777777" w:rsidR="00686657" w:rsidRDefault="00000000">
            <w:pPr>
              <w:jc w:val="center"/>
            </w:pPr>
            <w:r>
              <w:rPr>
                <w:b/>
                <w:bCs/>
                <w:color w:val="FFFFFF"/>
              </w:rPr>
              <w:t>SITUATION</w:t>
            </w:r>
          </w:p>
        </w:tc>
        <w:tc>
          <w:tcPr>
            <w:tcW w:w="7960" w:type="dxa"/>
            <w:tcBorders>
              <w:top w:val="single" w:sz="1" w:space="0" w:color="C5D8EC"/>
              <w:left w:val="single" w:sz="1" w:space="0" w:color="C5D8EC"/>
              <w:bottom w:val="single" w:sz="1" w:space="0" w:color="C5D8EC"/>
              <w:right w:val="single" w:sz="1" w:space="0" w:color="C5D8EC"/>
            </w:tcBorders>
            <w:shd w:val="clear" w:color="auto" w:fill="F0F7FF"/>
            <w:tcMar>
              <w:top w:w="100" w:type="dxa"/>
              <w:left w:w="180" w:type="dxa"/>
              <w:bottom w:w="100" w:type="dxa"/>
              <w:right w:w="120" w:type="dxa"/>
            </w:tcMar>
          </w:tcPr>
          <w:p w14:paraId="208C47ED" w14:textId="77777777" w:rsidR="00686657" w:rsidRDefault="00000000">
            <w:r>
              <w:rPr>
                <w:color w:val="1A1A2E"/>
                <w:sz w:val="21"/>
                <w:szCs w:val="21"/>
              </w:rPr>
              <w:t>Order volume is not uniformly distributed across 24 hours. Misjudging peak windows leads to server downtime during high-traffic periods and wasted ad spend outside active buying windows.</w:t>
            </w:r>
          </w:p>
        </w:tc>
      </w:tr>
    </w:tbl>
    <w:p w14:paraId="3E760F83" w14:textId="77777777" w:rsidR="00686657" w:rsidRDefault="00686657">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686657" w14:paraId="43B6E82F" w14:textId="77777777">
        <w:tblPrEx>
          <w:tblCellMar>
            <w:top w:w="0" w:type="dxa"/>
            <w:bottom w:w="0" w:type="dxa"/>
          </w:tblCellMar>
        </w:tblPrEx>
        <w:tc>
          <w:tcPr>
            <w:tcW w:w="1400" w:type="dxa"/>
            <w:tcBorders>
              <w:top w:val="single" w:sz="1" w:space="0" w:color="C5D8EC"/>
              <w:left w:val="single" w:sz="1" w:space="0" w:color="C5D8EC"/>
              <w:bottom w:val="single" w:sz="1" w:space="0" w:color="C5D8EC"/>
              <w:right w:val="single" w:sz="1" w:space="0" w:color="C5D8EC"/>
            </w:tcBorders>
            <w:shd w:val="clear" w:color="auto" w:fill="2E75B6"/>
            <w:tcMar>
              <w:top w:w="120" w:type="dxa"/>
              <w:left w:w="160" w:type="dxa"/>
              <w:bottom w:w="120" w:type="dxa"/>
              <w:right w:w="120" w:type="dxa"/>
            </w:tcMar>
            <w:vAlign w:val="center"/>
          </w:tcPr>
          <w:p w14:paraId="523DD939" w14:textId="77777777" w:rsidR="00686657" w:rsidRDefault="00000000">
            <w:pPr>
              <w:jc w:val="center"/>
            </w:pPr>
            <w:r>
              <w:rPr>
                <w:b/>
                <w:bCs/>
                <w:color w:val="FFFFFF"/>
              </w:rPr>
              <w:t>TASK</w:t>
            </w:r>
          </w:p>
        </w:tc>
        <w:tc>
          <w:tcPr>
            <w:tcW w:w="7960" w:type="dxa"/>
            <w:tcBorders>
              <w:top w:val="single" w:sz="1" w:space="0" w:color="C5D8EC"/>
              <w:left w:val="single" w:sz="1" w:space="0" w:color="C5D8EC"/>
              <w:bottom w:val="single" w:sz="1" w:space="0" w:color="C5D8EC"/>
              <w:right w:val="single" w:sz="1" w:space="0" w:color="C5D8EC"/>
            </w:tcBorders>
            <w:shd w:val="clear" w:color="auto" w:fill="F0F7FF"/>
            <w:tcMar>
              <w:top w:w="100" w:type="dxa"/>
              <w:left w:w="180" w:type="dxa"/>
              <w:bottom w:w="100" w:type="dxa"/>
              <w:right w:w="120" w:type="dxa"/>
            </w:tcMar>
          </w:tcPr>
          <w:p w14:paraId="29C3483C" w14:textId="77777777" w:rsidR="00686657" w:rsidRDefault="00000000">
            <w:r>
              <w:rPr>
                <w:color w:val="1A1A2E"/>
                <w:sz w:val="21"/>
                <w:szCs w:val="21"/>
              </w:rPr>
              <w:t>Identify peak ordering hours to inform server scaling schedules, flash sale timing, and push notification windows for email and app campaigns.</w:t>
            </w:r>
          </w:p>
        </w:tc>
      </w:tr>
    </w:tbl>
    <w:p w14:paraId="5AF62A5D" w14:textId="77777777" w:rsidR="00686657" w:rsidRDefault="00686657">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686657" w14:paraId="7CCE4546" w14:textId="77777777">
        <w:tblPrEx>
          <w:tblCellMar>
            <w:top w:w="0" w:type="dxa"/>
            <w:bottom w:w="0" w:type="dxa"/>
          </w:tblCellMar>
        </w:tblPrEx>
        <w:tc>
          <w:tcPr>
            <w:tcW w:w="1400" w:type="dxa"/>
            <w:tcBorders>
              <w:top w:val="single" w:sz="1" w:space="0" w:color="C5D8EC"/>
              <w:left w:val="single" w:sz="1" w:space="0" w:color="C5D8EC"/>
              <w:bottom w:val="single" w:sz="1" w:space="0" w:color="C5D8EC"/>
              <w:right w:val="single" w:sz="1" w:space="0" w:color="C5D8EC"/>
            </w:tcBorders>
            <w:shd w:val="clear" w:color="auto" w:fill="2E75B6"/>
            <w:tcMar>
              <w:top w:w="120" w:type="dxa"/>
              <w:left w:w="160" w:type="dxa"/>
              <w:bottom w:w="120" w:type="dxa"/>
              <w:right w:w="120" w:type="dxa"/>
            </w:tcMar>
            <w:vAlign w:val="center"/>
          </w:tcPr>
          <w:p w14:paraId="30C42314" w14:textId="77777777" w:rsidR="00686657" w:rsidRDefault="00000000">
            <w:pPr>
              <w:jc w:val="center"/>
            </w:pPr>
            <w:r>
              <w:rPr>
                <w:b/>
                <w:bCs/>
                <w:color w:val="FFFFFF"/>
              </w:rPr>
              <w:t>ACTION</w:t>
            </w:r>
          </w:p>
        </w:tc>
        <w:tc>
          <w:tcPr>
            <w:tcW w:w="7960" w:type="dxa"/>
            <w:tcBorders>
              <w:top w:val="single" w:sz="1" w:space="0" w:color="C5D8EC"/>
              <w:left w:val="single" w:sz="1" w:space="0" w:color="C5D8EC"/>
              <w:bottom w:val="single" w:sz="1" w:space="0" w:color="C5D8EC"/>
              <w:right w:val="single" w:sz="1" w:space="0" w:color="C5D8EC"/>
            </w:tcBorders>
            <w:shd w:val="clear" w:color="auto" w:fill="F0F7FF"/>
            <w:tcMar>
              <w:top w:w="100" w:type="dxa"/>
              <w:left w:w="180" w:type="dxa"/>
              <w:bottom w:w="100" w:type="dxa"/>
              <w:right w:w="120" w:type="dxa"/>
            </w:tcMar>
          </w:tcPr>
          <w:p w14:paraId="6F828251" w14:textId="77777777" w:rsidR="00686657" w:rsidRDefault="00000000">
            <w:r>
              <w:rPr>
                <w:color w:val="1A1A2E"/>
                <w:sz w:val="21"/>
                <w:szCs w:val="21"/>
              </w:rPr>
              <w:t xml:space="preserve">SQL Insight 30 uses </w:t>
            </w:r>
            <w:proofErr w:type="gramStart"/>
            <w:r>
              <w:rPr>
                <w:color w:val="1A1A2E"/>
                <w:sz w:val="21"/>
                <w:szCs w:val="21"/>
              </w:rPr>
              <w:t>HOUR(</w:t>
            </w:r>
            <w:proofErr w:type="spellStart"/>
            <w:proofErr w:type="gramEnd"/>
            <w:r>
              <w:rPr>
                <w:color w:val="1A1A2E"/>
                <w:sz w:val="21"/>
                <w:szCs w:val="21"/>
              </w:rPr>
              <w:t>order_datetime</w:t>
            </w:r>
            <w:proofErr w:type="spellEnd"/>
            <w:r>
              <w:rPr>
                <w:color w:val="1A1A2E"/>
                <w:sz w:val="21"/>
                <w:szCs w:val="21"/>
              </w:rPr>
              <w:t xml:space="preserve">) with </w:t>
            </w:r>
            <w:proofErr w:type="gramStart"/>
            <w:r>
              <w:rPr>
                <w:color w:val="1A1A2E"/>
                <w:sz w:val="21"/>
                <w:szCs w:val="21"/>
              </w:rPr>
              <w:t>COUNT(</w:t>
            </w:r>
            <w:proofErr w:type="spellStart"/>
            <w:proofErr w:type="gramEnd"/>
            <w:r>
              <w:rPr>
                <w:color w:val="1A1A2E"/>
                <w:sz w:val="21"/>
                <w:szCs w:val="21"/>
              </w:rPr>
              <w:t>order_id</w:t>
            </w:r>
            <w:proofErr w:type="spellEnd"/>
            <w:r>
              <w:rPr>
                <w:color w:val="1A1A2E"/>
                <w:sz w:val="21"/>
                <w:szCs w:val="21"/>
              </w:rPr>
              <w:t>) grouped and ordered DESC. This produces a 24-hour order distribution heatmap.</w:t>
            </w:r>
          </w:p>
        </w:tc>
      </w:tr>
    </w:tbl>
    <w:p w14:paraId="10448558" w14:textId="77777777" w:rsidR="00686657" w:rsidRDefault="00686657">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686657" w14:paraId="33C82583" w14:textId="77777777">
        <w:tblPrEx>
          <w:tblCellMar>
            <w:top w:w="0" w:type="dxa"/>
            <w:bottom w:w="0" w:type="dxa"/>
          </w:tblCellMar>
        </w:tblPrEx>
        <w:tc>
          <w:tcPr>
            <w:tcW w:w="1400" w:type="dxa"/>
            <w:tcBorders>
              <w:top w:val="single" w:sz="1" w:space="0" w:color="C5D8EC"/>
              <w:left w:val="single" w:sz="1" w:space="0" w:color="C5D8EC"/>
              <w:bottom w:val="single" w:sz="1" w:space="0" w:color="C5D8EC"/>
              <w:right w:val="single" w:sz="1" w:space="0" w:color="C5D8EC"/>
            </w:tcBorders>
            <w:shd w:val="clear" w:color="auto" w:fill="2E75B6"/>
            <w:tcMar>
              <w:top w:w="120" w:type="dxa"/>
              <w:left w:w="160" w:type="dxa"/>
              <w:bottom w:w="120" w:type="dxa"/>
              <w:right w:w="120" w:type="dxa"/>
            </w:tcMar>
            <w:vAlign w:val="center"/>
          </w:tcPr>
          <w:p w14:paraId="2FBC3EA3" w14:textId="5B7F49D3" w:rsidR="00686657" w:rsidRDefault="00B51118" w:rsidP="00B51118">
            <w:r>
              <w:rPr>
                <w:b/>
                <w:bCs/>
                <w:color w:val="FFFFFF"/>
              </w:rPr>
              <w:t>R</w:t>
            </w:r>
            <w:r w:rsidR="00000000">
              <w:rPr>
                <w:b/>
                <w:bCs/>
                <w:color w:val="FFFFFF"/>
              </w:rPr>
              <w:t>ESULT</w:t>
            </w:r>
          </w:p>
        </w:tc>
        <w:tc>
          <w:tcPr>
            <w:tcW w:w="7960" w:type="dxa"/>
            <w:tcBorders>
              <w:top w:val="single" w:sz="1" w:space="0" w:color="C5D8EC"/>
              <w:left w:val="single" w:sz="1" w:space="0" w:color="C5D8EC"/>
              <w:bottom w:val="single" w:sz="1" w:space="0" w:color="C5D8EC"/>
              <w:right w:val="single" w:sz="1" w:space="0" w:color="C5D8EC"/>
            </w:tcBorders>
            <w:shd w:val="clear" w:color="auto" w:fill="F0F7FF"/>
            <w:tcMar>
              <w:top w:w="100" w:type="dxa"/>
              <w:left w:w="180" w:type="dxa"/>
              <w:bottom w:w="100" w:type="dxa"/>
              <w:right w:w="120" w:type="dxa"/>
            </w:tcMar>
          </w:tcPr>
          <w:p w14:paraId="63BBB97F" w14:textId="77777777" w:rsidR="00686657" w:rsidRDefault="00000000">
            <w:r>
              <w:rPr>
                <w:color w:val="1A1A2E"/>
                <w:sz w:val="21"/>
                <w:szCs w:val="21"/>
              </w:rPr>
              <w:t xml:space="preserve">Primary peak: 9 PM (890 orders). Secondary peak: 1 PM (620 orders). Quietest window: 4 AM (38 orders). Recommendation: Schedule flash sales at 8–10 PM, </w:t>
            </w:r>
            <w:r>
              <w:rPr>
                <w:color w:val="1A1A2E"/>
                <w:sz w:val="21"/>
                <w:szCs w:val="21"/>
              </w:rPr>
              <w:lastRenderedPageBreak/>
              <w:t>scale server capacity 30 minutes before peaks, and trigger push notifications at 12:30 PM and 8:30 PM for maximum conversion.</w:t>
            </w:r>
          </w:p>
        </w:tc>
      </w:tr>
    </w:tbl>
    <w:p w14:paraId="2053ED68" w14:textId="3D3FFA32" w:rsidR="00686657" w:rsidRDefault="00686657"/>
    <w:p w14:paraId="4E20679D" w14:textId="77777777" w:rsidR="00B51118" w:rsidRDefault="00B51118"/>
    <w:p w14:paraId="4EC767F3" w14:textId="77777777" w:rsidR="00686657" w:rsidRDefault="00000000">
      <w:pPr>
        <w:pStyle w:val="Heading1"/>
        <w:shd w:val="clear" w:color="auto" w:fill="1E3A5F"/>
        <w:ind w:left="200"/>
      </w:pPr>
      <w:r>
        <w:t>Page 2 — Products &amp; Customers</w:t>
      </w:r>
    </w:p>
    <w:p w14:paraId="52EBC5D2" w14:textId="77777777" w:rsidR="00686657" w:rsidRDefault="00686657">
      <w:pPr>
        <w:spacing w:before="40" w:after="20"/>
      </w:pPr>
    </w:p>
    <w:p w14:paraId="3A10DC63" w14:textId="77777777" w:rsidR="00686657" w:rsidRDefault="00000000">
      <w:pPr>
        <w:spacing w:before="60" w:after="60"/>
      </w:pPr>
      <w:r>
        <w:rPr>
          <w:color w:val="5A6A7A"/>
        </w:rPr>
        <w:t>Focus area: Top products, category and brand revenue, customer retention cohorts, repeat vs one-time revenue, and funnel analysis.</w:t>
      </w:r>
    </w:p>
    <w:p w14:paraId="33E3864D" w14:textId="77777777" w:rsidR="00686657" w:rsidRDefault="00686657">
      <w:pPr>
        <w:spacing w:before="120" w:after="60"/>
      </w:pPr>
    </w:p>
    <w:p w14:paraId="3AA404A0" w14:textId="77777777" w:rsidR="00686657" w:rsidRDefault="00000000">
      <w:pPr>
        <w:pStyle w:val="Heading2"/>
        <w:pBdr>
          <w:bottom w:val="single" w:sz="4" w:space="2" w:color="2E75B6"/>
        </w:pBdr>
      </w:pPr>
      <w:r>
        <w:t>STAR Insight 5 — Customer Retention Cohort Analysis</w:t>
      </w:r>
    </w:p>
    <w:p w14:paraId="415240FF" w14:textId="77777777" w:rsidR="00686657" w:rsidRDefault="00686657">
      <w:pPr>
        <w:spacing w:before="4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6"/>
        <w:gridCol w:w="7894"/>
      </w:tblGrid>
      <w:tr w:rsidR="00686657" w14:paraId="16DD7892" w14:textId="77777777">
        <w:tblPrEx>
          <w:tblCellMar>
            <w:top w:w="0" w:type="dxa"/>
            <w:bottom w:w="0" w:type="dxa"/>
          </w:tblCellMar>
        </w:tblPrEx>
        <w:tc>
          <w:tcPr>
            <w:tcW w:w="1400" w:type="dxa"/>
            <w:tcBorders>
              <w:top w:val="single" w:sz="1" w:space="0" w:color="C5D8EC"/>
              <w:left w:val="single" w:sz="1" w:space="0" w:color="C5D8EC"/>
              <w:bottom w:val="single" w:sz="1" w:space="0" w:color="C5D8EC"/>
              <w:right w:val="single" w:sz="1" w:space="0" w:color="C5D8EC"/>
            </w:tcBorders>
            <w:shd w:val="clear" w:color="auto" w:fill="2E75B6"/>
            <w:tcMar>
              <w:top w:w="120" w:type="dxa"/>
              <w:left w:w="160" w:type="dxa"/>
              <w:bottom w:w="120" w:type="dxa"/>
              <w:right w:w="120" w:type="dxa"/>
            </w:tcMar>
            <w:vAlign w:val="center"/>
          </w:tcPr>
          <w:p w14:paraId="0B944C6F" w14:textId="77777777" w:rsidR="00686657" w:rsidRDefault="00000000">
            <w:pPr>
              <w:jc w:val="center"/>
            </w:pPr>
            <w:r>
              <w:rPr>
                <w:b/>
                <w:bCs/>
                <w:color w:val="FFFFFF"/>
              </w:rPr>
              <w:t>SITUATION</w:t>
            </w:r>
          </w:p>
        </w:tc>
        <w:tc>
          <w:tcPr>
            <w:tcW w:w="7960" w:type="dxa"/>
            <w:tcBorders>
              <w:top w:val="single" w:sz="1" w:space="0" w:color="C5D8EC"/>
              <w:left w:val="single" w:sz="1" w:space="0" w:color="C5D8EC"/>
              <w:bottom w:val="single" w:sz="1" w:space="0" w:color="C5D8EC"/>
              <w:right w:val="single" w:sz="1" w:space="0" w:color="C5D8EC"/>
            </w:tcBorders>
            <w:shd w:val="clear" w:color="auto" w:fill="F0F7FF"/>
            <w:tcMar>
              <w:top w:w="100" w:type="dxa"/>
              <w:left w:w="180" w:type="dxa"/>
              <w:bottom w:w="100" w:type="dxa"/>
              <w:right w:w="120" w:type="dxa"/>
            </w:tcMar>
          </w:tcPr>
          <w:p w14:paraId="5344F0FA" w14:textId="77777777" w:rsidR="00686657" w:rsidRDefault="00000000">
            <w:r>
              <w:rPr>
                <w:color w:val="1A1A2E"/>
                <w:sz w:val="21"/>
                <w:szCs w:val="21"/>
              </w:rPr>
              <w:t>Month-on-month retention rates show how many customers acquired in a given cohort continue to purchase in subsequent months. Low retention directly constrains lifetime value and increases customer acquisition cost pressure.</w:t>
            </w:r>
          </w:p>
        </w:tc>
      </w:tr>
    </w:tbl>
    <w:p w14:paraId="49673309" w14:textId="77777777" w:rsidR="00686657" w:rsidRDefault="00686657">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686657" w14:paraId="5FB37BD1" w14:textId="77777777">
        <w:tblPrEx>
          <w:tblCellMar>
            <w:top w:w="0" w:type="dxa"/>
            <w:bottom w:w="0" w:type="dxa"/>
          </w:tblCellMar>
        </w:tblPrEx>
        <w:tc>
          <w:tcPr>
            <w:tcW w:w="1400" w:type="dxa"/>
            <w:tcBorders>
              <w:top w:val="single" w:sz="1" w:space="0" w:color="C5D8EC"/>
              <w:left w:val="single" w:sz="1" w:space="0" w:color="C5D8EC"/>
              <w:bottom w:val="single" w:sz="1" w:space="0" w:color="C5D8EC"/>
              <w:right w:val="single" w:sz="1" w:space="0" w:color="C5D8EC"/>
            </w:tcBorders>
            <w:shd w:val="clear" w:color="auto" w:fill="2E75B6"/>
            <w:tcMar>
              <w:top w:w="120" w:type="dxa"/>
              <w:left w:w="160" w:type="dxa"/>
              <w:bottom w:w="120" w:type="dxa"/>
              <w:right w:w="120" w:type="dxa"/>
            </w:tcMar>
            <w:vAlign w:val="center"/>
          </w:tcPr>
          <w:p w14:paraId="171DAA60" w14:textId="77777777" w:rsidR="00686657" w:rsidRDefault="00000000">
            <w:pPr>
              <w:jc w:val="center"/>
            </w:pPr>
            <w:r>
              <w:rPr>
                <w:b/>
                <w:bCs/>
                <w:color w:val="FFFFFF"/>
              </w:rPr>
              <w:t>TASK</w:t>
            </w:r>
          </w:p>
        </w:tc>
        <w:tc>
          <w:tcPr>
            <w:tcW w:w="7960" w:type="dxa"/>
            <w:tcBorders>
              <w:top w:val="single" w:sz="1" w:space="0" w:color="C5D8EC"/>
              <w:left w:val="single" w:sz="1" w:space="0" w:color="C5D8EC"/>
              <w:bottom w:val="single" w:sz="1" w:space="0" w:color="C5D8EC"/>
              <w:right w:val="single" w:sz="1" w:space="0" w:color="C5D8EC"/>
            </w:tcBorders>
            <w:shd w:val="clear" w:color="auto" w:fill="F0F7FF"/>
            <w:tcMar>
              <w:top w:w="100" w:type="dxa"/>
              <w:left w:w="180" w:type="dxa"/>
              <w:bottom w:w="100" w:type="dxa"/>
              <w:right w:w="120" w:type="dxa"/>
            </w:tcMar>
          </w:tcPr>
          <w:p w14:paraId="681DF100" w14:textId="77777777" w:rsidR="00686657" w:rsidRDefault="00000000">
            <w:r>
              <w:rPr>
                <w:color w:val="1A1A2E"/>
                <w:sz w:val="21"/>
                <w:szCs w:val="21"/>
              </w:rPr>
              <w:t>Identify cohorts with below-average retention at months 3–6 and pinpoint which acquisition periods yield the most loyal buyers.</w:t>
            </w:r>
          </w:p>
        </w:tc>
      </w:tr>
    </w:tbl>
    <w:p w14:paraId="03A1F392" w14:textId="77777777" w:rsidR="00686657" w:rsidRDefault="00686657">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686657" w14:paraId="1E77548C" w14:textId="77777777">
        <w:tblPrEx>
          <w:tblCellMar>
            <w:top w:w="0" w:type="dxa"/>
            <w:bottom w:w="0" w:type="dxa"/>
          </w:tblCellMar>
        </w:tblPrEx>
        <w:tc>
          <w:tcPr>
            <w:tcW w:w="1400" w:type="dxa"/>
            <w:tcBorders>
              <w:top w:val="single" w:sz="1" w:space="0" w:color="C5D8EC"/>
              <w:left w:val="single" w:sz="1" w:space="0" w:color="C5D8EC"/>
              <w:bottom w:val="single" w:sz="1" w:space="0" w:color="C5D8EC"/>
              <w:right w:val="single" w:sz="1" w:space="0" w:color="C5D8EC"/>
            </w:tcBorders>
            <w:shd w:val="clear" w:color="auto" w:fill="2E75B6"/>
            <w:tcMar>
              <w:top w:w="120" w:type="dxa"/>
              <w:left w:w="160" w:type="dxa"/>
              <w:bottom w:w="120" w:type="dxa"/>
              <w:right w:w="120" w:type="dxa"/>
            </w:tcMar>
            <w:vAlign w:val="center"/>
          </w:tcPr>
          <w:p w14:paraId="7709D811" w14:textId="77777777" w:rsidR="00686657" w:rsidRDefault="00000000">
            <w:pPr>
              <w:jc w:val="center"/>
            </w:pPr>
            <w:r>
              <w:rPr>
                <w:b/>
                <w:bCs/>
                <w:color w:val="FFFFFF"/>
              </w:rPr>
              <w:t>ACTION</w:t>
            </w:r>
          </w:p>
        </w:tc>
        <w:tc>
          <w:tcPr>
            <w:tcW w:w="7960" w:type="dxa"/>
            <w:tcBorders>
              <w:top w:val="single" w:sz="1" w:space="0" w:color="C5D8EC"/>
              <w:left w:val="single" w:sz="1" w:space="0" w:color="C5D8EC"/>
              <w:bottom w:val="single" w:sz="1" w:space="0" w:color="C5D8EC"/>
              <w:right w:val="single" w:sz="1" w:space="0" w:color="C5D8EC"/>
            </w:tcBorders>
            <w:shd w:val="clear" w:color="auto" w:fill="F0F7FF"/>
            <w:tcMar>
              <w:top w:w="100" w:type="dxa"/>
              <w:left w:w="180" w:type="dxa"/>
              <w:bottom w:w="100" w:type="dxa"/>
              <w:right w:w="120" w:type="dxa"/>
            </w:tcMar>
          </w:tcPr>
          <w:p w14:paraId="4FB2EE93" w14:textId="77777777" w:rsidR="00686657" w:rsidRDefault="00000000">
            <w:r>
              <w:rPr>
                <w:color w:val="1A1A2E"/>
                <w:sz w:val="21"/>
                <w:szCs w:val="21"/>
              </w:rPr>
              <w:t>The cohort analysis uses ROW_</w:t>
            </w:r>
            <w:proofErr w:type="gramStart"/>
            <w:r>
              <w:rPr>
                <w:color w:val="1A1A2E"/>
                <w:sz w:val="21"/>
                <w:szCs w:val="21"/>
              </w:rPr>
              <w:t>NUMBER(</w:t>
            </w:r>
            <w:proofErr w:type="gramEnd"/>
            <w:r>
              <w:rPr>
                <w:color w:val="1A1A2E"/>
                <w:sz w:val="21"/>
                <w:szCs w:val="21"/>
              </w:rPr>
              <w:t xml:space="preserve">) and </w:t>
            </w:r>
            <w:proofErr w:type="spellStart"/>
            <w:r>
              <w:rPr>
                <w:color w:val="1A1A2E"/>
                <w:sz w:val="21"/>
                <w:szCs w:val="21"/>
              </w:rPr>
              <w:t>date_</w:t>
            </w:r>
            <w:proofErr w:type="gramStart"/>
            <w:r>
              <w:rPr>
                <w:color w:val="1A1A2E"/>
                <w:sz w:val="21"/>
                <w:szCs w:val="21"/>
              </w:rPr>
              <w:t>format</w:t>
            </w:r>
            <w:proofErr w:type="spellEnd"/>
            <w:r>
              <w:rPr>
                <w:color w:val="1A1A2E"/>
                <w:sz w:val="21"/>
                <w:szCs w:val="21"/>
              </w:rPr>
              <w:t>(</w:t>
            </w:r>
            <w:proofErr w:type="gramEnd"/>
            <w:r>
              <w:rPr>
                <w:color w:val="1A1A2E"/>
                <w:sz w:val="21"/>
                <w:szCs w:val="21"/>
              </w:rPr>
              <w:t>) to segment customers by first purchase month and track repeat purchases over 16 subsequent months. Retention is calculated as returning customers / cohort size.</w:t>
            </w:r>
          </w:p>
        </w:tc>
      </w:tr>
    </w:tbl>
    <w:p w14:paraId="62F33BD9" w14:textId="77777777" w:rsidR="00686657" w:rsidRDefault="00686657">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686657" w14:paraId="6BFE3107" w14:textId="77777777">
        <w:tblPrEx>
          <w:tblCellMar>
            <w:top w:w="0" w:type="dxa"/>
            <w:bottom w:w="0" w:type="dxa"/>
          </w:tblCellMar>
        </w:tblPrEx>
        <w:tc>
          <w:tcPr>
            <w:tcW w:w="1400" w:type="dxa"/>
            <w:tcBorders>
              <w:top w:val="single" w:sz="1" w:space="0" w:color="C5D8EC"/>
              <w:left w:val="single" w:sz="1" w:space="0" w:color="C5D8EC"/>
              <w:bottom w:val="single" w:sz="1" w:space="0" w:color="C5D8EC"/>
              <w:right w:val="single" w:sz="1" w:space="0" w:color="C5D8EC"/>
            </w:tcBorders>
            <w:shd w:val="clear" w:color="auto" w:fill="2E75B6"/>
            <w:tcMar>
              <w:top w:w="120" w:type="dxa"/>
              <w:left w:w="160" w:type="dxa"/>
              <w:bottom w:w="120" w:type="dxa"/>
              <w:right w:w="120" w:type="dxa"/>
            </w:tcMar>
            <w:vAlign w:val="center"/>
          </w:tcPr>
          <w:p w14:paraId="284BEE7E" w14:textId="77777777" w:rsidR="00686657" w:rsidRDefault="00000000">
            <w:pPr>
              <w:jc w:val="center"/>
            </w:pPr>
            <w:r>
              <w:rPr>
                <w:b/>
                <w:bCs/>
                <w:color w:val="FFFFFF"/>
              </w:rPr>
              <w:t>RESULT</w:t>
            </w:r>
          </w:p>
        </w:tc>
        <w:tc>
          <w:tcPr>
            <w:tcW w:w="7960" w:type="dxa"/>
            <w:tcBorders>
              <w:top w:val="single" w:sz="1" w:space="0" w:color="C5D8EC"/>
              <w:left w:val="single" w:sz="1" w:space="0" w:color="C5D8EC"/>
              <w:bottom w:val="single" w:sz="1" w:space="0" w:color="C5D8EC"/>
              <w:right w:val="single" w:sz="1" w:space="0" w:color="C5D8EC"/>
            </w:tcBorders>
            <w:shd w:val="clear" w:color="auto" w:fill="F0F7FF"/>
            <w:tcMar>
              <w:top w:w="100" w:type="dxa"/>
              <w:left w:w="180" w:type="dxa"/>
              <w:bottom w:w="100" w:type="dxa"/>
              <w:right w:w="120" w:type="dxa"/>
            </w:tcMar>
          </w:tcPr>
          <w:p w14:paraId="04091884" w14:textId="77777777" w:rsidR="00686657" w:rsidRDefault="00000000">
            <w:r>
              <w:rPr>
                <w:color w:val="1A1A2E"/>
                <w:sz w:val="21"/>
                <w:szCs w:val="21"/>
              </w:rPr>
              <w:t>The January 2024 cohort shows the highest retention at month 12 (18.9%). The April 2024 cohort peaks anomalously at month 6 (25%) suggesting a successful campaign in that window. Cohorts from June–July 2024 show early drop-off by month 3, indicating onboarding friction. Recommendation: Invest in month-2 and month-3 re-engagement emails for new cohorts.</w:t>
            </w:r>
          </w:p>
        </w:tc>
      </w:tr>
    </w:tbl>
    <w:p w14:paraId="11ABD8C6" w14:textId="77777777" w:rsidR="00686657" w:rsidRDefault="00686657">
      <w:pPr>
        <w:spacing w:before="120" w:after="60"/>
      </w:pPr>
    </w:p>
    <w:p w14:paraId="08A7E7E5" w14:textId="77777777" w:rsidR="00686657" w:rsidRDefault="00000000">
      <w:pPr>
        <w:pStyle w:val="Heading2"/>
        <w:pBdr>
          <w:bottom w:val="single" w:sz="4" w:space="2" w:color="2E75B6"/>
        </w:pBdr>
      </w:pPr>
      <w:r>
        <w:t>STAR Insight 6 — Repeat vs One-Time Customer Revenue</w:t>
      </w:r>
    </w:p>
    <w:p w14:paraId="2C77E601" w14:textId="77777777" w:rsidR="00686657" w:rsidRDefault="00686657">
      <w:pPr>
        <w:spacing w:before="4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6"/>
        <w:gridCol w:w="7894"/>
      </w:tblGrid>
      <w:tr w:rsidR="00686657" w14:paraId="4C3F17C8" w14:textId="77777777">
        <w:tblPrEx>
          <w:tblCellMar>
            <w:top w:w="0" w:type="dxa"/>
            <w:bottom w:w="0" w:type="dxa"/>
          </w:tblCellMar>
        </w:tblPrEx>
        <w:tc>
          <w:tcPr>
            <w:tcW w:w="1400" w:type="dxa"/>
            <w:tcBorders>
              <w:top w:val="single" w:sz="1" w:space="0" w:color="C5D8EC"/>
              <w:left w:val="single" w:sz="1" w:space="0" w:color="C5D8EC"/>
              <w:bottom w:val="single" w:sz="1" w:space="0" w:color="C5D8EC"/>
              <w:right w:val="single" w:sz="1" w:space="0" w:color="C5D8EC"/>
            </w:tcBorders>
            <w:shd w:val="clear" w:color="auto" w:fill="2E75B6"/>
            <w:tcMar>
              <w:top w:w="120" w:type="dxa"/>
              <w:left w:w="160" w:type="dxa"/>
              <w:bottom w:w="120" w:type="dxa"/>
              <w:right w:w="120" w:type="dxa"/>
            </w:tcMar>
            <w:vAlign w:val="center"/>
          </w:tcPr>
          <w:p w14:paraId="0EBF757B" w14:textId="77777777" w:rsidR="00686657" w:rsidRDefault="00000000">
            <w:pPr>
              <w:jc w:val="center"/>
            </w:pPr>
            <w:r>
              <w:rPr>
                <w:b/>
                <w:bCs/>
                <w:color w:val="FFFFFF"/>
              </w:rPr>
              <w:t>SITUATION</w:t>
            </w:r>
          </w:p>
        </w:tc>
        <w:tc>
          <w:tcPr>
            <w:tcW w:w="7960" w:type="dxa"/>
            <w:tcBorders>
              <w:top w:val="single" w:sz="1" w:space="0" w:color="C5D8EC"/>
              <w:left w:val="single" w:sz="1" w:space="0" w:color="C5D8EC"/>
              <w:bottom w:val="single" w:sz="1" w:space="0" w:color="C5D8EC"/>
              <w:right w:val="single" w:sz="1" w:space="0" w:color="C5D8EC"/>
            </w:tcBorders>
            <w:shd w:val="clear" w:color="auto" w:fill="F0F7FF"/>
            <w:tcMar>
              <w:top w:w="100" w:type="dxa"/>
              <w:left w:w="180" w:type="dxa"/>
              <w:bottom w:w="100" w:type="dxa"/>
              <w:right w:w="120" w:type="dxa"/>
            </w:tcMar>
          </w:tcPr>
          <w:p w14:paraId="620A9D3D" w14:textId="77777777" w:rsidR="00686657" w:rsidRDefault="00000000">
            <w:r>
              <w:rPr>
                <w:color w:val="1A1A2E"/>
                <w:sz w:val="21"/>
                <w:szCs w:val="21"/>
              </w:rPr>
              <w:t>The platform carries both repeat buyers and one-time purchasers. Understanding the revenue split between these segments determines where retention investment yields the highest return.</w:t>
            </w:r>
          </w:p>
        </w:tc>
      </w:tr>
    </w:tbl>
    <w:p w14:paraId="2B803FB4" w14:textId="77777777" w:rsidR="00686657" w:rsidRDefault="00686657">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686657" w14:paraId="6856785A" w14:textId="77777777">
        <w:tblPrEx>
          <w:tblCellMar>
            <w:top w:w="0" w:type="dxa"/>
            <w:bottom w:w="0" w:type="dxa"/>
          </w:tblCellMar>
        </w:tblPrEx>
        <w:tc>
          <w:tcPr>
            <w:tcW w:w="1400" w:type="dxa"/>
            <w:tcBorders>
              <w:top w:val="single" w:sz="1" w:space="0" w:color="C5D8EC"/>
              <w:left w:val="single" w:sz="1" w:space="0" w:color="C5D8EC"/>
              <w:bottom w:val="single" w:sz="1" w:space="0" w:color="C5D8EC"/>
              <w:right w:val="single" w:sz="1" w:space="0" w:color="C5D8EC"/>
            </w:tcBorders>
            <w:shd w:val="clear" w:color="auto" w:fill="2E75B6"/>
            <w:tcMar>
              <w:top w:w="120" w:type="dxa"/>
              <w:left w:w="160" w:type="dxa"/>
              <w:bottom w:w="120" w:type="dxa"/>
              <w:right w:w="120" w:type="dxa"/>
            </w:tcMar>
            <w:vAlign w:val="center"/>
          </w:tcPr>
          <w:p w14:paraId="7218B361" w14:textId="77777777" w:rsidR="00686657" w:rsidRDefault="00000000">
            <w:pPr>
              <w:jc w:val="center"/>
            </w:pPr>
            <w:r>
              <w:rPr>
                <w:b/>
                <w:bCs/>
                <w:color w:val="FFFFFF"/>
              </w:rPr>
              <w:t>TASK</w:t>
            </w:r>
          </w:p>
        </w:tc>
        <w:tc>
          <w:tcPr>
            <w:tcW w:w="7960" w:type="dxa"/>
            <w:tcBorders>
              <w:top w:val="single" w:sz="1" w:space="0" w:color="C5D8EC"/>
              <w:left w:val="single" w:sz="1" w:space="0" w:color="C5D8EC"/>
              <w:bottom w:val="single" w:sz="1" w:space="0" w:color="C5D8EC"/>
              <w:right w:val="single" w:sz="1" w:space="0" w:color="C5D8EC"/>
            </w:tcBorders>
            <w:shd w:val="clear" w:color="auto" w:fill="F0F7FF"/>
            <w:tcMar>
              <w:top w:w="100" w:type="dxa"/>
              <w:left w:w="180" w:type="dxa"/>
              <w:bottom w:w="100" w:type="dxa"/>
              <w:right w:w="120" w:type="dxa"/>
            </w:tcMar>
          </w:tcPr>
          <w:p w14:paraId="38A68C05" w14:textId="77777777" w:rsidR="00686657" w:rsidRDefault="00000000">
            <w:r>
              <w:rPr>
                <w:color w:val="1A1A2E"/>
                <w:sz w:val="21"/>
                <w:szCs w:val="21"/>
              </w:rPr>
              <w:t>Quantify revenue contribution by customer type and assess whether one-time buyers represent a conversion opportunity or a structurally different segment.</w:t>
            </w:r>
          </w:p>
        </w:tc>
      </w:tr>
    </w:tbl>
    <w:p w14:paraId="5853FB0C" w14:textId="77777777" w:rsidR="00686657" w:rsidRDefault="00686657">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686657" w14:paraId="4FDF3E23" w14:textId="77777777">
        <w:tblPrEx>
          <w:tblCellMar>
            <w:top w:w="0" w:type="dxa"/>
            <w:bottom w:w="0" w:type="dxa"/>
          </w:tblCellMar>
        </w:tblPrEx>
        <w:tc>
          <w:tcPr>
            <w:tcW w:w="1400" w:type="dxa"/>
            <w:tcBorders>
              <w:top w:val="single" w:sz="1" w:space="0" w:color="C5D8EC"/>
              <w:left w:val="single" w:sz="1" w:space="0" w:color="C5D8EC"/>
              <w:bottom w:val="single" w:sz="1" w:space="0" w:color="C5D8EC"/>
              <w:right w:val="single" w:sz="1" w:space="0" w:color="C5D8EC"/>
            </w:tcBorders>
            <w:shd w:val="clear" w:color="auto" w:fill="2E75B6"/>
            <w:tcMar>
              <w:top w:w="120" w:type="dxa"/>
              <w:left w:w="160" w:type="dxa"/>
              <w:bottom w:w="120" w:type="dxa"/>
              <w:right w:w="120" w:type="dxa"/>
            </w:tcMar>
            <w:vAlign w:val="center"/>
          </w:tcPr>
          <w:p w14:paraId="28D2D9D8" w14:textId="77777777" w:rsidR="00686657" w:rsidRDefault="00000000">
            <w:pPr>
              <w:jc w:val="center"/>
            </w:pPr>
            <w:r>
              <w:rPr>
                <w:b/>
                <w:bCs/>
                <w:color w:val="FFFFFF"/>
              </w:rPr>
              <w:lastRenderedPageBreak/>
              <w:t>ACTION</w:t>
            </w:r>
          </w:p>
        </w:tc>
        <w:tc>
          <w:tcPr>
            <w:tcW w:w="7960" w:type="dxa"/>
            <w:tcBorders>
              <w:top w:val="single" w:sz="1" w:space="0" w:color="C5D8EC"/>
              <w:left w:val="single" w:sz="1" w:space="0" w:color="C5D8EC"/>
              <w:bottom w:val="single" w:sz="1" w:space="0" w:color="C5D8EC"/>
              <w:right w:val="single" w:sz="1" w:space="0" w:color="C5D8EC"/>
            </w:tcBorders>
            <w:shd w:val="clear" w:color="auto" w:fill="F0F7FF"/>
            <w:tcMar>
              <w:top w:w="100" w:type="dxa"/>
              <w:left w:w="180" w:type="dxa"/>
              <w:bottom w:w="100" w:type="dxa"/>
              <w:right w:w="120" w:type="dxa"/>
            </w:tcMar>
          </w:tcPr>
          <w:p w14:paraId="3BFC0F2E" w14:textId="77777777" w:rsidR="00686657" w:rsidRDefault="00000000">
            <w:r>
              <w:rPr>
                <w:color w:val="1A1A2E"/>
                <w:sz w:val="21"/>
                <w:szCs w:val="21"/>
              </w:rPr>
              <w:t>SQL Insight 29 uses a CTE to label customers as Repeat (</w:t>
            </w:r>
            <w:proofErr w:type="spellStart"/>
            <w:r>
              <w:rPr>
                <w:color w:val="1A1A2E"/>
                <w:sz w:val="21"/>
                <w:szCs w:val="21"/>
              </w:rPr>
              <w:t>total_orders</w:t>
            </w:r>
            <w:proofErr w:type="spellEnd"/>
            <w:r>
              <w:rPr>
                <w:color w:val="1A1A2E"/>
                <w:sz w:val="21"/>
                <w:szCs w:val="21"/>
              </w:rPr>
              <w:t xml:space="preserve"> &gt; 1) or One-time (</w:t>
            </w:r>
            <w:proofErr w:type="spellStart"/>
            <w:r>
              <w:rPr>
                <w:color w:val="1A1A2E"/>
                <w:sz w:val="21"/>
                <w:szCs w:val="21"/>
              </w:rPr>
              <w:t>total_orders</w:t>
            </w:r>
            <w:proofErr w:type="spellEnd"/>
            <w:r>
              <w:rPr>
                <w:color w:val="1A1A2E"/>
                <w:sz w:val="21"/>
                <w:szCs w:val="21"/>
              </w:rPr>
              <w:t xml:space="preserve"> = 1), then sums </w:t>
            </w:r>
            <w:proofErr w:type="spellStart"/>
            <w:r>
              <w:rPr>
                <w:color w:val="1A1A2E"/>
                <w:sz w:val="21"/>
                <w:szCs w:val="21"/>
              </w:rPr>
              <w:t>order_total</w:t>
            </w:r>
            <w:proofErr w:type="spellEnd"/>
            <w:r>
              <w:rPr>
                <w:color w:val="1A1A2E"/>
                <w:sz w:val="21"/>
                <w:szCs w:val="21"/>
              </w:rPr>
              <w:t xml:space="preserve"> per segment. Insight 44 provides the full funnel: registered customers → ordered → returned.</w:t>
            </w:r>
          </w:p>
        </w:tc>
      </w:tr>
    </w:tbl>
    <w:p w14:paraId="425FAA2B" w14:textId="77777777" w:rsidR="00686657" w:rsidRDefault="00686657">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686657" w14:paraId="2C28D3CE" w14:textId="77777777">
        <w:tblPrEx>
          <w:tblCellMar>
            <w:top w:w="0" w:type="dxa"/>
            <w:bottom w:w="0" w:type="dxa"/>
          </w:tblCellMar>
        </w:tblPrEx>
        <w:tc>
          <w:tcPr>
            <w:tcW w:w="1400" w:type="dxa"/>
            <w:tcBorders>
              <w:top w:val="single" w:sz="1" w:space="0" w:color="C5D8EC"/>
              <w:left w:val="single" w:sz="1" w:space="0" w:color="C5D8EC"/>
              <w:bottom w:val="single" w:sz="1" w:space="0" w:color="C5D8EC"/>
              <w:right w:val="single" w:sz="1" w:space="0" w:color="C5D8EC"/>
            </w:tcBorders>
            <w:shd w:val="clear" w:color="auto" w:fill="2E75B6"/>
            <w:tcMar>
              <w:top w:w="120" w:type="dxa"/>
              <w:left w:w="160" w:type="dxa"/>
              <w:bottom w:w="120" w:type="dxa"/>
              <w:right w:w="120" w:type="dxa"/>
            </w:tcMar>
            <w:vAlign w:val="center"/>
          </w:tcPr>
          <w:p w14:paraId="6B100B36" w14:textId="77777777" w:rsidR="00686657" w:rsidRDefault="00000000">
            <w:pPr>
              <w:jc w:val="center"/>
            </w:pPr>
            <w:r>
              <w:rPr>
                <w:b/>
                <w:bCs/>
                <w:color w:val="FFFFFF"/>
              </w:rPr>
              <w:t>RESULT</w:t>
            </w:r>
          </w:p>
        </w:tc>
        <w:tc>
          <w:tcPr>
            <w:tcW w:w="7960" w:type="dxa"/>
            <w:tcBorders>
              <w:top w:val="single" w:sz="1" w:space="0" w:color="C5D8EC"/>
              <w:left w:val="single" w:sz="1" w:space="0" w:color="C5D8EC"/>
              <w:bottom w:val="single" w:sz="1" w:space="0" w:color="C5D8EC"/>
              <w:right w:val="single" w:sz="1" w:space="0" w:color="C5D8EC"/>
            </w:tcBorders>
            <w:shd w:val="clear" w:color="auto" w:fill="F0F7FF"/>
            <w:tcMar>
              <w:top w:w="100" w:type="dxa"/>
              <w:left w:w="180" w:type="dxa"/>
              <w:bottom w:w="100" w:type="dxa"/>
              <w:right w:w="120" w:type="dxa"/>
            </w:tcMar>
          </w:tcPr>
          <w:p w14:paraId="618AFD6B" w14:textId="77777777" w:rsidR="00686657" w:rsidRDefault="00000000">
            <w:r>
              <w:rPr>
                <w:color w:val="1A1A2E"/>
                <w:sz w:val="21"/>
                <w:szCs w:val="21"/>
              </w:rPr>
              <w:t>Repeat customers contribute 74% of total revenue despite being 33% of the ordering base. The funnel shows 18,400 registered customers, of whom only 12,340 (67%) have ever placed an order. 2,810 customers (15%) have returned at least one item. Priority: Convert the 6,060 registered-but-never-ordered customers through targeted re-activation campaigns.</w:t>
            </w:r>
          </w:p>
        </w:tc>
      </w:tr>
    </w:tbl>
    <w:p w14:paraId="355248D3" w14:textId="77777777" w:rsidR="00686657" w:rsidRDefault="00686657">
      <w:pPr>
        <w:spacing w:before="120" w:after="60"/>
      </w:pPr>
    </w:p>
    <w:p w14:paraId="30C088F7" w14:textId="77777777" w:rsidR="00686657" w:rsidRDefault="00000000">
      <w:pPr>
        <w:pStyle w:val="Heading2"/>
        <w:pBdr>
          <w:bottom w:val="single" w:sz="4" w:space="2" w:color="2E75B6"/>
        </w:pBdr>
      </w:pPr>
      <w:r>
        <w:t>STAR Insight 7 — Category &amp; Brand Revenue Pareto</w:t>
      </w:r>
    </w:p>
    <w:p w14:paraId="65533C0D" w14:textId="77777777" w:rsidR="00686657" w:rsidRDefault="00686657">
      <w:pPr>
        <w:spacing w:before="4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6"/>
        <w:gridCol w:w="7894"/>
      </w:tblGrid>
      <w:tr w:rsidR="00686657" w14:paraId="6BA1DDB3" w14:textId="77777777">
        <w:tblPrEx>
          <w:tblCellMar>
            <w:top w:w="0" w:type="dxa"/>
            <w:bottom w:w="0" w:type="dxa"/>
          </w:tblCellMar>
        </w:tblPrEx>
        <w:tc>
          <w:tcPr>
            <w:tcW w:w="1400" w:type="dxa"/>
            <w:tcBorders>
              <w:top w:val="single" w:sz="1" w:space="0" w:color="C5D8EC"/>
              <w:left w:val="single" w:sz="1" w:space="0" w:color="C5D8EC"/>
              <w:bottom w:val="single" w:sz="1" w:space="0" w:color="C5D8EC"/>
              <w:right w:val="single" w:sz="1" w:space="0" w:color="C5D8EC"/>
            </w:tcBorders>
            <w:shd w:val="clear" w:color="auto" w:fill="2E75B6"/>
            <w:tcMar>
              <w:top w:w="120" w:type="dxa"/>
              <w:left w:w="160" w:type="dxa"/>
              <w:bottom w:w="120" w:type="dxa"/>
              <w:right w:w="120" w:type="dxa"/>
            </w:tcMar>
            <w:vAlign w:val="center"/>
          </w:tcPr>
          <w:p w14:paraId="4533B423" w14:textId="77777777" w:rsidR="00686657" w:rsidRDefault="00000000">
            <w:pPr>
              <w:jc w:val="center"/>
            </w:pPr>
            <w:r>
              <w:rPr>
                <w:b/>
                <w:bCs/>
                <w:color w:val="FFFFFF"/>
              </w:rPr>
              <w:t>SITUATION</w:t>
            </w:r>
          </w:p>
        </w:tc>
        <w:tc>
          <w:tcPr>
            <w:tcW w:w="7960" w:type="dxa"/>
            <w:tcBorders>
              <w:top w:val="single" w:sz="1" w:space="0" w:color="C5D8EC"/>
              <w:left w:val="single" w:sz="1" w:space="0" w:color="C5D8EC"/>
              <w:bottom w:val="single" w:sz="1" w:space="0" w:color="C5D8EC"/>
              <w:right w:val="single" w:sz="1" w:space="0" w:color="C5D8EC"/>
            </w:tcBorders>
            <w:shd w:val="clear" w:color="auto" w:fill="F0F7FF"/>
            <w:tcMar>
              <w:top w:w="100" w:type="dxa"/>
              <w:left w:w="180" w:type="dxa"/>
              <w:bottom w:w="100" w:type="dxa"/>
              <w:right w:w="120" w:type="dxa"/>
            </w:tcMar>
          </w:tcPr>
          <w:p w14:paraId="6B926E64" w14:textId="77777777" w:rsidR="00686657" w:rsidRDefault="00000000">
            <w:r>
              <w:rPr>
                <w:color w:val="1A1A2E"/>
                <w:sz w:val="21"/>
                <w:szCs w:val="21"/>
              </w:rPr>
              <w:t>Across multiple product categories and brands, revenue contribution follows a Pareto distribution. Identifying the 20% of SKUs and brands driving 80% of revenue enables focused merchandising and supplier negotiations.</w:t>
            </w:r>
          </w:p>
        </w:tc>
      </w:tr>
    </w:tbl>
    <w:p w14:paraId="3BC3011B" w14:textId="77777777" w:rsidR="00686657" w:rsidRDefault="00686657">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686657" w14:paraId="3C08E13E" w14:textId="77777777">
        <w:tblPrEx>
          <w:tblCellMar>
            <w:top w:w="0" w:type="dxa"/>
            <w:bottom w:w="0" w:type="dxa"/>
          </w:tblCellMar>
        </w:tblPrEx>
        <w:tc>
          <w:tcPr>
            <w:tcW w:w="1400" w:type="dxa"/>
            <w:tcBorders>
              <w:top w:val="single" w:sz="1" w:space="0" w:color="C5D8EC"/>
              <w:left w:val="single" w:sz="1" w:space="0" w:color="C5D8EC"/>
              <w:bottom w:val="single" w:sz="1" w:space="0" w:color="C5D8EC"/>
              <w:right w:val="single" w:sz="1" w:space="0" w:color="C5D8EC"/>
            </w:tcBorders>
            <w:shd w:val="clear" w:color="auto" w:fill="2E75B6"/>
            <w:tcMar>
              <w:top w:w="120" w:type="dxa"/>
              <w:left w:w="160" w:type="dxa"/>
              <w:bottom w:w="120" w:type="dxa"/>
              <w:right w:w="120" w:type="dxa"/>
            </w:tcMar>
            <w:vAlign w:val="center"/>
          </w:tcPr>
          <w:p w14:paraId="430E43FF" w14:textId="77777777" w:rsidR="00686657" w:rsidRDefault="00000000">
            <w:pPr>
              <w:jc w:val="center"/>
            </w:pPr>
            <w:r>
              <w:rPr>
                <w:b/>
                <w:bCs/>
                <w:color w:val="FFFFFF"/>
              </w:rPr>
              <w:t>TASK</w:t>
            </w:r>
          </w:p>
        </w:tc>
        <w:tc>
          <w:tcPr>
            <w:tcW w:w="7960" w:type="dxa"/>
            <w:tcBorders>
              <w:top w:val="single" w:sz="1" w:space="0" w:color="C5D8EC"/>
              <w:left w:val="single" w:sz="1" w:space="0" w:color="C5D8EC"/>
              <w:bottom w:val="single" w:sz="1" w:space="0" w:color="C5D8EC"/>
              <w:right w:val="single" w:sz="1" w:space="0" w:color="C5D8EC"/>
            </w:tcBorders>
            <w:shd w:val="clear" w:color="auto" w:fill="F0F7FF"/>
            <w:tcMar>
              <w:top w:w="100" w:type="dxa"/>
              <w:left w:w="180" w:type="dxa"/>
              <w:bottom w:w="100" w:type="dxa"/>
              <w:right w:w="120" w:type="dxa"/>
            </w:tcMar>
          </w:tcPr>
          <w:p w14:paraId="155369A7" w14:textId="77777777" w:rsidR="00686657" w:rsidRDefault="00000000">
            <w:r>
              <w:rPr>
                <w:color w:val="1A1A2E"/>
                <w:sz w:val="21"/>
                <w:szCs w:val="21"/>
              </w:rPr>
              <w:t>Rank categories and brands by line-total revenue contribution to determine where buying, pricing, and marketing budgets should be concentrated.</w:t>
            </w:r>
          </w:p>
        </w:tc>
      </w:tr>
    </w:tbl>
    <w:p w14:paraId="3BB5DC7E" w14:textId="77777777" w:rsidR="00686657" w:rsidRDefault="00686657">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686657" w14:paraId="5E11ED3C" w14:textId="77777777">
        <w:tblPrEx>
          <w:tblCellMar>
            <w:top w:w="0" w:type="dxa"/>
            <w:bottom w:w="0" w:type="dxa"/>
          </w:tblCellMar>
        </w:tblPrEx>
        <w:tc>
          <w:tcPr>
            <w:tcW w:w="1400" w:type="dxa"/>
            <w:tcBorders>
              <w:top w:val="single" w:sz="1" w:space="0" w:color="C5D8EC"/>
              <w:left w:val="single" w:sz="1" w:space="0" w:color="C5D8EC"/>
              <w:bottom w:val="single" w:sz="1" w:space="0" w:color="C5D8EC"/>
              <w:right w:val="single" w:sz="1" w:space="0" w:color="C5D8EC"/>
            </w:tcBorders>
            <w:shd w:val="clear" w:color="auto" w:fill="2E75B6"/>
            <w:tcMar>
              <w:top w:w="120" w:type="dxa"/>
              <w:left w:w="160" w:type="dxa"/>
              <w:bottom w:w="120" w:type="dxa"/>
              <w:right w:w="120" w:type="dxa"/>
            </w:tcMar>
            <w:vAlign w:val="center"/>
          </w:tcPr>
          <w:p w14:paraId="4AD8A6DD" w14:textId="77777777" w:rsidR="00686657" w:rsidRDefault="00000000">
            <w:pPr>
              <w:jc w:val="center"/>
            </w:pPr>
            <w:r>
              <w:rPr>
                <w:b/>
                <w:bCs/>
                <w:color w:val="FFFFFF"/>
              </w:rPr>
              <w:t>ACTION</w:t>
            </w:r>
          </w:p>
        </w:tc>
        <w:tc>
          <w:tcPr>
            <w:tcW w:w="7960" w:type="dxa"/>
            <w:tcBorders>
              <w:top w:val="single" w:sz="1" w:space="0" w:color="C5D8EC"/>
              <w:left w:val="single" w:sz="1" w:space="0" w:color="C5D8EC"/>
              <w:bottom w:val="single" w:sz="1" w:space="0" w:color="C5D8EC"/>
              <w:right w:val="single" w:sz="1" w:space="0" w:color="C5D8EC"/>
            </w:tcBorders>
            <w:shd w:val="clear" w:color="auto" w:fill="F0F7FF"/>
            <w:tcMar>
              <w:top w:w="100" w:type="dxa"/>
              <w:left w:w="180" w:type="dxa"/>
              <w:bottom w:w="100" w:type="dxa"/>
              <w:right w:w="120" w:type="dxa"/>
            </w:tcMar>
          </w:tcPr>
          <w:p w14:paraId="748644FF" w14:textId="77777777" w:rsidR="00686657" w:rsidRDefault="00000000">
            <w:r>
              <w:rPr>
                <w:color w:val="1A1A2E"/>
                <w:sz w:val="21"/>
                <w:szCs w:val="21"/>
              </w:rPr>
              <w:t xml:space="preserve">SQL Insight 13 joins products and </w:t>
            </w:r>
            <w:proofErr w:type="spellStart"/>
            <w:r>
              <w:rPr>
                <w:color w:val="1A1A2E"/>
                <w:sz w:val="21"/>
                <w:szCs w:val="21"/>
              </w:rPr>
              <w:t>order_items</w:t>
            </w:r>
            <w:proofErr w:type="spellEnd"/>
            <w:r>
              <w:rPr>
                <w:color w:val="1A1A2E"/>
                <w:sz w:val="21"/>
                <w:szCs w:val="21"/>
              </w:rPr>
              <w:t xml:space="preserve"> on </w:t>
            </w:r>
            <w:proofErr w:type="spellStart"/>
            <w:r>
              <w:rPr>
                <w:color w:val="1A1A2E"/>
                <w:sz w:val="21"/>
                <w:szCs w:val="21"/>
              </w:rPr>
              <w:t>product_id</w:t>
            </w:r>
            <w:proofErr w:type="spellEnd"/>
            <w:r>
              <w:rPr>
                <w:color w:val="1A1A2E"/>
                <w:sz w:val="21"/>
                <w:szCs w:val="21"/>
              </w:rPr>
              <w:t xml:space="preserve"> and groups by category. Insight 23 groups by brand. Both use </w:t>
            </w:r>
            <w:proofErr w:type="gramStart"/>
            <w:r>
              <w:rPr>
                <w:color w:val="1A1A2E"/>
                <w:sz w:val="21"/>
                <w:szCs w:val="21"/>
              </w:rPr>
              <w:t>SUM(</w:t>
            </w:r>
            <w:proofErr w:type="spellStart"/>
            <w:proofErr w:type="gramEnd"/>
            <w:r>
              <w:rPr>
                <w:color w:val="1A1A2E"/>
                <w:sz w:val="21"/>
                <w:szCs w:val="21"/>
              </w:rPr>
              <w:t>line_total</w:t>
            </w:r>
            <w:proofErr w:type="spellEnd"/>
            <w:r>
              <w:rPr>
                <w:color w:val="1A1A2E"/>
                <w:sz w:val="21"/>
                <w:szCs w:val="21"/>
              </w:rPr>
              <w:t>) and ORDER BY DESC. The Pareto analysis stacks cumulative percentage using a running SUM window function.</w:t>
            </w:r>
          </w:p>
        </w:tc>
      </w:tr>
    </w:tbl>
    <w:p w14:paraId="70C707B6" w14:textId="77777777" w:rsidR="00686657" w:rsidRDefault="00686657">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686657" w14:paraId="683E84FA" w14:textId="77777777">
        <w:tblPrEx>
          <w:tblCellMar>
            <w:top w:w="0" w:type="dxa"/>
            <w:bottom w:w="0" w:type="dxa"/>
          </w:tblCellMar>
        </w:tblPrEx>
        <w:tc>
          <w:tcPr>
            <w:tcW w:w="1400" w:type="dxa"/>
            <w:tcBorders>
              <w:top w:val="single" w:sz="1" w:space="0" w:color="C5D8EC"/>
              <w:left w:val="single" w:sz="1" w:space="0" w:color="C5D8EC"/>
              <w:bottom w:val="single" w:sz="1" w:space="0" w:color="C5D8EC"/>
              <w:right w:val="single" w:sz="1" w:space="0" w:color="C5D8EC"/>
            </w:tcBorders>
            <w:shd w:val="clear" w:color="auto" w:fill="2E75B6"/>
            <w:tcMar>
              <w:top w:w="120" w:type="dxa"/>
              <w:left w:w="160" w:type="dxa"/>
              <w:bottom w:w="120" w:type="dxa"/>
              <w:right w:w="120" w:type="dxa"/>
            </w:tcMar>
            <w:vAlign w:val="center"/>
          </w:tcPr>
          <w:p w14:paraId="1E7FC70F" w14:textId="77777777" w:rsidR="00686657" w:rsidRDefault="00000000">
            <w:pPr>
              <w:jc w:val="center"/>
            </w:pPr>
            <w:r>
              <w:rPr>
                <w:b/>
                <w:bCs/>
                <w:color w:val="FFFFFF"/>
              </w:rPr>
              <w:t>RESULT</w:t>
            </w:r>
          </w:p>
        </w:tc>
        <w:tc>
          <w:tcPr>
            <w:tcW w:w="7960" w:type="dxa"/>
            <w:tcBorders>
              <w:top w:val="single" w:sz="1" w:space="0" w:color="C5D8EC"/>
              <w:left w:val="single" w:sz="1" w:space="0" w:color="C5D8EC"/>
              <w:bottom w:val="single" w:sz="1" w:space="0" w:color="C5D8EC"/>
              <w:right w:val="single" w:sz="1" w:space="0" w:color="C5D8EC"/>
            </w:tcBorders>
            <w:shd w:val="clear" w:color="auto" w:fill="F0F7FF"/>
            <w:tcMar>
              <w:top w:w="100" w:type="dxa"/>
              <w:left w:w="180" w:type="dxa"/>
              <w:bottom w:w="100" w:type="dxa"/>
              <w:right w:w="120" w:type="dxa"/>
            </w:tcMar>
          </w:tcPr>
          <w:p w14:paraId="27043A55" w14:textId="77777777" w:rsidR="00686657" w:rsidRDefault="00000000">
            <w:r>
              <w:rPr>
                <w:color w:val="1A1A2E"/>
                <w:sz w:val="21"/>
                <w:szCs w:val="21"/>
              </w:rPr>
              <w:t>Electronics (₹14.2M) and Clothing (₹10.8M) together account for 53% of category revenue. Samsung (₹9.2M) and Nike (₹6.8M) lead brand revenue. The top 3 brands cover ∼45% of total brand revenue, confirming a Pareto concentration. Recommendation: Negotiate volume-based rebates with Samsung and Nike while diversifying into mid-tier brands to reduce supplier dependency.</w:t>
            </w:r>
          </w:p>
        </w:tc>
      </w:tr>
    </w:tbl>
    <w:p w14:paraId="41804A34" w14:textId="77777777" w:rsidR="00686657" w:rsidRDefault="00686657">
      <w:pPr>
        <w:spacing w:before="120" w:after="60"/>
      </w:pPr>
    </w:p>
    <w:p w14:paraId="71AB8F7E" w14:textId="77777777" w:rsidR="00686657" w:rsidRDefault="00000000">
      <w:pPr>
        <w:pStyle w:val="Heading2"/>
        <w:pBdr>
          <w:bottom w:val="single" w:sz="4" w:space="2" w:color="2E75B6"/>
        </w:pBdr>
      </w:pPr>
      <w:r>
        <w:t>STAR Insight 8 — Top Products by Quantity &amp; Basket Size</w:t>
      </w:r>
    </w:p>
    <w:p w14:paraId="5DACD679" w14:textId="77777777" w:rsidR="00686657" w:rsidRDefault="00686657">
      <w:pPr>
        <w:spacing w:before="4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6"/>
        <w:gridCol w:w="7894"/>
      </w:tblGrid>
      <w:tr w:rsidR="00686657" w14:paraId="233B626E" w14:textId="77777777">
        <w:tblPrEx>
          <w:tblCellMar>
            <w:top w:w="0" w:type="dxa"/>
            <w:bottom w:w="0" w:type="dxa"/>
          </w:tblCellMar>
        </w:tblPrEx>
        <w:tc>
          <w:tcPr>
            <w:tcW w:w="1400" w:type="dxa"/>
            <w:tcBorders>
              <w:top w:val="single" w:sz="1" w:space="0" w:color="C5D8EC"/>
              <w:left w:val="single" w:sz="1" w:space="0" w:color="C5D8EC"/>
              <w:bottom w:val="single" w:sz="1" w:space="0" w:color="C5D8EC"/>
              <w:right w:val="single" w:sz="1" w:space="0" w:color="C5D8EC"/>
            </w:tcBorders>
            <w:shd w:val="clear" w:color="auto" w:fill="2E75B6"/>
            <w:tcMar>
              <w:top w:w="120" w:type="dxa"/>
              <w:left w:w="160" w:type="dxa"/>
              <w:bottom w:w="120" w:type="dxa"/>
              <w:right w:w="120" w:type="dxa"/>
            </w:tcMar>
            <w:vAlign w:val="center"/>
          </w:tcPr>
          <w:p w14:paraId="4AACC9FB" w14:textId="77777777" w:rsidR="00686657" w:rsidRDefault="00000000">
            <w:pPr>
              <w:jc w:val="center"/>
            </w:pPr>
            <w:r>
              <w:rPr>
                <w:b/>
                <w:bCs/>
                <w:color w:val="FFFFFF"/>
              </w:rPr>
              <w:t>SITUATION</w:t>
            </w:r>
          </w:p>
        </w:tc>
        <w:tc>
          <w:tcPr>
            <w:tcW w:w="7960" w:type="dxa"/>
            <w:tcBorders>
              <w:top w:val="single" w:sz="1" w:space="0" w:color="C5D8EC"/>
              <w:left w:val="single" w:sz="1" w:space="0" w:color="C5D8EC"/>
              <w:bottom w:val="single" w:sz="1" w:space="0" w:color="C5D8EC"/>
              <w:right w:val="single" w:sz="1" w:space="0" w:color="C5D8EC"/>
            </w:tcBorders>
            <w:shd w:val="clear" w:color="auto" w:fill="F0F7FF"/>
            <w:tcMar>
              <w:top w:w="100" w:type="dxa"/>
              <w:left w:w="180" w:type="dxa"/>
              <w:bottom w:w="100" w:type="dxa"/>
              <w:right w:w="120" w:type="dxa"/>
            </w:tcMar>
          </w:tcPr>
          <w:p w14:paraId="61CD7CD8" w14:textId="77777777" w:rsidR="00686657" w:rsidRDefault="00000000">
            <w:r>
              <w:rPr>
                <w:color w:val="1A1A2E"/>
                <w:sz w:val="21"/>
                <w:szCs w:val="21"/>
              </w:rPr>
              <w:t>The average basket size of 3.4 items per order and AOV of ₹17.96K indicate moderate cross-sell penetration. Identifying which products drive the highest unit volumes reveals bundling and upsell opportunities.</w:t>
            </w:r>
          </w:p>
        </w:tc>
      </w:tr>
    </w:tbl>
    <w:p w14:paraId="383BE862" w14:textId="77777777" w:rsidR="00686657" w:rsidRDefault="00686657">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686657" w14:paraId="3E250EAE" w14:textId="77777777">
        <w:tblPrEx>
          <w:tblCellMar>
            <w:top w:w="0" w:type="dxa"/>
            <w:bottom w:w="0" w:type="dxa"/>
          </w:tblCellMar>
        </w:tblPrEx>
        <w:tc>
          <w:tcPr>
            <w:tcW w:w="1400" w:type="dxa"/>
            <w:tcBorders>
              <w:top w:val="single" w:sz="1" w:space="0" w:color="C5D8EC"/>
              <w:left w:val="single" w:sz="1" w:space="0" w:color="C5D8EC"/>
              <w:bottom w:val="single" w:sz="1" w:space="0" w:color="C5D8EC"/>
              <w:right w:val="single" w:sz="1" w:space="0" w:color="C5D8EC"/>
            </w:tcBorders>
            <w:shd w:val="clear" w:color="auto" w:fill="2E75B6"/>
            <w:tcMar>
              <w:top w:w="120" w:type="dxa"/>
              <w:left w:w="160" w:type="dxa"/>
              <w:bottom w:w="120" w:type="dxa"/>
              <w:right w:w="120" w:type="dxa"/>
            </w:tcMar>
            <w:vAlign w:val="center"/>
          </w:tcPr>
          <w:p w14:paraId="6D4EC9F2" w14:textId="77777777" w:rsidR="00686657" w:rsidRDefault="00000000">
            <w:pPr>
              <w:jc w:val="center"/>
            </w:pPr>
            <w:r>
              <w:rPr>
                <w:b/>
                <w:bCs/>
                <w:color w:val="FFFFFF"/>
              </w:rPr>
              <w:t>TASK</w:t>
            </w:r>
          </w:p>
        </w:tc>
        <w:tc>
          <w:tcPr>
            <w:tcW w:w="7960" w:type="dxa"/>
            <w:tcBorders>
              <w:top w:val="single" w:sz="1" w:space="0" w:color="C5D8EC"/>
              <w:left w:val="single" w:sz="1" w:space="0" w:color="C5D8EC"/>
              <w:bottom w:val="single" w:sz="1" w:space="0" w:color="C5D8EC"/>
              <w:right w:val="single" w:sz="1" w:space="0" w:color="C5D8EC"/>
            </w:tcBorders>
            <w:shd w:val="clear" w:color="auto" w:fill="F0F7FF"/>
            <w:tcMar>
              <w:top w:w="100" w:type="dxa"/>
              <w:left w:w="180" w:type="dxa"/>
              <w:bottom w:w="100" w:type="dxa"/>
              <w:right w:w="120" w:type="dxa"/>
            </w:tcMar>
          </w:tcPr>
          <w:p w14:paraId="02A63AA9" w14:textId="77777777" w:rsidR="00686657" w:rsidRDefault="00000000">
            <w:r>
              <w:rPr>
                <w:color w:val="1A1A2E"/>
                <w:sz w:val="21"/>
                <w:szCs w:val="21"/>
              </w:rPr>
              <w:t>Identify the top 5 products by quantity sold and assess whether high-volume products are also high-revenue contributors or low-margin volume drivers.</w:t>
            </w:r>
          </w:p>
        </w:tc>
      </w:tr>
    </w:tbl>
    <w:p w14:paraId="2EB10647" w14:textId="77777777" w:rsidR="00686657" w:rsidRDefault="00686657">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686657" w14:paraId="75FDE801" w14:textId="77777777">
        <w:tblPrEx>
          <w:tblCellMar>
            <w:top w:w="0" w:type="dxa"/>
            <w:bottom w:w="0" w:type="dxa"/>
          </w:tblCellMar>
        </w:tblPrEx>
        <w:tc>
          <w:tcPr>
            <w:tcW w:w="1400" w:type="dxa"/>
            <w:tcBorders>
              <w:top w:val="single" w:sz="1" w:space="0" w:color="C5D8EC"/>
              <w:left w:val="single" w:sz="1" w:space="0" w:color="C5D8EC"/>
              <w:bottom w:val="single" w:sz="1" w:space="0" w:color="C5D8EC"/>
              <w:right w:val="single" w:sz="1" w:space="0" w:color="C5D8EC"/>
            </w:tcBorders>
            <w:shd w:val="clear" w:color="auto" w:fill="2E75B6"/>
            <w:tcMar>
              <w:top w:w="120" w:type="dxa"/>
              <w:left w:w="160" w:type="dxa"/>
              <w:bottom w:w="120" w:type="dxa"/>
              <w:right w:w="120" w:type="dxa"/>
            </w:tcMar>
            <w:vAlign w:val="center"/>
          </w:tcPr>
          <w:p w14:paraId="584A8CD6" w14:textId="77777777" w:rsidR="00686657" w:rsidRDefault="00000000">
            <w:pPr>
              <w:jc w:val="center"/>
            </w:pPr>
            <w:r>
              <w:rPr>
                <w:b/>
                <w:bCs/>
                <w:color w:val="FFFFFF"/>
              </w:rPr>
              <w:lastRenderedPageBreak/>
              <w:t>ACTION</w:t>
            </w:r>
          </w:p>
        </w:tc>
        <w:tc>
          <w:tcPr>
            <w:tcW w:w="7960" w:type="dxa"/>
            <w:tcBorders>
              <w:top w:val="single" w:sz="1" w:space="0" w:color="C5D8EC"/>
              <w:left w:val="single" w:sz="1" w:space="0" w:color="C5D8EC"/>
              <w:bottom w:val="single" w:sz="1" w:space="0" w:color="C5D8EC"/>
              <w:right w:val="single" w:sz="1" w:space="0" w:color="C5D8EC"/>
            </w:tcBorders>
            <w:shd w:val="clear" w:color="auto" w:fill="F0F7FF"/>
            <w:tcMar>
              <w:top w:w="100" w:type="dxa"/>
              <w:left w:w="180" w:type="dxa"/>
              <w:bottom w:w="100" w:type="dxa"/>
              <w:right w:w="120" w:type="dxa"/>
            </w:tcMar>
          </w:tcPr>
          <w:p w14:paraId="3F09CCAD" w14:textId="69F30B74" w:rsidR="00686657" w:rsidRDefault="00000000">
            <w:r>
              <w:rPr>
                <w:color w:val="1A1A2E"/>
                <w:sz w:val="21"/>
                <w:szCs w:val="21"/>
              </w:rPr>
              <w:t xml:space="preserve">SQL Insight 12 joins products and </w:t>
            </w:r>
            <w:r w:rsidR="00B51118">
              <w:rPr>
                <w:color w:val="1A1A2E"/>
                <w:sz w:val="21"/>
                <w:szCs w:val="21"/>
              </w:rPr>
              <w:t>order items</w:t>
            </w:r>
            <w:r>
              <w:rPr>
                <w:color w:val="1A1A2E"/>
                <w:sz w:val="21"/>
                <w:szCs w:val="21"/>
              </w:rPr>
              <w:t xml:space="preserve"> on </w:t>
            </w:r>
            <w:r w:rsidR="00B51118">
              <w:rPr>
                <w:color w:val="1A1A2E"/>
                <w:sz w:val="21"/>
                <w:szCs w:val="21"/>
              </w:rPr>
              <w:t>productid</w:t>
            </w:r>
            <w:r>
              <w:rPr>
                <w:color w:val="1A1A2E"/>
                <w:sz w:val="21"/>
                <w:szCs w:val="21"/>
              </w:rPr>
              <w:t xml:space="preserve"> and groups by </w:t>
            </w:r>
            <w:r w:rsidR="00B51118">
              <w:rPr>
                <w:color w:val="1A1A2E"/>
                <w:sz w:val="21"/>
                <w:szCs w:val="21"/>
              </w:rPr>
              <w:t>product name</w:t>
            </w:r>
            <w:r>
              <w:rPr>
                <w:color w:val="1A1A2E"/>
                <w:sz w:val="21"/>
                <w:szCs w:val="21"/>
              </w:rPr>
              <w:t xml:space="preserve"> using </w:t>
            </w:r>
            <w:proofErr w:type="gramStart"/>
            <w:r>
              <w:rPr>
                <w:color w:val="1A1A2E"/>
                <w:sz w:val="21"/>
                <w:szCs w:val="21"/>
              </w:rPr>
              <w:t>SUM(</w:t>
            </w:r>
            <w:proofErr w:type="gramEnd"/>
            <w:r>
              <w:rPr>
                <w:color w:val="1A1A2E"/>
                <w:sz w:val="21"/>
                <w:szCs w:val="21"/>
              </w:rPr>
              <w:t>quantity) ORDER BY DESC LIMIT 5. Insight 15 computes average basket size via a subquery on item counts per order.</w:t>
            </w:r>
          </w:p>
        </w:tc>
      </w:tr>
    </w:tbl>
    <w:p w14:paraId="28BA626E" w14:textId="77777777" w:rsidR="00686657" w:rsidRDefault="00686657">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686657" w14:paraId="0DB1557A" w14:textId="77777777">
        <w:tblPrEx>
          <w:tblCellMar>
            <w:top w:w="0" w:type="dxa"/>
            <w:bottom w:w="0" w:type="dxa"/>
          </w:tblCellMar>
        </w:tblPrEx>
        <w:tc>
          <w:tcPr>
            <w:tcW w:w="1400" w:type="dxa"/>
            <w:tcBorders>
              <w:top w:val="single" w:sz="1" w:space="0" w:color="C5D8EC"/>
              <w:left w:val="single" w:sz="1" w:space="0" w:color="C5D8EC"/>
              <w:bottom w:val="single" w:sz="1" w:space="0" w:color="C5D8EC"/>
              <w:right w:val="single" w:sz="1" w:space="0" w:color="C5D8EC"/>
            </w:tcBorders>
            <w:shd w:val="clear" w:color="auto" w:fill="2E75B6"/>
            <w:tcMar>
              <w:top w:w="120" w:type="dxa"/>
              <w:left w:w="160" w:type="dxa"/>
              <w:bottom w:w="120" w:type="dxa"/>
              <w:right w:w="120" w:type="dxa"/>
            </w:tcMar>
            <w:vAlign w:val="center"/>
          </w:tcPr>
          <w:p w14:paraId="115ED760" w14:textId="77777777" w:rsidR="00686657" w:rsidRDefault="00000000">
            <w:pPr>
              <w:jc w:val="center"/>
            </w:pPr>
            <w:r>
              <w:rPr>
                <w:b/>
                <w:bCs/>
                <w:color w:val="FFFFFF"/>
              </w:rPr>
              <w:t>RESULT</w:t>
            </w:r>
          </w:p>
        </w:tc>
        <w:tc>
          <w:tcPr>
            <w:tcW w:w="7960" w:type="dxa"/>
            <w:tcBorders>
              <w:top w:val="single" w:sz="1" w:space="0" w:color="C5D8EC"/>
              <w:left w:val="single" w:sz="1" w:space="0" w:color="C5D8EC"/>
              <w:bottom w:val="single" w:sz="1" w:space="0" w:color="C5D8EC"/>
              <w:right w:val="single" w:sz="1" w:space="0" w:color="C5D8EC"/>
            </w:tcBorders>
            <w:shd w:val="clear" w:color="auto" w:fill="F0F7FF"/>
            <w:tcMar>
              <w:top w:w="100" w:type="dxa"/>
              <w:left w:w="180" w:type="dxa"/>
              <w:bottom w:w="100" w:type="dxa"/>
              <w:right w:w="120" w:type="dxa"/>
            </w:tcMar>
          </w:tcPr>
          <w:p w14:paraId="7E79474D" w14:textId="5798F3A3" w:rsidR="00686657" w:rsidRDefault="00000000">
            <w:r>
              <w:rPr>
                <w:color w:val="1A1A2E"/>
                <w:sz w:val="21"/>
                <w:szCs w:val="21"/>
              </w:rPr>
              <w:t xml:space="preserve">Wireless Earbuds lead with 1,840 units sold, followed by Cotton T-Shirt (1,620) and Running Shoes (1,380). These high-velocity SKUs are strong candidates for bundle promotions. Cross-referencing with </w:t>
            </w:r>
            <w:r w:rsidR="00B51118">
              <w:rPr>
                <w:color w:val="1A1A2E"/>
                <w:sz w:val="21"/>
                <w:szCs w:val="21"/>
              </w:rPr>
              <w:t>line total</w:t>
            </w:r>
            <w:r>
              <w:rPr>
                <w:color w:val="1A1A2E"/>
                <w:sz w:val="21"/>
                <w:szCs w:val="21"/>
              </w:rPr>
              <w:t xml:space="preserve"> reveals that Earbuds drive disproportionate revenue per unit, making them the priority upsell anchor product.</w:t>
            </w:r>
          </w:p>
        </w:tc>
      </w:tr>
    </w:tbl>
    <w:p w14:paraId="03CF3B05" w14:textId="77777777" w:rsidR="00B51118" w:rsidRDefault="00B51118"/>
    <w:p w14:paraId="6EE9AD92" w14:textId="77777777" w:rsidR="00B51118" w:rsidRDefault="00B51118"/>
    <w:p w14:paraId="28A22DA4" w14:textId="77777777" w:rsidR="00686657" w:rsidRDefault="00000000">
      <w:pPr>
        <w:pStyle w:val="Heading1"/>
        <w:shd w:val="clear" w:color="auto" w:fill="1E3A5F"/>
        <w:ind w:left="200"/>
      </w:pPr>
      <w:r>
        <w:t>Page 3 — Returns &amp; Risk</w:t>
      </w:r>
    </w:p>
    <w:p w14:paraId="70BDB82E" w14:textId="77777777" w:rsidR="00686657" w:rsidRDefault="00686657">
      <w:pPr>
        <w:spacing w:before="40" w:after="20"/>
      </w:pPr>
    </w:p>
    <w:p w14:paraId="394FA11E" w14:textId="77777777" w:rsidR="00686657" w:rsidRDefault="00000000">
      <w:pPr>
        <w:spacing w:before="60" w:after="60"/>
      </w:pPr>
      <w:r>
        <w:rPr>
          <w:color w:val="5A6A7A"/>
        </w:rPr>
        <w:t>Focus area: Category return rates, return reason analysis, state-level refund exposure, high-return customers, city fulfilment efficiency, and MoM revenue recovery.</w:t>
      </w:r>
    </w:p>
    <w:p w14:paraId="3EE4BEA9" w14:textId="77777777" w:rsidR="00686657" w:rsidRDefault="00686657">
      <w:pPr>
        <w:spacing w:before="120" w:after="60"/>
      </w:pPr>
    </w:p>
    <w:p w14:paraId="68732D2A" w14:textId="77777777" w:rsidR="00686657" w:rsidRDefault="00000000">
      <w:pPr>
        <w:pStyle w:val="Heading2"/>
        <w:pBdr>
          <w:bottom w:val="single" w:sz="4" w:space="2" w:color="2E75B6"/>
        </w:pBdr>
      </w:pPr>
      <w:r>
        <w:t>STAR Insight 9 — Category-Wise Return Rates</w:t>
      </w:r>
    </w:p>
    <w:p w14:paraId="259880F2" w14:textId="77777777" w:rsidR="00686657" w:rsidRDefault="00686657">
      <w:pPr>
        <w:spacing w:before="4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6"/>
        <w:gridCol w:w="7894"/>
      </w:tblGrid>
      <w:tr w:rsidR="00686657" w14:paraId="4C9A21CB" w14:textId="77777777">
        <w:tblPrEx>
          <w:tblCellMar>
            <w:top w:w="0" w:type="dxa"/>
            <w:bottom w:w="0" w:type="dxa"/>
          </w:tblCellMar>
        </w:tblPrEx>
        <w:tc>
          <w:tcPr>
            <w:tcW w:w="1400" w:type="dxa"/>
            <w:tcBorders>
              <w:top w:val="single" w:sz="1" w:space="0" w:color="C5D8EC"/>
              <w:left w:val="single" w:sz="1" w:space="0" w:color="C5D8EC"/>
              <w:bottom w:val="single" w:sz="1" w:space="0" w:color="C5D8EC"/>
              <w:right w:val="single" w:sz="1" w:space="0" w:color="C5D8EC"/>
            </w:tcBorders>
            <w:shd w:val="clear" w:color="auto" w:fill="2E75B6"/>
            <w:tcMar>
              <w:top w:w="120" w:type="dxa"/>
              <w:left w:w="160" w:type="dxa"/>
              <w:bottom w:w="120" w:type="dxa"/>
              <w:right w:w="120" w:type="dxa"/>
            </w:tcMar>
            <w:vAlign w:val="center"/>
          </w:tcPr>
          <w:p w14:paraId="669791D6" w14:textId="77777777" w:rsidR="00686657" w:rsidRDefault="00000000">
            <w:pPr>
              <w:jc w:val="center"/>
            </w:pPr>
            <w:r>
              <w:rPr>
                <w:b/>
                <w:bCs/>
                <w:color w:val="FFFFFF"/>
              </w:rPr>
              <w:t>SITUATION</w:t>
            </w:r>
          </w:p>
        </w:tc>
        <w:tc>
          <w:tcPr>
            <w:tcW w:w="7960" w:type="dxa"/>
            <w:tcBorders>
              <w:top w:val="single" w:sz="1" w:space="0" w:color="C5D8EC"/>
              <w:left w:val="single" w:sz="1" w:space="0" w:color="C5D8EC"/>
              <w:bottom w:val="single" w:sz="1" w:space="0" w:color="C5D8EC"/>
              <w:right w:val="single" w:sz="1" w:space="0" w:color="C5D8EC"/>
            </w:tcBorders>
            <w:shd w:val="clear" w:color="auto" w:fill="F0F7FF"/>
            <w:tcMar>
              <w:top w:w="100" w:type="dxa"/>
              <w:left w:w="180" w:type="dxa"/>
              <w:bottom w:w="100" w:type="dxa"/>
              <w:right w:w="120" w:type="dxa"/>
            </w:tcMar>
          </w:tcPr>
          <w:p w14:paraId="5FC2BB59" w14:textId="77777777" w:rsidR="00686657" w:rsidRDefault="00000000">
            <w:r>
              <w:rPr>
                <w:color w:val="1A1A2E"/>
                <w:sz w:val="21"/>
                <w:szCs w:val="21"/>
              </w:rPr>
              <w:t>Return rates vary significantly across product categories. High return rates in certain categories signal quality issues, inaccurate product descriptions, or sizing/fit problems that damage brand trust and inflate reverse logistics cost.</w:t>
            </w:r>
          </w:p>
        </w:tc>
      </w:tr>
    </w:tbl>
    <w:p w14:paraId="500F4821" w14:textId="77777777" w:rsidR="00686657" w:rsidRDefault="00686657">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686657" w14:paraId="302FE79C" w14:textId="77777777">
        <w:tblPrEx>
          <w:tblCellMar>
            <w:top w:w="0" w:type="dxa"/>
            <w:bottom w:w="0" w:type="dxa"/>
          </w:tblCellMar>
        </w:tblPrEx>
        <w:tc>
          <w:tcPr>
            <w:tcW w:w="1400" w:type="dxa"/>
            <w:tcBorders>
              <w:top w:val="single" w:sz="1" w:space="0" w:color="C5D8EC"/>
              <w:left w:val="single" w:sz="1" w:space="0" w:color="C5D8EC"/>
              <w:bottom w:val="single" w:sz="1" w:space="0" w:color="C5D8EC"/>
              <w:right w:val="single" w:sz="1" w:space="0" w:color="C5D8EC"/>
            </w:tcBorders>
            <w:shd w:val="clear" w:color="auto" w:fill="2E75B6"/>
            <w:tcMar>
              <w:top w:w="120" w:type="dxa"/>
              <w:left w:w="160" w:type="dxa"/>
              <w:bottom w:w="120" w:type="dxa"/>
              <w:right w:w="120" w:type="dxa"/>
            </w:tcMar>
            <w:vAlign w:val="center"/>
          </w:tcPr>
          <w:p w14:paraId="754EFC97" w14:textId="77777777" w:rsidR="00686657" w:rsidRDefault="00000000">
            <w:pPr>
              <w:jc w:val="center"/>
            </w:pPr>
            <w:r>
              <w:rPr>
                <w:b/>
                <w:bCs/>
                <w:color w:val="FFFFFF"/>
              </w:rPr>
              <w:t>TASK</w:t>
            </w:r>
          </w:p>
        </w:tc>
        <w:tc>
          <w:tcPr>
            <w:tcW w:w="7960" w:type="dxa"/>
            <w:tcBorders>
              <w:top w:val="single" w:sz="1" w:space="0" w:color="C5D8EC"/>
              <w:left w:val="single" w:sz="1" w:space="0" w:color="C5D8EC"/>
              <w:bottom w:val="single" w:sz="1" w:space="0" w:color="C5D8EC"/>
              <w:right w:val="single" w:sz="1" w:space="0" w:color="C5D8EC"/>
            </w:tcBorders>
            <w:shd w:val="clear" w:color="auto" w:fill="F0F7FF"/>
            <w:tcMar>
              <w:top w:w="100" w:type="dxa"/>
              <w:left w:w="180" w:type="dxa"/>
              <w:bottom w:w="100" w:type="dxa"/>
              <w:right w:w="120" w:type="dxa"/>
            </w:tcMar>
          </w:tcPr>
          <w:p w14:paraId="723D2E8E" w14:textId="77777777" w:rsidR="00686657" w:rsidRDefault="00000000">
            <w:r>
              <w:rPr>
                <w:color w:val="1A1A2E"/>
                <w:sz w:val="21"/>
                <w:szCs w:val="21"/>
              </w:rPr>
              <w:t>Identify categories with return rates exceeding acceptable thresholds and determine whether the issue is product-level, description-level, or logistics-level.</w:t>
            </w:r>
          </w:p>
        </w:tc>
      </w:tr>
    </w:tbl>
    <w:p w14:paraId="38D52669" w14:textId="77777777" w:rsidR="00686657" w:rsidRDefault="00686657">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686657" w14:paraId="2E321198" w14:textId="77777777">
        <w:tblPrEx>
          <w:tblCellMar>
            <w:top w:w="0" w:type="dxa"/>
            <w:bottom w:w="0" w:type="dxa"/>
          </w:tblCellMar>
        </w:tblPrEx>
        <w:tc>
          <w:tcPr>
            <w:tcW w:w="1400" w:type="dxa"/>
            <w:tcBorders>
              <w:top w:val="single" w:sz="1" w:space="0" w:color="C5D8EC"/>
              <w:left w:val="single" w:sz="1" w:space="0" w:color="C5D8EC"/>
              <w:bottom w:val="single" w:sz="1" w:space="0" w:color="C5D8EC"/>
              <w:right w:val="single" w:sz="1" w:space="0" w:color="C5D8EC"/>
            </w:tcBorders>
            <w:shd w:val="clear" w:color="auto" w:fill="2E75B6"/>
            <w:tcMar>
              <w:top w:w="120" w:type="dxa"/>
              <w:left w:w="160" w:type="dxa"/>
              <w:bottom w:w="120" w:type="dxa"/>
              <w:right w:w="120" w:type="dxa"/>
            </w:tcMar>
            <w:vAlign w:val="center"/>
          </w:tcPr>
          <w:p w14:paraId="642F62B5" w14:textId="77777777" w:rsidR="00686657" w:rsidRDefault="00000000">
            <w:pPr>
              <w:jc w:val="center"/>
            </w:pPr>
            <w:r>
              <w:rPr>
                <w:b/>
                <w:bCs/>
                <w:color w:val="FFFFFF"/>
              </w:rPr>
              <w:t>ACTION</w:t>
            </w:r>
          </w:p>
        </w:tc>
        <w:tc>
          <w:tcPr>
            <w:tcW w:w="7960" w:type="dxa"/>
            <w:tcBorders>
              <w:top w:val="single" w:sz="1" w:space="0" w:color="C5D8EC"/>
              <w:left w:val="single" w:sz="1" w:space="0" w:color="C5D8EC"/>
              <w:bottom w:val="single" w:sz="1" w:space="0" w:color="C5D8EC"/>
              <w:right w:val="single" w:sz="1" w:space="0" w:color="C5D8EC"/>
            </w:tcBorders>
            <w:shd w:val="clear" w:color="auto" w:fill="F0F7FF"/>
            <w:tcMar>
              <w:top w:w="100" w:type="dxa"/>
              <w:left w:w="180" w:type="dxa"/>
              <w:bottom w:w="100" w:type="dxa"/>
              <w:right w:w="120" w:type="dxa"/>
            </w:tcMar>
          </w:tcPr>
          <w:p w14:paraId="08EAAE6C" w14:textId="1EBF3FFD" w:rsidR="00686657" w:rsidRDefault="00000000">
            <w:r>
              <w:rPr>
                <w:color w:val="1A1A2E"/>
                <w:sz w:val="21"/>
                <w:szCs w:val="21"/>
              </w:rPr>
              <w:t xml:space="preserve">SQL Insight 22 uses two CTEs — </w:t>
            </w:r>
            <w:r w:rsidR="00B51118">
              <w:rPr>
                <w:color w:val="1A1A2E"/>
                <w:sz w:val="21"/>
                <w:szCs w:val="21"/>
              </w:rPr>
              <w:t>category sales</w:t>
            </w:r>
            <w:r>
              <w:rPr>
                <w:color w:val="1A1A2E"/>
                <w:sz w:val="21"/>
                <w:szCs w:val="21"/>
              </w:rPr>
              <w:t xml:space="preserve"> (total units sold) and </w:t>
            </w:r>
            <w:r w:rsidR="00B51118">
              <w:rPr>
                <w:color w:val="1A1A2E"/>
                <w:sz w:val="21"/>
                <w:szCs w:val="21"/>
              </w:rPr>
              <w:t>category returns</w:t>
            </w:r>
            <w:r>
              <w:rPr>
                <w:color w:val="1A1A2E"/>
                <w:sz w:val="21"/>
                <w:szCs w:val="21"/>
              </w:rPr>
              <w:t xml:space="preserve"> (total units returned) — joined on category. Return rate is calculated as (</w:t>
            </w:r>
            <w:r w:rsidR="00B51118">
              <w:rPr>
                <w:color w:val="1A1A2E"/>
                <w:sz w:val="21"/>
                <w:szCs w:val="21"/>
              </w:rPr>
              <w:t>total returns</w:t>
            </w:r>
            <w:r>
              <w:rPr>
                <w:color w:val="1A1A2E"/>
                <w:sz w:val="21"/>
                <w:szCs w:val="21"/>
              </w:rPr>
              <w:t xml:space="preserve"> / </w:t>
            </w:r>
            <w:r w:rsidR="00B51118">
              <w:rPr>
                <w:color w:val="1A1A2E"/>
                <w:sz w:val="21"/>
                <w:szCs w:val="21"/>
              </w:rPr>
              <w:t>total sold</w:t>
            </w:r>
            <w:r>
              <w:rPr>
                <w:color w:val="1A1A2E"/>
                <w:sz w:val="21"/>
                <w:szCs w:val="21"/>
              </w:rPr>
              <w:t>) * 100 rounded to 2 decimal places.</w:t>
            </w:r>
          </w:p>
        </w:tc>
      </w:tr>
    </w:tbl>
    <w:p w14:paraId="51D9BC13" w14:textId="77777777" w:rsidR="00686657" w:rsidRDefault="00686657">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686657" w14:paraId="0B3BC93C" w14:textId="77777777">
        <w:tblPrEx>
          <w:tblCellMar>
            <w:top w:w="0" w:type="dxa"/>
            <w:bottom w:w="0" w:type="dxa"/>
          </w:tblCellMar>
        </w:tblPrEx>
        <w:tc>
          <w:tcPr>
            <w:tcW w:w="1400" w:type="dxa"/>
            <w:tcBorders>
              <w:top w:val="single" w:sz="1" w:space="0" w:color="C5D8EC"/>
              <w:left w:val="single" w:sz="1" w:space="0" w:color="C5D8EC"/>
              <w:bottom w:val="single" w:sz="1" w:space="0" w:color="C5D8EC"/>
              <w:right w:val="single" w:sz="1" w:space="0" w:color="C5D8EC"/>
            </w:tcBorders>
            <w:shd w:val="clear" w:color="auto" w:fill="2E75B6"/>
            <w:tcMar>
              <w:top w:w="120" w:type="dxa"/>
              <w:left w:w="160" w:type="dxa"/>
              <w:bottom w:w="120" w:type="dxa"/>
              <w:right w:w="120" w:type="dxa"/>
            </w:tcMar>
            <w:vAlign w:val="center"/>
          </w:tcPr>
          <w:p w14:paraId="29110629" w14:textId="77777777" w:rsidR="00686657" w:rsidRDefault="00000000">
            <w:pPr>
              <w:jc w:val="center"/>
            </w:pPr>
            <w:r>
              <w:rPr>
                <w:b/>
                <w:bCs/>
                <w:color w:val="FFFFFF"/>
              </w:rPr>
              <w:t>RESULT</w:t>
            </w:r>
          </w:p>
        </w:tc>
        <w:tc>
          <w:tcPr>
            <w:tcW w:w="7960" w:type="dxa"/>
            <w:tcBorders>
              <w:top w:val="single" w:sz="1" w:space="0" w:color="C5D8EC"/>
              <w:left w:val="single" w:sz="1" w:space="0" w:color="C5D8EC"/>
              <w:bottom w:val="single" w:sz="1" w:space="0" w:color="C5D8EC"/>
              <w:right w:val="single" w:sz="1" w:space="0" w:color="C5D8EC"/>
            </w:tcBorders>
            <w:shd w:val="clear" w:color="auto" w:fill="F0F7FF"/>
            <w:tcMar>
              <w:top w:w="100" w:type="dxa"/>
              <w:left w:w="180" w:type="dxa"/>
              <w:bottom w:w="100" w:type="dxa"/>
              <w:right w:w="120" w:type="dxa"/>
            </w:tcMar>
          </w:tcPr>
          <w:p w14:paraId="0D2623E5" w14:textId="77777777" w:rsidR="00686657" w:rsidRDefault="00000000">
            <w:r>
              <w:rPr>
                <w:color w:val="1A1A2E"/>
                <w:sz w:val="21"/>
                <w:szCs w:val="21"/>
              </w:rPr>
              <w:t>Clothing has the highest return rate at 12.1%, followed by Footwear (9.7%) and Electronics (8.4%). Grocery has the lowest at 4.1%. Clothing returns are likely size/fit issues — a virtual try-on or size guide improvement can reduce this by an estimated 3–4 percentage points. Electronics returns at 8.4% suggest product expectation mismatch — richer product descriptions and video demonstrations are recommended.</w:t>
            </w:r>
          </w:p>
        </w:tc>
      </w:tr>
    </w:tbl>
    <w:p w14:paraId="0FA3A963" w14:textId="77777777" w:rsidR="00686657" w:rsidRDefault="00686657">
      <w:pPr>
        <w:spacing w:before="120" w:after="60"/>
      </w:pPr>
    </w:p>
    <w:p w14:paraId="14A60359" w14:textId="77777777" w:rsidR="00686657" w:rsidRDefault="00000000">
      <w:pPr>
        <w:pStyle w:val="Heading2"/>
        <w:pBdr>
          <w:bottom w:val="single" w:sz="4" w:space="2" w:color="2E75B6"/>
        </w:pBdr>
      </w:pPr>
      <w:r>
        <w:t>STAR Insight 10 — Return Reason Revenue Impact</w:t>
      </w:r>
    </w:p>
    <w:p w14:paraId="3FDB32A4" w14:textId="77777777" w:rsidR="00686657" w:rsidRDefault="00686657">
      <w:pPr>
        <w:spacing w:before="4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6"/>
        <w:gridCol w:w="7894"/>
      </w:tblGrid>
      <w:tr w:rsidR="00686657" w14:paraId="16A627E8" w14:textId="77777777">
        <w:tblPrEx>
          <w:tblCellMar>
            <w:top w:w="0" w:type="dxa"/>
            <w:bottom w:w="0" w:type="dxa"/>
          </w:tblCellMar>
        </w:tblPrEx>
        <w:tc>
          <w:tcPr>
            <w:tcW w:w="1400" w:type="dxa"/>
            <w:tcBorders>
              <w:top w:val="single" w:sz="1" w:space="0" w:color="C5D8EC"/>
              <w:left w:val="single" w:sz="1" w:space="0" w:color="C5D8EC"/>
              <w:bottom w:val="single" w:sz="1" w:space="0" w:color="C5D8EC"/>
              <w:right w:val="single" w:sz="1" w:space="0" w:color="C5D8EC"/>
            </w:tcBorders>
            <w:shd w:val="clear" w:color="auto" w:fill="2E75B6"/>
            <w:tcMar>
              <w:top w:w="120" w:type="dxa"/>
              <w:left w:w="160" w:type="dxa"/>
              <w:bottom w:w="120" w:type="dxa"/>
              <w:right w:w="120" w:type="dxa"/>
            </w:tcMar>
            <w:vAlign w:val="center"/>
          </w:tcPr>
          <w:p w14:paraId="57329817" w14:textId="77777777" w:rsidR="00686657" w:rsidRDefault="00000000">
            <w:pPr>
              <w:jc w:val="center"/>
            </w:pPr>
            <w:r>
              <w:rPr>
                <w:b/>
                <w:bCs/>
                <w:color w:val="FFFFFF"/>
              </w:rPr>
              <w:lastRenderedPageBreak/>
              <w:t>SITUATION</w:t>
            </w:r>
          </w:p>
        </w:tc>
        <w:tc>
          <w:tcPr>
            <w:tcW w:w="7960" w:type="dxa"/>
            <w:tcBorders>
              <w:top w:val="single" w:sz="1" w:space="0" w:color="C5D8EC"/>
              <w:left w:val="single" w:sz="1" w:space="0" w:color="C5D8EC"/>
              <w:bottom w:val="single" w:sz="1" w:space="0" w:color="C5D8EC"/>
              <w:right w:val="single" w:sz="1" w:space="0" w:color="C5D8EC"/>
            </w:tcBorders>
            <w:shd w:val="clear" w:color="auto" w:fill="F0F7FF"/>
            <w:tcMar>
              <w:top w:w="100" w:type="dxa"/>
              <w:left w:w="180" w:type="dxa"/>
              <w:bottom w:w="100" w:type="dxa"/>
              <w:right w:w="120" w:type="dxa"/>
            </w:tcMar>
          </w:tcPr>
          <w:p w14:paraId="4B019461" w14:textId="77777777" w:rsidR="00686657" w:rsidRDefault="00000000">
            <w:r>
              <w:rPr>
                <w:color w:val="1A1A2E"/>
                <w:sz w:val="21"/>
                <w:szCs w:val="21"/>
              </w:rPr>
              <w:t>Return reasons captured at submission time reveal whether returns are caused by operational failures (wrong item, damaged goods) or customer behaviour (changed mind). This distinction determines whether the fix is internal or requires policy changes.</w:t>
            </w:r>
          </w:p>
        </w:tc>
      </w:tr>
    </w:tbl>
    <w:p w14:paraId="7F559A83" w14:textId="77777777" w:rsidR="00686657" w:rsidRDefault="00686657">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686657" w14:paraId="0D1C8317" w14:textId="77777777">
        <w:tblPrEx>
          <w:tblCellMar>
            <w:top w:w="0" w:type="dxa"/>
            <w:bottom w:w="0" w:type="dxa"/>
          </w:tblCellMar>
        </w:tblPrEx>
        <w:tc>
          <w:tcPr>
            <w:tcW w:w="1400" w:type="dxa"/>
            <w:tcBorders>
              <w:top w:val="single" w:sz="1" w:space="0" w:color="C5D8EC"/>
              <w:left w:val="single" w:sz="1" w:space="0" w:color="C5D8EC"/>
              <w:bottom w:val="single" w:sz="1" w:space="0" w:color="C5D8EC"/>
              <w:right w:val="single" w:sz="1" w:space="0" w:color="C5D8EC"/>
            </w:tcBorders>
            <w:shd w:val="clear" w:color="auto" w:fill="2E75B6"/>
            <w:tcMar>
              <w:top w:w="120" w:type="dxa"/>
              <w:left w:w="160" w:type="dxa"/>
              <w:bottom w:w="120" w:type="dxa"/>
              <w:right w:w="120" w:type="dxa"/>
            </w:tcMar>
            <w:vAlign w:val="center"/>
          </w:tcPr>
          <w:p w14:paraId="12158C61" w14:textId="77777777" w:rsidR="00686657" w:rsidRDefault="00000000">
            <w:pPr>
              <w:jc w:val="center"/>
            </w:pPr>
            <w:r>
              <w:rPr>
                <w:b/>
                <w:bCs/>
                <w:color w:val="FFFFFF"/>
              </w:rPr>
              <w:t>TASK</w:t>
            </w:r>
          </w:p>
        </w:tc>
        <w:tc>
          <w:tcPr>
            <w:tcW w:w="7960" w:type="dxa"/>
            <w:tcBorders>
              <w:top w:val="single" w:sz="1" w:space="0" w:color="C5D8EC"/>
              <w:left w:val="single" w:sz="1" w:space="0" w:color="C5D8EC"/>
              <w:bottom w:val="single" w:sz="1" w:space="0" w:color="C5D8EC"/>
              <w:right w:val="single" w:sz="1" w:space="0" w:color="C5D8EC"/>
            </w:tcBorders>
            <w:shd w:val="clear" w:color="auto" w:fill="F0F7FF"/>
            <w:tcMar>
              <w:top w:w="100" w:type="dxa"/>
              <w:left w:w="180" w:type="dxa"/>
              <w:bottom w:w="100" w:type="dxa"/>
              <w:right w:w="120" w:type="dxa"/>
            </w:tcMar>
          </w:tcPr>
          <w:p w14:paraId="5FB71138" w14:textId="77777777" w:rsidR="00686657" w:rsidRDefault="00000000">
            <w:r>
              <w:rPr>
                <w:color w:val="1A1A2E"/>
                <w:sz w:val="21"/>
                <w:szCs w:val="21"/>
              </w:rPr>
              <w:t>Rank return reasons by total refund amount and revenue impact percentage to prioritise root-cause resolution by business impact.</w:t>
            </w:r>
          </w:p>
        </w:tc>
      </w:tr>
    </w:tbl>
    <w:p w14:paraId="19DDB27E" w14:textId="77777777" w:rsidR="00686657" w:rsidRDefault="00686657">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686657" w14:paraId="6B7417C7" w14:textId="77777777">
        <w:tblPrEx>
          <w:tblCellMar>
            <w:top w:w="0" w:type="dxa"/>
            <w:bottom w:w="0" w:type="dxa"/>
          </w:tblCellMar>
        </w:tblPrEx>
        <w:tc>
          <w:tcPr>
            <w:tcW w:w="1400" w:type="dxa"/>
            <w:tcBorders>
              <w:top w:val="single" w:sz="1" w:space="0" w:color="C5D8EC"/>
              <w:left w:val="single" w:sz="1" w:space="0" w:color="C5D8EC"/>
              <w:bottom w:val="single" w:sz="1" w:space="0" w:color="C5D8EC"/>
              <w:right w:val="single" w:sz="1" w:space="0" w:color="C5D8EC"/>
            </w:tcBorders>
            <w:shd w:val="clear" w:color="auto" w:fill="2E75B6"/>
            <w:tcMar>
              <w:top w:w="120" w:type="dxa"/>
              <w:left w:w="160" w:type="dxa"/>
              <w:bottom w:w="120" w:type="dxa"/>
              <w:right w:w="120" w:type="dxa"/>
            </w:tcMar>
            <w:vAlign w:val="center"/>
          </w:tcPr>
          <w:p w14:paraId="69155AE5" w14:textId="77777777" w:rsidR="00686657" w:rsidRDefault="00000000">
            <w:pPr>
              <w:jc w:val="center"/>
            </w:pPr>
            <w:r>
              <w:rPr>
                <w:b/>
                <w:bCs/>
                <w:color w:val="FFFFFF"/>
              </w:rPr>
              <w:t>ACTION</w:t>
            </w:r>
          </w:p>
        </w:tc>
        <w:tc>
          <w:tcPr>
            <w:tcW w:w="7960" w:type="dxa"/>
            <w:tcBorders>
              <w:top w:val="single" w:sz="1" w:space="0" w:color="C5D8EC"/>
              <w:left w:val="single" w:sz="1" w:space="0" w:color="C5D8EC"/>
              <w:bottom w:val="single" w:sz="1" w:space="0" w:color="C5D8EC"/>
              <w:right w:val="single" w:sz="1" w:space="0" w:color="C5D8EC"/>
            </w:tcBorders>
            <w:shd w:val="clear" w:color="auto" w:fill="F0F7FF"/>
            <w:tcMar>
              <w:top w:w="100" w:type="dxa"/>
              <w:left w:w="180" w:type="dxa"/>
              <w:bottom w:w="100" w:type="dxa"/>
              <w:right w:w="120" w:type="dxa"/>
            </w:tcMar>
          </w:tcPr>
          <w:p w14:paraId="734CFC33" w14:textId="1BA768B3" w:rsidR="00686657" w:rsidRDefault="00000000">
            <w:r>
              <w:rPr>
                <w:color w:val="1A1A2E"/>
                <w:sz w:val="21"/>
                <w:szCs w:val="21"/>
              </w:rPr>
              <w:t xml:space="preserve">SQL Insight 39 groups </w:t>
            </w:r>
            <w:proofErr w:type="gramStart"/>
            <w:r>
              <w:rPr>
                <w:color w:val="1A1A2E"/>
                <w:sz w:val="21"/>
                <w:szCs w:val="21"/>
              </w:rPr>
              <w:t>returns</w:t>
            </w:r>
            <w:proofErr w:type="gramEnd"/>
            <w:r>
              <w:rPr>
                <w:color w:val="1A1A2E"/>
                <w:sz w:val="21"/>
                <w:szCs w:val="21"/>
              </w:rPr>
              <w:t xml:space="preserve"> by reason, computing </w:t>
            </w:r>
            <w:proofErr w:type="gramStart"/>
            <w:r>
              <w:rPr>
                <w:color w:val="1A1A2E"/>
                <w:sz w:val="21"/>
                <w:szCs w:val="21"/>
              </w:rPr>
              <w:t>COUNT(</w:t>
            </w:r>
            <w:proofErr w:type="gramEnd"/>
            <w:r>
              <w:rPr>
                <w:color w:val="1A1A2E"/>
                <w:sz w:val="21"/>
                <w:szCs w:val="21"/>
              </w:rPr>
              <w:t xml:space="preserve">return_id), </w:t>
            </w:r>
            <w:proofErr w:type="gramStart"/>
            <w:r>
              <w:rPr>
                <w:color w:val="1A1A2E"/>
                <w:sz w:val="21"/>
                <w:szCs w:val="21"/>
              </w:rPr>
              <w:t>SUM(</w:t>
            </w:r>
            <w:proofErr w:type="gramEnd"/>
            <w:r w:rsidR="00B51118">
              <w:rPr>
                <w:color w:val="1A1A2E"/>
                <w:sz w:val="21"/>
                <w:szCs w:val="21"/>
              </w:rPr>
              <w:t>refund amount</w:t>
            </w:r>
            <w:r>
              <w:rPr>
                <w:color w:val="1A1A2E"/>
                <w:sz w:val="21"/>
                <w:szCs w:val="21"/>
              </w:rPr>
              <w:t>), and a revenue_impact_pct as (</w:t>
            </w:r>
            <w:proofErr w:type="gramStart"/>
            <w:r>
              <w:rPr>
                <w:color w:val="1A1A2E"/>
                <w:sz w:val="21"/>
                <w:szCs w:val="21"/>
              </w:rPr>
              <w:t>sum(</w:t>
            </w:r>
            <w:proofErr w:type="gramEnd"/>
            <w:r w:rsidR="00B51118">
              <w:rPr>
                <w:color w:val="1A1A2E"/>
                <w:sz w:val="21"/>
                <w:szCs w:val="21"/>
              </w:rPr>
              <w:t>refund amount</w:t>
            </w:r>
            <w:r>
              <w:rPr>
                <w:color w:val="1A1A2E"/>
                <w:sz w:val="21"/>
                <w:szCs w:val="21"/>
              </w:rPr>
              <w:t xml:space="preserve">) / (SELECT </w:t>
            </w:r>
            <w:proofErr w:type="gramStart"/>
            <w:r>
              <w:rPr>
                <w:color w:val="1A1A2E"/>
                <w:sz w:val="21"/>
                <w:szCs w:val="21"/>
              </w:rPr>
              <w:t>SUM(</w:t>
            </w:r>
            <w:proofErr w:type="gramEnd"/>
            <w:r w:rsidR="00B51118">
              <w:rPr>
                <w:color w:val="1A1A2E"/>
                <w:sz w:val="21"/>
                <w:szCs w:val="21"/>
              </w:rPr>
              <w:t>order total</w:t>
            </w:r>
            <w:r>
              <w:rPr>
                <w:color w:val="1A1A2E"/>
                <w:sz w:val="21"/>
                <w:szCs w:val="21"/>
              </w:rPr>
              <w:t>) FROM orders)) * 100.</w:t>
            </w:r>
          </w:p>
        </w:tc>
      </w:tr>
    </w:tbl>
    <w:p w14:paraId="5FC112D2" w14:textId="77777777" w:rsidR="00686657" w:rsidRDefault="00686657">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686657" w14:paraId="6C5238C9" w14:textId="77777777">
        <w:tblPrEx>
          <w:tblCellMar>
            <w:top w:w="0" w:type="dxa"/>
            <w:bottom w:w="0" w:type="dxa"/>
          </w:tblCellMar>
        </w:tblPrEx>
        <w:tc>
          <w:tcPr>
            <w:tcW w:w="1400" w:type="dxa"/>
            <w:tcBorders>
              <w:top w:val="single" w:sz="1" w:space="0" w:color="C5D8EC"/>
              <w:left w:val="single" w:sz="1" w:space="0" w:color="C5D8EC"/>
              <w:bottom w:val="single" w:sz="1" w:space="0" w:color="C5D8EC"/>
              <w:right w:val="single" w:sz="1" w:space="0" w:color="C5D8EC"/>
            </w:tcBorders>
            <w:shd w:val="clear" w:color="auto" w:fill="2E75B6"/>
            <w:tcMar>
              <w:top w:w="120" w:type="dxa"/>
              <w:left w:w="160" w:type="dxa"/>
              <w:bottom w:w="120" w:type="dxa"/>
              <w:right w:w="120" w:type="dxa"/>
            </w:tcMar>
            <w:vAlign w:val="center"/>
          </w:tcPr>
          <w:p w14:paraId="0CFBE0ED" w14:textId="77777777" w:rsidR="00686657" w:rsidRDefault="00000000">
            <w:pPr>
              <w:jc w:val="center"/>
            </w:pPr>
            <w:r>
              <w:rPr>
                <w:b/>
                <w:bCs/>
                <w:color w:val="FFFFFF"/>
              </w:rPr>
              <w:t>RESULT</w:t>
            </w:r>
          </w:p>
        </w:tc>
        <w:tc>
          <w:tcPr>
            <w:tcW w:w="7960" w:type="dxa"/>
            <w:tcBorders>
              <w:top w:val="single" w:sz="1" w:space="0" w:color="C5D8EC"/>
              <w:left w:val="single" w:sz="1" w:space="0" w:color="C5D8EC"/>
              <w:bottom w:val="single" w:sz="1" w:space="0" w:color="C5D8EC"/>
              <w:right w:val="single" w:sz="1" w:space="0" w:color="C5D8EC"/>
            </w:tcBorders>
            <w:shd w:val="clear" w:color="auto" w:fill="F0F7FF"/>
            <w:tcMar>
              <w:top w:w="100" w:type="dxa"/>
              <w:left w:w="180" w:type="dxa"/>
              <w:bottom w:w="100" w:type="dxa"/>
              <w:right w:w="120" w:type="dxa"/>
            </w:tcMar>
          </w:tcPr>
          <w:p w14:paraId="35F0A762" w14:textId="77777777" w:rsidR="00686657" w:rsidRDefault="00000000">
            <w:r>
              <w:rPr>
                <w:color w:val="1A1A2E"/>
                <w:sz w:val="21"/>
                <w:szCs w:val="21"/>
              </w:rPr>
              <w:t>Defective Product leads with 680 returns and 1.8% revenue impact. Wrong Item Delivered (34 returns, 0.96% impact) is a pure operational failure costing ₹138K in refunds. Damaged Packaging (19 returns, 1.08% impact) indicates a packaging or last-mile handling issue. Combining Defective + Damaged + Wrong Item accounts for 3.84% revenue impact — immediately addressable through supplier quality audits and warehouse process reviews.</w:t>
            </w:r>
          </w:p>
        </w:tc>
      </w:tr>
    </w:tbl>
    <w:p w14:paraId="29595D39" w14:textId="77777777" w:rsidR="00686657" w:rsidRDefault="00686657">
      <w:pPr>
        <w:spacing w:before="120" w:after="60"/>
      </w:pPr>
    </w:p>
    <w:p w14:paraId="645A2441" w14:textId="77777777" w:rsidR="00686657" w:rsidRDefault="00000000">
      <w:pPr>
        <w:pStyle w:val="Heading2"/>
        <w:pBdr>
          <w:bottom w:val="single" w:sz="4" w:space="2" w:color="2E75B6"/>
        </w:pBdr>
      </w:pPr>
      <w:r>
        <w:t>STAR Insight 11 — State Revenue vs Refund Exposure</w:t>
      </w:r>
    </w:p>
    <w:p w14:paraId="712DB591" w14:textId="77777777" w:rsidR="00686657" w:rsidRDefault="00686657">
      <w:pPr>
        <w:spacing w:before="4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6"/>
        <w:gridCol w:w="7894"/>
      </w:tblGrid>
      <w:tr w:rsidR="00686657" w14:paraId="37E1601D" w14:textId="77777777">
        <w:tblPrEx>
          <w:tblCellMar>
            <w:top w:w="0" w:type="dxa"/>
            <w:bottom w:w="0" w:type="dxa"/>
          </w:tblCellMar>
        </w:tblPrEx>
        <w:tc>
          <w:tcPr>
            <w:tcW w:w="1400" w:type="dxa"/>
            <w:tcBorders>
              <w:top w:val="single" w:sz="1" w:space="0" w:color="C5D8EC"/>
              <w:left w:val="single" w:sz="1" w:space="0" w:color="C5D8EC"/>
              <w:bottom w:val="single" w:sz="1" w:space="0" w:color="C5D8EC"/>
              <w:right w:val="single" w:sz="1" w:space="0" w:color="C5D8EC"/>
            </w:tcBorders>
            <w:shd w:val="clear" w:color="auto" w:fill="2E75B6"/>
            <w:tcMar>
              <w:top w:w="120" w:type="dxa"/>
              <w:left w:w="160" w:type="dxa"/>
              <w:bottom w:w="120" w:type="dxa"/>
              <w:right w:w="120" w:type="dxa"/>
            </w:tcMar>
            <w:vAlign w:val="center"/>
          </w:tcPr>
          <w:p w14:paraId="019B615C" w14:textId="77777777" w:rsidR="00686657" w:rsidRDefault="00000000">
            <w:pPr>
              <w:jc w:val="center"/>
            </w:pPr>
            <w:r>
              <w:rPr>
                <w:b/>
                <w:bCs/>
                <w:color w:val="FFFFFF"/>
              </w:rPr>
              <w:t>SITUATION</w:t>
            </w:r>
          </w:p>
        </w:tc>
        <w:tc>
          <w:tcPr>
            <w:tcW w:w="7960" w:type="dxa"/>
            <w:tcBorders>
              <w:top w:val="single" w:sz="1" w:space="0" w:color="C5D8EC"/>
              <w:left w:val="single" w:sz="1" w:space="0" w:color="C5D8EC"/>
              <w:bottom w:val="single" w:sz="1" w:space="0" w:color="C5D8EC"/>
              <w:right w:val="single" w:sz="1" w:space="0" w:color="C5D8EC"/>
            </w:tcBorders>
            <w:shd w:val="clear" w:color="auto" w:fill="F0F7FF"/>
            <w:tcMar>
              <w:top w:w="100" w:type="dxa"/>
              <w:left w:w="180" w:type="dxa"/>
              <w:bottom w:w="100" w:type="dxa"/>
              <w:right w:w="120" w:type="dxa"/>
            </w:tcMar>
          </w:tcPr>
          <w:p w14:paraId="40F2A644" w14:textId="77777777" w:rsidR="00686657" w:rsidRDefault="00000000">
            <w:r>
              <w:rPr>
                <w:color w:val="1A1A2E"/>
                <w:sz w:val="21"/>
                <w:szCs w:val="21"/>
              </w:rPr>
              <w:t>States with high gross revenue may simultaneously carry high refund burdens, compressing net realised revenue. Understanding which states have the worst revenue-to-refund ratios enables targeted supply chain and quality interventions.</w:t>
            </w:r>
          </w:p>
        </w:tc>
      </w:tr>
    </w:tbl>
    <w:p w14:paraId="5C30FC92" w14:textId="77777777" w:rsidR="00686657" w:rsidRDefault="00686657">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686657" w14:paraId="5EDE6C78" w14:textId="77777777">
        <w:tblPrEx>
          <w:tblCellMar>
            <w:top w:w="0" w:type="dxa"/>
            <w:bottom w:w="0" w:type="dxa"/>
          </w:tblCellMar>
        </w:tblPrEx>
        <w:tc>
          <w:tcPr>
            <w:tcW w:w="1400" w:type="dxa"/>
            <w:tcBorders>
              <w:top w:val="single" w:sz="1" w:space="0" w:color="C5D8EC"/>
              <w:left w:val="single" w:sz="1" w:space="0" w:color="C5D8EC"/>
              <w:bottom w:val="single" w:sz="1" w:space="0" w:color="C5D8EC"/>
              <w:right w:val="single" w:sz="1" w:space="0" w:color="C5D8EC"/>
            </w:tcBorders>
            <w:shd w:val="clear" w:color="auto" w:fill="2E75B6"/>
            <w:tcMar>
              <w:top w:w="120" w:type="dxa"/>
              <w:left w:w="160" w:type="dxa"/>
              <w:bottom w:w="120" w:type="dxa"/>
              <w:right w:w="120" w:type="dxa"/>
            </w:tcMar>
            <w:vAlign w:val="center"/>
          </w:tcPr>
          <w:p w14:paraId="5E56442E" w14:textId="77777777" w:rsidR="00686657" w:rsidRDefault="00000000">
            <w:pPr>
              <w:jc w:val="center"/>
            </w:pPr>
            <w:r>
              <w:rPr>
                <w:b/>
                <w:bCs/>
                <w:color w:val="FFFFFF"/>
              </w:rPr>
              <w:t>TASK</w:t>
            </w:r>
          </w:p>
        </w:tc>
        <w:tc>
          <w:tcPr>
            <w:tcW w:w="7960" w:type="dxa"/>
            <w:tcBorders>
              <w:top w:val="single" w:sz="1" w:space="0" w:color="C5D8EC"/>
              <w:left w:val="single" w:sz="1" w:space="0" w:color="C5D8EC"/>
              <w:bottom w:val="single" w:sz="1" w:space="0" w:color="C5D8EC"/>
              <w:right w:val="single" w:sz="1" w:space="0" w:color="C5D8EC"/>
            </w:tcBorders>
            <w:shd w:val="clear" w:color="auto" w:fill="F0F7FF"/>
            <w:tcMar>
              <w:top w:w="100" w:type="dxa"/>
              <w:left w:w="180" w:type="dxa"/>
              <w:bottom w:w="100" w:type="dxa"/>
              <w:right w:w="120" w:type="dxa"/>
            </w:tcMar>
          </w:tcPr>
          <w:p w14:paraId="2E827C11" w14:textId="77777777" w:rsidR="00686657" w:rsidRDefault="00000000">
            <w:r>
              <w:rPr>
                <w:color w:val="1A1A2E"/>
                <w:sz w:val="21"/>
                <w:szCs w:val="21"/>
              </w:rPr>
              <w:t>Compare gross order revenue against refund amounts at the state level, compute net revenue and return percentage, and identify states with disproportionate refund exposure.</w:t>
            </w:r>
          </w:p>
        </w:tc>
      </w:tr>
    </w:tbl>
    <w:p w14:paraId="15F41EB3" w14:textId="77777777" w:rsidR="00686657" w:rsidRDefault="00686657">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686657" w14:paraId="4BD0BEA8" w14:textId="77777777">
        <w:tblPrEx>
          <w:tblCellMar>
            <w:top w:w="0" w:type="dxa"/>
            <w:bottom w:w="0" w:type="dxa"/>
          </w:tblCellMar>
        </w:tblPrEx>
        <w:tc>
          <w:tcPr>
            <w:tcW w:w="1400" w:type="dxa"/>
            <w:tcBorders>
              <w:top w:val="single" w:sz="1" w:space="0" w:color="C5D8EC"/>
              <w:left w:val="single" w:sz="1" w:space="0" w:color="C5D8EC"/>
              <w:bottom w:val="single" w:sz="1" w:space="0" w:color="C5D8EC"/>
              <w:right w:val="single" w:sz="1" w:space="0" w:color="C5D8EC"/>
            </w:tcBorders>
            <w:shd w:val="clear" w:color="auto" w:fill="2E75B6"/>
            <w:tcMar>
              <w:top w:w="120" w:type="dxa"/>
              <w:left w:w="160" w:type="dxa"/>
              <w:bottom w:w="120" w:type="dxa"/>
              <w:right w:w="120" w:type="dxa"/>
            </w:tcMar>
            <w:vAlign w:val="center"/>
          </w:tcPr>
          <w:p w14:paraId="514A6A1B" w14:textId="77777777" w:rsidR="00686657" w:rsidRDefault="00000000">
            <w:pPr>
              <w:jc w:val="center"/>
            </w:pPr>
            <w:r>
              <w:rPr>
                <w:b/>
                <w:bCs/>
                <w:color w:val="FFFFFF"/>
              </w:rPr>
              <w:t>ACTION</w:t>
            </w:r>
          </w:p>
        </w:tc>
        <w:tc>
          <w:tcPr>
            <w:tcW w:w="7960" w:type="dxa"/>
            <w:tcBorders>
              <w:top w:val="single" w:sz="1" w:space="0" w:color="C5D8EC"/>
              <w:left w:val="single" w:sz="1" w:space="0" w:color="C5D8EC"/>
              <w:bottom w:val="single" w:sz="1" w:space="0" w:color="C5D8EC"/>
              <w:right w:val="single" w:sz="1" w:space="0" w:color="C5D8EC"/>
            </w:tcBorders>
            <w:shd w:val="clear" w:color="auto" w:fill="F0F7FF"/>
            <w:tcMar>
              <w:top w:w="100" w:type="dxa"/>
              <w:left w:w="180" w:type="dxa"/>
              <w:bottom w:w="100" w:type="dxa"/>
              <w:right w:w="120" w:type="dxa"/>
            </w:tcMar>
          </w:tcPr>
          <w:p w14:paraId="2ED566AD" w14:textId="77777777" w:rsidR="00686657" w:rsidRDefault="00000000">
            <w:r>
              <w:rPr>
                <w:color w:val="1A1A2E"/>
                <w:sz w:val="21"/>
                <w:szCs w:val="21"/>
              </w:rPr>
              <w:t xml:space="preserve">SQL Insight 35 uses two CTEs — </w:t>
            </w:r>
            <w:proofErr w:type="spellStart"/>
            <w:r>
              <w:rPr>
                <w:color w:val="1A1A2E"/>
                <w:sz w:val="21"/>
                <w:szCs w:val="21"/>
              </w:rPr>
              <w:t>statewise_revenue</w:t>
            </w:r>
            <w:proofErr w:type="spellEnd"/>
            <w:r>
              <w:rPr>
                <w:color w:val="1A1A2E"/>
                <w:sz w:val="21"/>
                <w:szCs w:val="21"/>
              </w:rPr>
              <w:t xml:space="preserve"> and </w:t>
            </w:r>
            <w:proofErr w:type="spellStart"/>
            <w:r>
              <w:rPr>
                <w:color w:val="1A1A2E"/>
                <w:sz w:val="21"/>
                <w:szCs w:val="21"/>
              </w:rPr>
              <w:t>state_return_revenue</w:t>
            </w:r>
            <w:proofErr w:type="spellEnd"/>
            <w:r>
              <w:rPr>
                <w:color w:val="1A1A2E"/>
                <w:sz w:val="21"/>
                <w:szCs w:val="21"/>
              </w:rPr>
              <w:t xml:space="preserve"> — joined on </w:t>
            </w:r>
            <w:proofErr w:type="spellStart"/>
            <w:r>
              <w:rPr>
                <w:color w:val="1A1A2E"/>
                <w:sz w:val="21"/>
                <w:szCs w:val="21"/>
              </w:rPr>
              <w:t>shipping_state</w:t>
            </w:r>
            <w:proofErr w:type="spellEnd"/>
            <w:r>
              <w:rPr>
                <w:color w:val="1A1A2E"/>
                <w:sz w:val="21"/>
                <w:szCs w:val="21"/>
              </w:rPr>
              <w:t xml:space="preserve">. Return percentage is computed as </w:t>
            </w:r>
            <w:proofErr w:type="gramStart"/>
            <w:r>
              <w:rPr>
                <w:color w:val="1A1A2E"/>
                <w:sz w:val="21"/>
                <w:szCs w:val="21"/>
              </w:rPr>
              <w:t>ROUND(SUM(</w:t>
            </w:r>
            <w:proofErr w:type="spellStart"/>
            <w:proofErr w:type="gramEnd"/>
            <w:r>
              <w:rPr>
                <w:color w:val="1A1A2E"/>
                <w:sz w:val="21"/>
                <w:szCs w:val="21"/>
              </w:rPr>
              <w:t>return_amount</w:t>
            </w:r>
            <w:proofErr w:type="spellEnd"/>
            <w:r>
              <w:rPr>
                <w:color w:val="1A1A2E"/>
                <w:sz w:val="21"/>
                <w:szCs w:val="21"/>
              </w:rPr>
              <w:t xml:space="preserve"> / </w:t>
            </w:r>
            <w:proofErr w:type="spellStart"/>
            <w:r>
              <w:rPr>
                <w:color w:val="1A1A2E"/>
                <w:sz w:val="21"/>
                <w:szCs w:val="21"/>
              </w:rPr>
              <w:t>total_revenue</w:t>
            </w:r>
            <w:proofErr w:type="spellEnd"/>
            <w:r>
              <w:rPr>
                <w:color w:val="1A1A2E"/>
                <w:sz w:val="21"/>
                <w:szCs w:val="21"/>
              </w:rPr>
              <w:t>) * 100, 2). IFNULL handles states with zero returns.</w:t>
            </w:r>
          </w:p>
        </w:tc>
      </w:tr>
    </w:tbl>
    <w:p w14:paraId="222F1BA2" w14:textId="77777777" w:rsidR="00686657" w:rsidRDefault="00686657">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686657" w14:paraId="5CAD6BE6" w14:textId="77777777">
        <w:tblPrEx>
          <w:tblCellMar>
            <w:top w:w="0" w:type="dxa"/>
            <w:bottom w:w="0" w:type="dxa"/>
          </w:tblCellMar>
        </w:tblPrEx>
        <w:tc>
          <w:tcPr>
            <w:tcW w:w="1400" w:type="dxa"/>
            <w:tcBorders>
              <w:top w:val="single" w:sz="1" w:space="0" w:color="C5D8EC"/>
              <w:left w:val="single" w:sz="1" w:space="0" w:color="C5D8EC"/>
              <w:bottom w:val="single" w:sz="1" w:space="0" w:color="C5D8EC"/>
              <w:right w:val="single" w:sz="1" w:space="0" w:color="C5D8EC"/>
            </w:tcBorders>
            <w:shd w:val="clear" w:color="auto" w:fill="2E75B6"/>
            <w:tcMar>
              <w:top w:w="120" w:type="dxa"/>
              <w:left w:w="160" w:type="dxa"/>
              <w:bottom w:w="120" w:type="dxa"/>
              <w:right w:w="120" w:type="dxa"/>
            </w:tcMar>
            <w:vAlign w:val="center"/>
          </w:tcPr>
          <w:p w14:paraId="0443DF36" w14:textId="77777777" w:rsidR="00686657" w:rsidRDefault="00000000">
            <w:pPr>
              <w:jc w:val="center"/>
            </w:pPr>
            <w:r>
              <w:rPr>
                <w:b/>
                <w:bCs/>
                <w:color w:val="FFFFFF"/>
              </w:rPr>
              <w:t>RESULT</w:t>
            </w:r>
          </w:p>
        </w:tc>
        <w:tc>
          <w:tcPr>
            <w:tcW w:w="7960" w:type="dxa"/>
            <w:tcBorders>
              <w:top w:val="single" w:sz="1" w:space="0" w:color="C5D8EC"/>
              <w:left w:val="single" w:sz="1" w:space="0" w:color="C5D8EC"/>
              <w:bottom w:val="single" w:sz="1" w:space="0" w:color="C5D8EC"/>
              <w:right w:val="single" w:sz="1" w:space="0" w:color="C5D8EC"/>
            </w:tcBorders>
            <w:shd w:val="clear" w:color="auto" w:fill="F0F7FF"/>
            <w:tcMar>
              <w:top w:w="100" w:type="dxa"/>
              <w:left w:w="180" w:type="dxa"/>
              <w:bottom w:w="100" w:type="dxa"/>
              <w:right w:w="120" w:type="dxa"/>
            </w:tcMar>
          </w:tcPr>
          <w:p w14:paraId="3AD6C76D" w14:textId="77777777" w:rsidR="00686657" w:rsidRDefault="00000000">
            <w:r>
              <w:rPr>
                <w:color w:val="1A1A2E"/>
                <w:sz w:val="21"/>
                <w:szCs w:val="21"/>
              </w:rPr>
              <w:t>Bihar has the highest return rate percentage at 3.72% despite modest revenue (₹1.38M), suggesting logistics or product quality issues specific to that region. Delhi shows a 7.07% return rate on ₹0.75M revenue — the worst ratio in the dataset. Gujarat return rate of 11.13% is a critical signal requiring immediate investigation into local delivery partners and product mix.</w:t>
            </w:r>
          </w:p>
        </w:tc>
      </w:tr>
    </w:tbl>
    <w:p w14:paraId="04114574" w14:textId="77777777" w:rsidR="00686657" w:rsidRDefault="00686657">
      <w:pPr>
        <w:spacing w:before="120" w:after="60"/>
      </w:pPr>
    </w:p>
    <w:p w14:paraId="25A22006" w14:textId="77777777" w:rsidR="00686657" w:rsidRDefault="00000000">
      <w:pPr>
        <w:pStyle w:val="Heading2"/>
        <w:pBdr>
          <w:bottom w:val="single" w:sz="4" w:space="2" w:color="2E75B6"/>
        </w:pBdr>
      </w:pPr>
      <w:r>
        <w:lastRenderedPageBreak/>
        <w:t>STAR Insight 12 — Order Fulfilment Efficiency by City</w:t>
      </w:r>
    </w:p>
    <w:p w14:paraId="57B35873" w14:textId="77777777" w:rsidR="00686657" w:rsidRDefault="00686657">
      <w:pPr>
        <w:spacing w:before="4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6"/>
        <w:gridCol w:w="7894"/>
      </w:tblGrid>
      <w:tr w:rsidR="00686657" w14:paraId="42B55F38" w14:textId="77777777">
        <w:tblPrEx>
          <w:tblCellMar>
            <w:top w:w="0" w:type="dxa"/>
            <w:bottom w:w="0" w:type="dxa"/>
          </w:tblCellMar>
        </w:tblPrEx>
        <w:tc>
          <w:tcPr>
            <w:tcW w:w="1400" w:type="dxa"/>
            <w:tcBorders>
              <w:top w:val="single" w:sz="1" w:space="0" w:color="C5D8EC"/>
              <w:left w:val="single" w:sz="1" w:space="0" w:color="C5D8EC"/>
              <w:bottom w:val="single" w:sz="1" w:space="0" w:color="C5D8EC"/>
              <w:right w:val="single" w:sz="1" w:space="0" w:color="C5D8EC"/>
            </w:tcBorders>
            <w:shd w:val="clear" w:color="auto" w:fill="2E75B6"/>
            <w:tcMar>
              <w:top w:w="120" w:type="dxa"/>
              <w:left w:w="160" w:type="dxa"/>
              <w:bottom w:w="120" w:type="dxa"/>
              <w:right w:w="120" w:type="dxa"/>
            </w:tcMar>
            <w:vAlign w:val="center"/>
          </w:tcPr>
          <w:p w14:paraId="16551E8E" w14:textId="77777777" w:rsidR="00686657" w:rsidRDefault="00000000">
            <w:pPr>
              <w:jc w:val="center"/>
            </w:pPr>
            <w:r>
              <w:rPr>
                <w:b/>
                <w:bCs/>
                <w:color w:val="FFFFFF"/>
              </w:rPr>
              <w:t>SITUATION</w:t>
            </w:r>
          </w:p>
        </w:tc>
        <w:tc>
          <w:tcPr>
            <w:tcW w:w="7960" w:type="dxa"/>
            <w:tcBorders>
              <w:top w:val="single" w:sz="1" w:space="0" w:color="C5D8EC"/>
              <w:left w:val="single" w:sz="1" w:space="0" w:color="C5D8EC"/>
              <w:bottom w:val="single" w:sz="1" w:space="0" w:color="C5D8EC"/>
              <w:right w:val="single" w:sz="1" w:space="0" w:color="C5D8EC"/>
            </w:tcBorders>
            <w:shd w:val="clear" w:color="auto" w:fill="F0F7FF"/>
            <w:tcMar>
              <w:top w:w="100" w:type="dxa"/>
              <w:left w:w="180" w:type="dxa"/>
              <w:bottom w:w="100" w:type="dxa"/>
              <w:right w:w="120" w:type="dxa"/>
            </w:tcMar>
          </w:tcPr>
          <w:p w14:paraId="5A81DAD7" w14:textId="77777777" w:rsidR="00686657" w:rsidRDefault="00000000">
            <w:r>
              <w:rPr>
                <w:color w:val="1A1A2E"/>
                <w:sz w:val="21"/>
                <w:szCs w:val="21"/>
              </w:rPr>
              <w:t>Delivery efficiency varies by city due to differences in logistics partner quality, last-mile infrastructure, and geographic accessibility. Low fulfilment rates increase customer churn and damage NPS scores.</w:t>
            </w:r>
          </w:p>
        </w:tc>
      </w:tr>
    </w:tbl>
    <w:p w14:paraId="4312BD83" w14:textId="77777777" w:rsidR="00686657" w:rsidRDefault="00686657">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686657" w14:paraId="18995F96" w14:textId="77777777">
        <w:tblPrEx>
          <w:tblCellMar>
            <w:top w:w="0" w:type="dxa"/>
            <w:bottom w:w="0" w:type="dxa"/>
          </w:tblCellMar>
        </w:tblPrEx>
        <w:tc>
          <w:tcPr>
            <w:tcW w:w="1400" w:type="dxa"/>
            <w:tcBorders>
              <w:top w:val="single" w:sz="1" w:space="0" w:color="C5D8EC"/>
              <w:left w:val="single" w:sz="1" w:space="0" w:color="C5D8EC"/>
              <w:bottom w:val="single" w:sz="1" w:space="0" w:color="C5D8EC"/>
              <w:right w:val="single" w:sz="1" w:space="0" w:color="C5D8EC"/>
            </w:tcBorders>
            <w:shd w:val="clear" w:color="auto" w:fill="2E75B6"/>
            <w:tcMar>
              <w:top w:w="120" w:type="dxa"/>
              <w:left w:w="160" w:type="dxa"/>
              <w:bottom w:w="120" w:type="dxa"/>
              <w:right w:w="120" w:type="dxa"/>
            </w:tcMar>
            <w:vAlign w:val="center"/>
          </w:tcPr>
          <w:p w14:paraId="40FD2015" w14:textId="77777777" w:rsidR="00686657" w:rsidRDefault="00000000">
            <w:pPr>
              <w:jc w:val="center"/>
            </w:pPr>
            <w:r>
              <w:rPr>
                <w:b/>
                <w:bCs/>
                <w:color w:val="FFFFFF"/>
              </w:rPr>
              <w:t>TASK</w:t>
            </w:r>
          </w:p>
        </w:tc>
        <w:tc>
          <w:tcPr>
            <w:tcW w:w="7960" w:type="dxa"/>
            <w:tcBorders>
              <w:top w:val="single" w:sz="1" w:space="0" w:color="C5D8EC"/>
              <w:left w:val="single" w:sz="1" w:space="0" w:color="C5D8EC"/>
              <w:bottom w:val="single" w:sz="1" w:space="0" w:color="C5D8EC"/>
              <w:right w:val="single" w:sz="1" w:space="0" w:color="C5D8EC"/>
            </w:tcBorders>
            <w:shd w:val="clear" w:color="auto" w:fill="F0F7FF"/>
            <w:tcMar>
              <w:top w:w="100" w:type="dxa"/>
              <w:left w:w="180" w:type="dxa"/>
              <w:bottom w:w="100" w:type="dxa"/>
              <w:right w:w="120" w:type="dxa"/>
            </w:tcMar>
          </w:tcPr>
          <w:p w14:paraId="49C4A922" w14:textId="77777777" w:rsidR="00686657" w:rsidRDefault="00000000">
            <w:r>
              <w:rPr>
                <w:color w:val="1A1A2E"/>
                <w:sz w:val="21"/>
                <w:szCs w:val="21"/>
              </w:rPr>
              <w:t>Rank cities by fulfilment efficiency (delivered orders / total orders) and identify underperforming logistics corridors requiring vendor review or route optimisation.</w:t>
            </w:r>
          </w:p>
        </w:tc>
      </w:tr>
    </w:tbl>
    <w:p w14:paraId="4EF4B5FD" w14:textId="77777777" w:rsidR="00686657" w:rsidRDefault="00686657">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686657" w14:paraId="64976E07" w14:textId="77777777">
        <w:tblPrEx>
          <w:tblCellMar>
            <w:top w:w="0" w:type="dxa"/>
            <w:bottom w:w="0" w:type="dxa"/>
          </w:tblCellMar>
        </w:tblPrEx>
        <w:tc>
          <w:tcPr>
            <w:tcW w:w="1400" w:type="dxa"/>
            <w:tcBorders>
              <w:top w:val="single" w:sz="1" w:space="0" w:color="C5D8EC"/>
              <w:left w:val="single" w:sz="1" w:space="0" w:color="C5D8EC"/>
              <w:bottom w:val="single" w:sz="1" w:space="0" w:color="C5D8EC"/>
              <w:right w:val="single" w:sz="1" w:space="0" w:color="C5D8EC"/>
            </w:tcBorders>
            <w:shd w:val="clear" w:color="auto" w:fill="2E75B6"/>
            <w:tcMar>
              <w:top w:w="120" w:type="dxa"/>
              <w:left w:w="160" w:type="dxa"/>
              <w:bottom w:w="120" w:type="dxa"/>
              <w:right w:w="120" w:type="dxa"/>
            </w:tcMar>
            <w:vAlign w:val="center"/>
          </w:tcPr>
          <w:p w14:paraId="1CF6831A" w14:textId="77777777" w:rsidR="00686657" w:rsidRDefault="00000000">
            <w:pPr>
              <w:jc w:val="center"/>
            </w:pPr>
            <w:r>
              <w:rPr>
                <w:b/>
                <w:bCs/>
                <w:color w:val="FFFFFF"/>
              </w:rPr>
              <w:t>ACTION</w:t>
            </w:r>
          </w:p>
        </w:tc>
        <w:tc>
          <w:tcPr>
            <w:tcW w:w="7960" w:type="dxa"/>
            <w:tcBorders>
              <w:top w:val="single" w:sz="1" w:space="0" w:color="C5D8EC"/>
              <w:left w:val="single" w:sz="1" w:space="0" w:color="C5D8EC"/>
              <w:bottom w:val="single" w:sz="1" w:space="0" w:color="C5D8EC"/>
              <w:right w:val="single" w:sz="1" w:space="0" w:color="C5D8EC"/>
            </w:tcBorders>
            <w:shd w:val="clear" w:color="auto" w:fill="F0F7FF"/>
            <w:tcMar>
              <w:top w:w="100" w:type="dxa"/>
              <w:left w:w="180" w:type="dxa"/>
              <w:bottom w:w="100" w:type="dxa"/>
              <w:right w:w="120" w:type="dxa"/>
            </w:tcMar>
          </w:tcPr>
          <w:p w14:paraId="38104E45" w14:textId="77777777" w:rsidR="00686657" w:rsidRDefault="00000000">
            <w:r>
              <w:rPr>
                <w:color w:val="1A1A2E"/>
                <w:sz w:val="21"/>
                <w:szCs w:val="21"/>
              </w:rPr>
              <w:t xml:space="preserve">SQL Insight 38 uses a conditional SUM — </w:t>
            </w:r>
            <w:proofErr w:type="gramStart"/>
            <w:r>
              <w:rPr>
                <w:color w:val="1A1A2E"/>
                <w:sz w:val="21"/>
                <w:szCs w:val="21"/>
              </w:rPr>
              <w:t>SUM(</w:t>
            </w:r>
            <w:proofErr w:type="gramEnd"/>
            <w:r>
              <w:rPr>
                <w:color w:val="1A1A2E"/>
                <w:sz w:val="21"/>
                <w:szCs w:val="21"/>
              </w:rPr>
              <w:t xml:space="preserve">CASE WHEN </w:t>
            </w:r>
            <w:proofErr w:type="spellStart"/>
            <w:r>
              <w:rPr>
                <w:color w:val="1A1A2E"/>
                <w:sz w:val="21"/>
                <w:szCs w:val="21"/>
              </w:rPr>
              <w:t>order_status</w:t>
            </w:r>
            <w:proofErr w:type="spellEnd"/>
            <w:r>
              <w:rPr>
                <w:color w:val="1A1A2E"/>
                <w:sz w:val="21"/>
                <w:szCs w:val="21"/>
              </w:rPr>
              <w:t xml:space="preserve"> = 'Delivered' THEN 1 ELSE 0 END) / </w:t>
            </w:r>
            <w:proofErr w:type="gramStart"/>
            <w:r>
              <w:rPr>
                <w:color w:val="1A1A2E"/>
                <w:sz w:val="21"/>
                <w:szCs w:val="21"/>
              </w:rPr>
              <w:t>COUNT(</w:t>
            </w:r>
            <w:proofErr w:type="spellStart"/>
            <w:proofErr w:type="gramEnd"/>
            <w:r>
              <w:rPr>
                <w:color w:val="1A1A2E"/>
                <w:sz w:val="21"/>
                <w:szCs w:val="21"/>
              </w:rPr>
              <w:t>order_id</w:t>
            </w:r>
            <w:proofErr w:type="spellEnd"/>
            <w:r>
              <w:rPr>
                <w:color w:val="1A1A2E"/>
                <w:sz w:val="21"/>
                <w:szCs w:val="21"/>
              </w:rPr>
              <w:t xml:space="preserve">) * 100 — grouped by </w:t>
            </w:r>
            <w:proofErr w:type="spellStart"/>
            <w:r>
              <w:rPr>
                <w:color w:val="1A1A2E"/>
                <w:sz w:val="21"/>
                <w:szCs w:val="21"/>
              </w:rPr>
              <w:t>shipping_city</w:t>
            </w:r>
            <w:proofErr w:type="spellEnd"/>
            <w:r>
              <w:rPr>
                <w:color w:val="1A1A2E"/>
                <w:sz w:val="21"/>
                <w:szCs w:val="21"/>
              </w:rPr>
              <w:t>. This produces a fulfilment efficiency percentage per city.</w:t>
            </w:r>
          </w:p>
        </w:tc>
      </w:tr>
    </w:tbl>
    <w:p w14:paraId="2064EEE4" w14:textId="77777777" w:rsidR="00686657" w:rsidRDefault="00686657">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686657" w14:paraId="2FB97B99" w14:textId="77777777">
        <w:tblPrEx>
          <w:tblCellMar>
            <w:top w:w="0" w:type="dxa"/>
            <w:bottom w:w="0" w:type="dxa"/>
          </w:tblCellMar>
        </w:tblPrEx>
        <w:tc>
          <w:tcPr>
            <w:tcW w:w="1400" w:type="dxa"/>
            <w:tcBorders>
              <w:top w:val="single" w:sz="1" w:space="0" w:color="C5D8EC"/>
              <w:left w:val="single" w:sz="1" w:space="0" w:color="C5D8EC"/>
              <w:bottom w:val="single" w:sz="1" w:space="0" w:color="C5D8EC"/>
              <w:right w:val="single" w:sz="1" w:space="0" w:color="C5D8EC"/>
            </w:tcBorders>
            <w:shd w:val="clear" w:color="auto" w:fill="2E75B6"/>
            <w:tcMar>
              <w:top w:w="120" w:type="dxa"/>
              <w:left w:w="160" w:type="dxa"/>
              <w:bottom w:w="120" w:type="dxa"/>
              <w:right w:w="120" w:type="dxa"/>
            </w:tcMar>
            <w:vAlign w:val="center"/>
          </w:tcPr>
          <w:p w14:paraId="5B2D6D54" w14:textId="77777777" w:rsidR="00686657" w:rsidRDefault="00000000">
            <w:pPr>
              <w:jc w:val="center"/>
            </w:pPr>
            <w:r>
              <w:rPr>
                <w:b/>
                <w:bCs/>
                <w:color w:val="FFFFFF"/>
              </w:rPr>
              <w:t>RESULT</w:t>
            </w:r>
          </w:p>
        </w:tc>
        <w:tc>
          <w:tcPr>
            <w:tcW w:w="7960" w:type="dxa"/>
            <w:tcBorders>
              <w:top w:val="single" w:sz="1" w:space="0" w:color="C5D8EC"/>
              <w:left w:val="single" w:sz="1" w:space="0" w:color="C5D8EC"/>
              <w:bottom w:val="single" w:sz="1" w:space="0" w:color="C5D8EC"/>
              <w:right w:val="single" w:sz="1" w:space="0" w:color="C5D8EC"/>
            </w:tcBorders>
            <w:shd w:val="clear" w:color="auto" w:fill="F0F7FF"/>
            <w:tcMar>
              <w:top w:w="100" w:type="dxa"/>
              <w:left w:w="180" w:type="dxa"/>
              <w:bottom w:w="100" w:type="dxa"/>
              <w:right w:w="120" w:type="dxa"/>
            </w:tcMar>
          </w:tcPr>
          <w:p w14:paraId="78C81ACF" w14:textId="77777777" w:rsidR="00686657" w:rsidRDefault="00000000">
            <w:r>
              <w:rPr>
                <w:color w:val="1A1A2E"/>
                <w:sz w:val="21"/>
                <w:szCs w:val="21"/>
              </w:rPr>
              <w:t>Mumbai leads fulfilment at 94.2%, followed by Bangalore (91.8%) and Delhi (89.4%). Hyderabad (87.1%), Chennai (85.6%), and Pune (82.3%) fall below the 90% benchmark. Pune at 82.3% is the weakest performer — a logistics partner review and SLA enforcement are recommended immediately.</w:t>
            </w:r>
          </w:p>
        </w:tc>
      </w:tr>
    </w:tbl>
    <w:p w14:paraId="79C774EB" w14:textId="77777777" w:rsidR="00686657" w:rsidRDefault="00686657">
      <w:pPr>
        <w:spacing w:before="120" w:after="60"/>
      </w:pPr>
    </w:p>
    <w:p w14:paraId="73DD617D" w14:textId="77777777" w:rsidR="00686657" w:rsidRDefault="00000000">
      <w:pPr>
        <w:pStyle w:val="Heading2"/>
        <w:pBdr>
          <w:bottom w:val="single" w:sz="4" w:space="2" w:color="2E75B6"/>
        </w:pBdr>
      </w:pPr>
      <w:r>
        <w:t>STAR Insight 13 — High-Return Customer Risk Segmentation</w:t>
      </w:r>
    </w:p>
    <w:p w14:paraId="0EF1FE03" w14:textId="77777777" w:rsidR="00686657" w:rsidRDefault="00686657">
      <w:pPr>
        <w:spacing w:before="4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6"/>
        <w:gridCol w:w="7894"/>
      </w:tblGrid>
      <w:tr w:rsidR="00686657" w14:paraId="4C45B74E" w14:textId="77777777">
        <w:tblPrEx>
          <w:tblCellMar>
            <w:top w:w="0" w:type="dxa"/>
            <w:bottom w:w="0" w:type="dxa"/>
          </w:tblCellMar>
        </w:tblPrEx>
        <w:tc>
          <w:tcPr>
            <w:tcW w:w="1400" w:type="dxa"/>
            <w:tcBorders>
              <w:top w:val="single" w:sz="1" w:space="0" w:color="C5D8EC"/>
              <w:left w:val="single" w:sz="1" w:space="0" w:color="C5D8EC"/>
              <w:bottom w:val="single" w:sz="1" w:space="0" w:color="C5D8EC"/>
              <w:right w:val="single" w:sz="1" w:space="0" w:color="C5D8EC"/>
            </w:tcBorders>
            <w:shd w:val="clear" w:color="auto" w:fill="2E75B6"/>
            <w:tcMar>
              <w:top w:w="120" w:type="dxa"/>
              <w:left w:w="160" w:type="dxa"/>
              <w:bottom w:w="120" w:type="dxa"/>
              <w:right w:w="120" w:type="dxa"/>
            </w:tcMar>
            <w:vAlign w:val="center"/>
          </w:tcPr>
          <w:p w14:paraId="74AA6778" w14:textId="77777777" w:rsidR="00686657" w:rsidRDefault="00000000">
            <w:pPr>
              <w:jc w:val="center"/>
            </w:pPr>
            <w:r>
              <w:rPr>
                <w:b/>
                <w:bCs/>
                <w:color w:val="FFFFFF"/>
              </w:rPr>
              <w:t>SITUATION</w:t>
            </w:r>
          </w:p>
        </w:tc>
        <w:tc>
          <w:tcPr>
            <w:tcW w:w="7960" w:type="dxa"/>
            <w:tcBorders>
              <w:top w:val="single" w:sz="1" w:space="0" w:color="C5D8EC"/>
              <w:left w:val="single" w:sz="1" w:space="0" w:color="C5D8EC"/>
              <w:bottom w:val="single" w:sz="1" w:space="0" w:color="C5D8EC"/>
              <w:right w:val="single" w:sz="1" w:space="0" w:color="C5D8EC"/>
            </w:tcBorders>
            <w:shd w:val="clear" w:color="auto" w:fill="F0F7FF"/>
            <w:tcMar>
              <w:top w:w="100" w:type="dxa"/>
              <w:left w:w="180" w:type="dxa"/>
              <w:bottom w:w="100" w:type="dxa"/>
              <w:right w:w="120" w:type="dxa"/>
            </w:tcMar>
          </w:tcPr>
          <w:p w14:paraId="48505124" w14:textId="77777777" w:rsidR="00686657" w:rsidRDefault="00000000">
            <w:r>
              <w:rPr>
                <w:color w:val="1A1A2E"/>
                <w:sz w:val="21"/>
                <w:szCs w:val="21"/>
              </w:rPr>
              <w:t>A subset of customers returns items worth more than 25% of their total purchase value. These high-return customers represent a disproportionate share of reverse logistics cost and may indicate return policy abuse or genuine product dissatisfaction.</w:t>
            </w:r>
          </w:p>
        </w:tc>
      </w:tr>
    </w:tbl>
    <w:p w14:paraId="29961463" w14:textId="77777777" w:rsidR="00686657" w:rsidRDefault="00686657">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686657" w14:paraId="57C116A4" w14:textId="77777777">
        <w:tblPrEx>
          <w:tblCellMar>
            <w:top w:w="0" w:type="dxa"/>
            <w:bottom w:w="0" w:type="dxa"/>
          </w:tblCellMar>
        </w:tblPrEx>
        <w:tc>
          <w:tcPr>
            <w:tcW w:w="1400" w:type="dxa"/>
            <w:tcBorders>
              <w:top w:val="single" w:sz="1" w:space="0" w:color="C5D8EC"/>
              <w:left w:val="single" w:sz="1" w:space="0" w:color="C5D8EC"/>
              <w:bottom w:val="single" w:sz="1" w:space="0" w:color="C5D8EC"/>
              <w:right w:val="single" w:sz="1" w:space="0" w:color="C5D8EC"/>
            </w:tcBorders>
            <w:shd w:val="clear" w:color="auto" w:fill="2E75B6"/>
            <w:tcMar>
              <w:top w:w="120" w:type="dxa"/>
              <w:left w:w="160" w:type="dxa"/>
              <w:bottom w:w="120" w:type="dxa"/>
              <w:right w:w="120" w:type="dxa"/>
            </w:tcMar>
            <w:vAlign w:val="center"/>
          </w:tcPr>
          <w:p w14:paraId="7D98E6C3" w14:textId="77777777" w:rsidR="00686657" w:rsidRDefault="00000000">
            <w:pPr>
              <w:jc w:val="center"/>
            </w:pPr>
            <w:r>
              <w:rPr>
                <w:b/>
                <w:bCs/>
                <w:color w:val="FFFFFF"/>
              </w:rPr>
              <w:t>TASK</w:t>
            </w:r>
          </w:p>
        </w:tc>
        <w:tc>
          <w:tcPr>
            <w:tcW w:w="7960" w:type="dxa"/>
            <w:tcBorders>
              <w:top w:val="single" w:sz="1" w:space="0" w:color="C5D8EC"/>
              <w:left w:val="single" w:sz="1" w:space="0" w:color="C5D8EC"/>
              <w:bottom w:val="single" w:sz="1" w:space="0" w:color="C5D8EC"/>
              <w:right w:val="single" w:sz="1" w:space="0" w:color="C5D8EC"/>
            </w:tcBorders>
            <w:shd w:val="clear" w:color="auto" w:fill="F0F7FF"/>
            <w:tcMar>
              <w:top w:w="100" w:type="dxa"/>
              <w:left w:w="180" w:type="dxa"/>
              <w:bottom w:w="100" w:type="dxa"/>
              <w:right w:w="120" w:type="dxa"/>
            </w:tcMar>
          </w:tcPr>
          <w:p w14:paraId="6DD9CE02" w14:textId="77777777" w:rsidR="00686657" w:rsidRDefault="00000000">
            <w:r>
              <w:rPr>
                <w:color w:val="1A1A2E"/>
                <w:sz w:val="21"/>
                <w:szCs w:val="21"/>
              </w:rPr>
              <w:t>Identify high-return customers, quantify their return behaviour, and determine whether the pattern warrants policy intervention (e.g., return limits, verification requirements) or improved product experience.</w:t>
            </w:r>
          </w:p>
        </w:tc>
      </w:tr>
    </w:tbl>
    <w:p w14:paraId="258E6B6B" w14:textId="77777777" w:rsidR="00686657" w:rsidRDefault="00686657">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686657" w14:paraId="6311ECB0" w14:textId="77777777">
        <w:tblPrEx>
          <w:tblCellMar>
            <w:top w:w="0" w:type="dxa"/>
            <w:bottom w:w="0" w:type="dxa"/>
          </w:tblCellMar>
        </w:tblPrEx>
        <w:tc>
          <w:tcPr>
            <w:tcW w:w="1400" w:type="dxa"/>
            <w:tcBorders>
              <w:top w:val="single" w:sz="1" w:space="0" w:color="C5D8EC"/>
              <w:left w:val="single" w:sz="1" w:space="0" w:color="C5D8EC"/>
              <w:bottom w:val="single" w:sz="1" w:space="0" w:color="C5D8EC"/>
              <w:right w:val="single" w:sz="1" w:space="0" w:color="C5D8EC"/>
            </w:tcBorders>
            <w:shd w:val="clear" w:color="auto" w:fill="2E75B6"/>
            <w:tcMar>
              <w:top w:w="120" w:type="dxa"/>
              <w:left w:w="160" w:type="dxa"/>
              <w:bottom w:w="120" w:type="dxa"/>
              <w:right w:w="120" w:type="dxa"/>
            </w:tcMar>
            <w:vAlign w:val="center"/>
          </w:tcPr>
          <w:p w14:paraId="63BBB98B" w14:textId="77777777" w:rsidR="00686657" w:rsidRDefault="00000000">
            <w:pPr>
              <w:jc w:val="center"/>
            </w:pPr>
            <w:r>
              <w:rPr>
                <w:b/>
                <w:bCs/>
                <w:color w:val="FFFFFF"/>
              </w:rPr>
              <w:t>ACTION</w:t>
            </w:r>
          </w:p>
        </w:tc>
        <w:tc>
          <w:tcPr>
            <w:tcW w:w="7960" w:type="dxa"/>
            <w:tcBorders>
              <w:top w:val="single" w:sz="1" w:space="0" w:color="C5D8EC"/>
              <w:left w:val="single" w:sz="1" w:space="0" w:color="C5D8EC"/>
              <w:bottom w:val="single" w:sz="1" w:space="0" w:color="C5D8EC"/>
              <w:right w:val="single" w:sz="1" w:space="0" w:color="C5D8EC"/>
            </w:tcBorders>
            <w:shd w:val="clear" w:color="auto" w:fill="F0F7FF"/>
            <w:tcMar>
              <w:top w:w="100" w:type="dxa"/>
              <w:left w:w="180" w:type="dxa"/>
              <w:bottom w:w="100" w:type="dxa"/>
              <w:right w:w="120" w:type="dxa"/>
            </w:tcMar>
          </w:tcPr>
          <w:p w14:paraId="33C9E2E3" w14:textId="479D2DF2" w:rsidR="00686657" w:rsidRDefault="00000000">
            <w:r>
              <w:rPr>
                <w:color w:val="1A1A2E"/>
                <w:sz w:val="21"/>
                <w:szCs w:val="21"/>
              </w:rPr>
              <w:t xml:space="preserve">SQL Insight 24 uses two CTEs — </w:t>
            </w:r>
            <w:r w:rsidR="00B51118">
              <w:rPr>
                <w:color w:val="1A1A2E"/>
                <w:sz w:val="21"/>
                <w:szCs w:val="21"/>
              </w:rPr>
              <w:t>customer purchase</w:t>
            </w:r>
            <w:r>
              <w:rPr>
                <w:color w:val="1A1A2E"/>
                <w:sz w:val="21"/>
                <w:szCs w:val="21"/>
              </w:rPr>
              <w:t xml:space="preserve"> (SUM </w:t>
            </w:r>
            <w:r w:rsidR="00B51118">
              <w:rPr>
                <w:color w:val="1A1A2E"/>
                <w:sz w:val="21"/>
                <w:szCs w:val="21"/>
              </w:rPr>
              <w:t>order total</w:t>
            </w:r>
            <w:r>
              <w:rPr>
                <w:color w:val="1A1A2E"/>
                <w:sz w:val="21"/>
                <w:szCs w:val="21"/>
              </w:rPr>
              <w:t xml:space="preserve">) and </w:t>
            </w:r>
            <w:r w:rsidR="00B51118">
              <w:rPr>
                <w:color w:val="1A1A2E"/>
                <w:sz w:val="21"/>
                <w:szCs w:val="21"/>
              </w:rPr>
              <w:t>customer returns</w:t>
            </w:r>
            <w:r>
              <w:rPr>
                <w:color w:val="1A1A2E"/>
                <w:sz w:val="21"/>
                <w:szCs w:val="21"/>
              </w:rPr>
              <w:t xml:space="preserve"> (SUM </w:t>
            </w:r>
            <w:r w:rsidR="00B51118">
              <w:rPr>
                <w:color w:val="1A1A2E"/>
                <w:sz w:val="21"/>
                <w:szCs w:val="21"/>
              </w:rPr>
              <w:t>refund amount</w:t>
            </w:r>
            <w:r>
              <w:rPr>
                <w:color w:val="1A1A2E"/>
                <w:sz w:val="21"/>
                <w:szCs w:val="21"/>
              </w:rPr>
              <w:t xml:space="preserve">) — joined on </w:t>
            </w:r>
            <w:r w:rsidR="00B51118">
              <w:rPr>
                <w:color w:val="1A1A2E"/>
                <w:sz w:val="21"/>
                <w:szCs w:val="21"/>
              </w:rPr>
              <w:t>customer</w:t>
            </w:r>
            <w:r>
              <w:rPr>
                <w:color w:val="1A1A2E"/>
                <w:sz w:val="21"/>
                <w:szCs w:val="21"/>
              </w:rPr>
              <w:t>. Customers with (</w:t>
            </w:r>
            <w:r w:rsidR="00B51118">
              <w:rPr>
                <w:color w:val="1A1A2E"/>
                <w:sz w:val="21"/>
                <w:szCs w:val="21"/>
              </w:rPr>
              <w:t>total returns</w:t>
            </w:r>
            <w:r>
              <w:rPr>
                <w:color w:val="1A1A2E"/>
                <w:sz w:val="21"/>
                <w:szCs w:val="21"/>
              </w:rPr>
              <w:t xml:space="preserve"> / </w:t>
            </w:r>
            <w:r w:rsidR="00B51118">
              <w:rPr>
                <w:color w:val="1A1A2E"/>
                <w:sz w:val="21"/>
                <w:szCs w:val="21"/>
              </w:rPr>
              <w:t>total purchase</w:t>
            </w:r>
            <w:r>
              <w:rPr>
                <w:color w:val="1A1A2E"/>
                <w:sz w:val="21"/>
                <w:szCs w:val="21"/>
              </w:rPr>
              <w:t>) * 100 &gt; 25 are flagged.</w:t>
            </w:r>
          </w:p>
        </w:tc>
      </w:tr>
    </w:tbl>
    <w:p w14:paraId="41B20E0E" w14:textId="77777777" w:rsidR="00686657" w:rsidRDefault="00686657">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686657" w14:paraId="3A45022F" w14:textId="77777777">
        <w:tblPrEx>
          <w:tblCellMar>
            <w:top w:w="0" w:type="dxa"/>
            <w:bottom w:w="0" w:type="dxa"/>
          </w:tblCellMar>
        </w:tblPrEx>
        <w:tc>
          <w:tcPr>
            <w:tcW w:w="1400" w:type="dxa"/>
            <w:tcBorders>
              <w:top w:val="single" w:sz="1" w:space="0" w:color="C5D8EC"/>
              <w:left w:val="single" w:sz="1" w:space="0" w:color="C5D8EC"/>
              <w:bottom w:val="single" w:sz="1" w:space="0" w:color="C5D8EC"/>
              <w:right w:val="single" w:sz="1" w:space="0" w:color="C5D8EC"/>
            </w:tcBorders>
            <w:shd w:val="clear" w:color="auto" w:fill="2E75B6"/>
            <w:tcMar>
              <w:top w:w="120" w:type="dxa"/>
              <w:left w:w="160" w:type="dxa"/>
              <w:bottom w:w="120" w:type="dxa"/>
              <w:right w:w="120" w:type="dxa"/>
            </w:tcMar>
            <w:vAlign w:val="center"/>
          </w:tcPr>
          <w:p w14:paraId="66D1FB10" w14:textId="77777777" w:rsidR="00686657" w:rsidRDefault="00000000">
            <w:pPr>
              <w:jc w:val="center"/>
            </w:pPr>
            <w:r>
              <w:rPr>
                <w:b/>
                <w:bCs/>
                <w:color w:val="FFFFFF"/>
              </w:rPr>
              <w:t>RESULT</w:t>
            </w:r>
          </w:p>
        </w:tc>
        <w:tc>
          <w:tcPr>
            <w:tcW w:w="7960" w:type="dxa"/>
            <w:tcBorders>
              <w:top w:val="single" w:sz="1" w:space="0" w:color="C5D8EC"/>
              <w:left w:val="single" w:sz="1" w:space="0" w:color="C5D8EC"/>
              <w:bottom w:val="single" w:sz="1" w:space="0" w:color="C5D8EC"/>
              <w:right w:val="single" w:sz="1" w:space="0" w:color="C5D8EC"/>
            </w:tcBorders>
            <w:shd w:val="clear" w:color="auto" w:fill="F0F7FF"/>
            <w:tcMar>
              <w:top w:w="100" w:type="dxa"/>
              <w:left w:w="180" w:type="dxa"/>
              <w:bottom w:w="100" w:type="dxa"/>
              <w:right w:w="120" w:type="dxa"/>
            </w:tcMar>
          </w:tcPr>
          <w:p w14:paraId="209975B2" w14:textId="77777777" w:rsidR="00686657" w:rsidRDefault="00000000">
            <w:r>
              <w:rPr>
                <w:color w:val="1A1A2E"/>
                <w:sz w:val="21"/>
                <w:szCs w:val="21"/>
              </w:rPr>
              <w:t>128 customers (1.04% of the ordering base) have a return rate exceeding 25% of purchase value. 214 return approvals took 5 or more days, degrading post-purchase experience. Recommendation: Flag high-return customers for manual review before processing next return; implement a 3-return-per-quarter soft limit with a customer service touchpoint to understand root cause before denial.</w:t>
            </w:r>
          </w:p>
        </w:tc>
      </w:tr>
    </w:tbl>
    <w:p w14:paraId="55BFDC1C" w14:textId="77777777" w:rsidR="00B51118" w:rsidRDefault="00B51118"/>
    <w:p w14:paraId="158677B9" w14:textId="77777777" w:rsidR="00B51118" w:rsidRDefault="00B51118"/>
    <w:p w14:paraId="04719AB9" w14:textId="499EB64E" w:rsidR="00686657" w:rsidRDefault="00000000">
      <w:r>
        <w:br w:type="page"/>
      </w:r>
    </w:p>
    <w:p w14:paraId="15494FED" w14:textId="77777777" w:rsidR="00686657" w:rsidRDefault="00000000">
      <w:pPr>
        <w:pStyle w:val="Heading1"/>
        <w:shd w:val="clear" w:color="auto" w:fill="1E3A5F"/>
        <w:ind w:left="200"/>
      </w:pPr>
      <w:r>
        <w:lastRenderedPageBreak/>
        <w:t>Strategic Recommendations</w:t>
      </w:r>
    </w:p>
    <w:p w14:paraId="388BEAB9" w14:textId="77777777" w:rsidR="00686657" w:rsidRDefault="00686657">
      <w:pPr>
        <w:spacing w:before="60" w:after="30"/>
      </w:pPr>
    </w:p>
    <w:p w14:paraId="6AB89AD0" w14:textId="77777777" w:rsidR="00686657" w:rsidRDefault="00000000">
      <w:pPr>
        <w:shd w:val="clear" w:color="auto" w:fill="2E75B6"/>
        <w:spacing w:before="320" w:after="160"/>
        <w:ind w:left="200"/>
      </w:pPr>
      <w:proofErr w:type="gramStart"/>
      <w:r>
        <w:rPr>
          <w:b/>
          <w:bCs/>
          <w:color w:val="FFFFFF"/>
          <w:sz w:val="26"/>
          <w:szCs w:val="26"/>
        </w:rPr>
        <w:t>01  Revenue</w:t>
      </w:r>
      <w:proofErr w:type="gramEnd"/>
      <w:r>
        <w:rPr>
          <w:b/>
          <w:bCs/>
          <w:color w:val="FFFFFF"/>
          <w:sz w:val="26"/>
          <w:szCs w:val="26"/>
        </w:rPr>
        <w:t xml:space="preserve"> &amp; Operations</w:t>
      </w:r>
    </w:p>
    <w:p w14:paraId="47181513" w14:textId="77777777" w:rsidR="00686657" w:rsidRDefault="00686657">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60"/>
        <w:gridCol w:w="2000"/>
      </w:tblGrid>
      <w:tr w:rsidR="00686657" w14:paraId="18DF3E99" w14:textId="77777777">
        <w:tblPrEx>
          <w:tblCellMar>
            <w:top w:w="0" w:type="dxa"/>
            <w:bottom w:w="0" w:type="dxa"/>
          </w:tblCellMar>
        </w:tblPrEx>
        <w:tc>
          <w:tcPr>
            <w:tcW w:w="7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80" w:type="dxa"/>
              <w:bottom w:w="80" w:type="dxa"/>
              <w:right w:w="120" w:type="dxa"/>
            </w:tcMar>
          </w:tcPr>
          <w:p w14:paraId="01ED48E2" w14:textId="77777777" w:rsidR="00686657" w:rsidRDefault="00000000">
            <w:r>
              <w:rPr>
                <w:b/>
                <w:bCs/>
                <w:color w:val="1E3A5F"/>
              </w:rPr>
              <w:t>Launch flash sales at 8–10 PM window</w:t>
            </w:r>
          </w:p>
          <w:p w14:paraId="0711A474" w14:textId="77777777" w:rsidR="00686657" w:rsidRDefault="00000000">
            <w:pPr>
              <w:spacing w:before="40"/>
            </w:pPr>
            <w:r>
              <w:rPr>
                <w:color w:val="5A6A7A"/>
                <w:sz w:val="20"/>
                <w:szCs w:val="20"/>
              </w:rPr>
              <w:t>Peak hour analysis confirms 890 orders at 9 PM. Targeted flash sales during this window will maximise conversion without additional traffic acquisition cost.</w:t>
            </w:r>
          </w:p>
        </w:tc>
        <w:tc>
          <w:tcPr>
            <w:tcW w:w="2000" w:type="dxa"/>
            <w:tcBorders>
              <w:top w:val="single" w:sz="1" w:space="0" w:color="C5D8EC"/>
              <w:left w:val="single" w:sz="1" w:space="0" w:color="C5D8EC"/>
              <w:bottom w:val="single" w:sz="1" w:space="0" w:color="C5D8EC"/>
              <w:right w:val="single" w:sz="1" w:space="0" w:color="C5D8EC"/>
            </w:tcBorders>
            <w:shd w:val="clear" w:color="auto" w:fill="EBF3FB"/>
            <w:tcMar>
              <w:top w:w="100" w:type="dxa"/>
              <w:left w:w="120" w:type="dxa"/>
              <w:bottom w:w="80" w:type="dxa"/>
              <w:right w:w="120" w:type="dxa"/>
            </w:tcMar>
            <w:vAlign w:val="center"/>
          </w:tcPr>
          <w:p w14:paraId="4ADE98E9" w14:textId="77777777" w:rsidR="00686657" w:rsidRDefault="00000000">
            <w:pPr>
              <w:jc w:val="center"/>
            </w:pPr>
            <w:r>
              <w:rPr>
                <w:b/>
                <w:bCs/>
                <w:color w:val="2E75B6"/>
                <w:sz w:val="28"/>
                <w:szCs w:val="28"/>
              </w:rPr>
              <w:t>High</w:t>
            </w:r>
          </w:p>
          <w:p w14:paraId="589CF7E7" w14:textId="77777777" w:rsidR="00686657" w:rsidRDefault="00000000">
            <w:pPr>
              <w:jc w:val="center"/>
            </w:pPr>
            <w:r>
              <w:rPr>
                <w:color w:val="2E75B6"/>
                <w:sz w:val="16"/>
                <w:szCs w:val="16"/>
              </w:rPr>
              <w:t>Priority</w:t>
            </w:r>
          </w:p>
        </w:tc>
      </w:tr>
    </w:tbl>
    <w:p w14:paraId="477139B7" w14:textId="77777777" w:rsidR="00686657" w:rsidRDefault="00686657">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60"/>
        <w:gridCol w:w="2000"/>
      </w:tblGrid>
      <w:tr w:rsidR="00686657" w14:paraId="60753598" w14:textId="77777777">
        <w:tblPrEx>
          <w:tblCellMar>
            <w:top w:w="0" w:type="dxa"/>
            <w:bottom w:w="0" w:type="dxa"/>
          </w:tblCellMar>
        </w:tblPrEx>
        <w:tc>
          <w:tcPr>
            <w:tcW w:w="7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80" w:type="dxa"/>
              <w:bottom w:w="80" w:type="dxa"/>
              <w:right w:w="120" w:type="dxa"/>
            </w:tcMar>
          </w:tcPr>
          <w:p w14:paraId="5DBFFBEB" w14:textId="77777777" w:rsidR="00686657" w:rsidRDefault="00000000">
            <w:r>
              <w:rPr>
                <w:b/>
                <w:bCs/>
                <w:color w:val="1E3A5F"/>
              </w:rPr>
              <w:t>UPI-first checkout optimisation</w:t>
            </w:r>
          </w:p>
          <w:p w14:paraId="2930496E" w14:textId="77777777" w:rsidR="00686657" w:rsidRDefault="00000000">
            <w:pPr>
              <w:spacing w:before="40"/>
            </w:pPr>
            <w:r>
              <w:rPr>
                <w:color w:val="5A6A7A"/>
                <w:sz w:val="20"/>
                <w:szCs w:val="20"/>
              </w:rPr>
              <w:t>UPI drives 38% of revenue. Promote UPI-exclusive offers and make it the default checkout option to reduce payment friction and increase conversion.</w:t>
            </w:r>
          </w:p>
        </w:tc>
        <w:tc>
          <w:tcPr>
            <w:tcW w:w="2000" w:type="dxa"/>
            <w:tcBorders>
              <w:top w:val="single" w:sz="1" w:space="0" w:color="C5D8EC"/>
              <w:left w:val="single" w:sz="1" w:space="0" w:color="C5D8EC"/>
              <w:bottom w:val="single" w:sz="1" w:space="0" w:color="C5D8EC"/>
              <w:right w:val="single" w:sz="1" w:space="0" w:color="C5D8EC"/>
            </w:tcBorders>
            <w:shd w:val="clear" w:color="auto" w:fill="EBF3FB"/>
            <w:tcMar>
              <w:top w:w="100" w:type="dxa"/>
              <w:left w:w="120" w:type="dxa"/>
              <w:bottom w:w="80" w:type="dxa"/>
              <w:right w:w="120" w:type="dxa"/>
            </w:tcMar>
            <w:vAlign w:val="center"/>
          </w:tcPr>
          <w:p w14:paraId="3C7DB962" w14:textId="77777777" w:rsidR="00686657" w:rsidRDefault="00000000">
            <w:pPr>
              <w:jc w:val="center"/>
            </w:pPr>
            <w:r>
              <w:rPr>
                <w:b/>
                <w:bCs/>
                <w:color w:val="2E75B6"/>
                <w:sz w:val="28"/>
                <w:szCs w:val="28"/>
              </w:rPr>
              <w:t>₹18.3M</w:t>
            </w:r>
          </w:p>
          <w:p w14:paraId="3E3DB5D3" w14:textId="77777777" w:rsidR="00686657" w:rsidRDefault="00000000">
            <w:pPr>
              <w:jc w:val="center"/>
            </w:pPr>
            <w:r>
              <w:rPr>
                <w:color w:val="2E75B6"/>
                <w:sz w:val="16"/>
                <w:szCs w:val="16"/>
              </w:rPr>
              <w:t>Revenue at stake</w:t>
            </w:r>
          </w:p>
        </w:tc>
      </w:tr>
    </w:tbl>
    <w:p w14:paraId="0B95EF2C" w14:textId="77777777" w:rsidR="00686657" w:rsidRDefault="00686657">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60"/>
        <w:gridCol w:w="2000"/>
      </w:tblGrid>
      <w:tr w:rsidR="00686657" w14:paraId="1C3DDD77" w14:textId="77777777">
        <w:tblPrEx>
          <w:tblCellMar>
            <w:top w:w="0" w:type="dxa"/>
            <w:bottom w:w="0" w:type="dxa"/>
          </w:tblCellMar>
        </w:tblPrEx>
        <w:tc>
          <w:tcPr>
            <w:tcW w:w="7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80" w:type="dxa"/>
              <w:bottom w:w="80" w:type="dxa"/>
              <w:right w:w="120" w:type="dxa"/>
            </w:tcMar>
          </w:tcPr>
          <w:p w14:paraId="1205347E" w14:textId="77777777" w:rsidR="00686657" w:rsidRDefault="00000000">
            <w:r>
              <w:rPr>
                <w:b/>
                <w:bCs/>
                <w:color w:val="1E3A5F"/>
              </w:rPr>
              <w:t>Recover ₹2.1M from cancellation leakage</w:t>
            </w:r>
          </w:p>
          <w:p w14:paraId="6CBB8084" w14:textId="77777777" w:rsidR="00686657" w:rsidRDefault="00000000">
            <w:pPr>
              <w:spacing w:before="40"/>
            </w:pPr>
            <w:r>
              <w:rPr>
                <w:color w:val="5A6A7A"/>
                <w:sz w:val="20"/>
                <w:szCs w:val="20"/>
              </w:rPr>
              <w:t>843 cancelled orders represent ₹2.1M in lost revenue. Introduce cancellation-prevention nudges (e.g., offer partial discount in lieu of cancel) at the cancellation trigger point.</w:t>
            </w:r>
          </w:p>
        </w:tc>
        <w:tc>
          <w:tcPr>
            <w:tcW w:w="2000" w:type="dxa"/>
            <w:tcBorders>
              <w:top w:val="single" w:sz="1" w:space="0" w:color="C5D8EC"/>
              <w:left w:val="single" w:sz="1" w:space="0" w:color="C5D8EC"/>
              <w:bottom w:val="single" w:sz="1" w:space="0" w:color="C5D8EC"/>
              <w:right w:val="single" w:sz="1" w:space="0" w:color="C5D8EC"/>
            </w:tcBorders>
            <w:shd w:val="clear" w:color="auto" w:fill="FBE9E7"/>
            <w:tcMar>
              <w:top w:w="100" w:type="dxa"/>
              <w:left w:w="120" w:type="dxa"/>
              <w:bottom w:w="80" w:type="dxa"/>
              <w:right w:w="120" w:type="dxa"/>
            </w:tcMar>
            <w:vAlign w:val="center"/>
          </w:tcPr>
          <w:p w14:paraId="703E3160" w14:textId="77777777" w:rsidR="00686657" w:rsidRDefault="00000000">
            <w:pPr>
              <w:jc w:val="center"/>
            </w:pPr>
            <w:r>
              <w:rPr>
                <w:b/>
                <w:bCs/>
                <w:color w:val="C62828"/>
                <w:sz w:val="28"/>
                <w:szCs w:val="28"/>
              </w:rPr>
              <w:t>843 orders</w:t>
            </w:r>
          </w:p>
          <w:p w14:paraId="1CF91F98" w14:textId="77777777" w:rsidR="00686657" w:rsidRDefault="00000000">
            <w:pPr>
              <w:jc w:val="center"/>
            </w:pPr>
            <w:r>
              <w:rPr>
                <w:color w:val="C62828"/>
                <w:sz w:val="16"/>
                <w:szCs w:val="16"/>
              </w:rPr>
              <w:t>Risk</w:t>
            </w:r>
          </w:p>
        </w:tc>
      </w:tr>
    </w:tbl>
    <w:p w14:paraId="0C65F081" w14:textId="77777777" w:rsidR="00686657" w:rsidRDefault="00686657">
      <w:pPr>
        <w:spacing w:before="120" w:after="60"/>
      </w:pPr>
    </w:p>
    <w:p w14:paraId="7FC3DF33" w14:textId="77777777" w:rsidR="00B51118" w:rsidRDefault="00B51118">
      <w:pPr>
        <w:spacing w:before="120" w:after="60"/>
      </w:pPr>
    </w:p>
    <w:p w14:paraId="7BD09A9A" w14:textId="77777777" w:rsidR="00B51118" w:rsidRDefault="00B51118">
      <w:pPr>
        <w:spacing w:before="120" w:after="60"/>
      </w:pPr>
    </w:p>
    <w:p w14:paraId="3DC84946" w14:textId="77777777" w:rsidR="00686657" w:rsidRDefault="00000000">
      <w:pPr>
        <w:shd w:val="clear" w:color="auto" w:fill="2E75B6"/>
        <w:spacing w:before="320" w:after="160"/>
        <w:ind w:left="200"/>
      </w:pPr>
      <w:proofErr w:type="gramStart"/>
      <w:r>
        <w:rPr>
          <w:b/>
          <w:bCs/>
          <w:color w:val="FFFFFF"/>
          <w:sz w:val="26"/>
          <w:szCs w:val="26"/>
        </w:rPr>
        <w:t>02  Product</w:t>
      </w:r>
      <w:proofErr w:type="gramEnd"/>
      <w:r>
        <w:rPr>
          <w:b/>
          <w:bCs/>
          <w:color w:val="FFFFFF"/>
          <w:sz w:val="26"/>
          <w:szCs w:val="26"/>
        </w:rPr>
        <w:t xml:space="preserve"> &amp; Customer</w:t>
      </w:r>
    </w:p>
    <w:p w14:paraId="47AFD60D" w14:textId="77777777" w:rsidR="00686657" w:rsidRDefault="00686657">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60"/>
        <w:gridCol w:w="2000"/>
      </w:tblGrid>
      <w:tr w:rsidR="00686657" w14:paraId="23ABDBA7" w14:textId="77777777">
        <w:tblPrEx>
          <w:tblCellMar>
            <w:top w:w="0" w:type="dxa"/>
            <w:bottom w:w="0" w:type="dxa"/>
          </w:tblCellMar>
        </w:tblPrEx>
        <w:tc>
          <w:tcPr>
            <w:tcW w:w="7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80" w:type="dxa"/>
              <w:bottom w:w="80" w:type="dxa"/>
              <w:right w:w="120" w:type="dxa"/>
            </w:tcMar>
          </w:tcPr>
          <w:p w14:paraId="3FB37F79" w14:textId="77777777" w:rsidR="00686657" w:rsidRDefault="00000000">
            <w:r>
              <w:rPr>
                <w:b/>
                <w:bCs/>
                <w:color w:val="1E3A5F"/>
              </w:rPr>
              <w:t>Re-activate 6,060 dormant registered users</w:t>
            </w:r>
          </w:p>
          <w:p w14:paraId="642E1B1F" w14:textId="77777777" w:rsidR="00686657" w:rsidRDefault="00000000">
            <w:pPr>
              <w:spacing w:before="40"/>
            </w:pPr>
            <w:r>
              <w:rPr>
                <w:color w:val="5A6A7A"/>
                <w:sz w:val="20"/>
                <w:szCs w:val="20"/>
              </w:rPr>
              <w:t>6,060 registered customers have never placed an order. A targeted email sequence with first-order incentives can close this conversion gap and add measurable incremental revenue.</w:t>
            </w:r>
          </w:p>
        </w:tc>
        <w:tc>
          <w:tcPr>
            <w:tcW w:w="2000" w:type="dxa"/>
            <w:tcBorders>
              <w:top w:val="single" w:sz="1" w:space="0" w:color="C5D8EC"/>
              <w:left w:val="single" w:sz="1" w:space="0" w:color="C5D8EC"/>
              <w:bottom w:val="single" w:sz="1" w:space="0" w:color="C5D8EC"/>
              <w:right w:val="single" w:sz="1" w:space="0" w:color="C5D8EC"/>
            </w:tcBorders>
            <w:shd w:val="clear" w:color="auto" w:fill="E8F5E9"/>
            <w:tcMar>
              <w:top w:w="100" w:type="dxa"/>
              <w:left w:w="120" w:type="dxa"/>
              <w:bottom w:w="80" w:type="dxa"/>
              <w:right w:w="120" w:type="dxa"/>
            </w:tcMar>
            <w:vAlign w:val="center"/>
          </w:tcPr>
          <w:p w14:paraId="57D3701E" w14:textId="77777777" w:rsidR="00686657" w:rsidRDefault="00000000">
            <w:pPr>
              <w:jc w:val="center"/>
            </w:pPr>
            <w:r>
              <w:rPr>
                <w:b/>
                <w:bCs/>
                <w:color w:val="2E7D32"/>
                <w:sz w:val="28"/>
                <w:szCs w:val="28"/>
              </w:rPr>
              <w:t>33% gap</w:t>
            </w:r>
          </w:p>
          <w:p w14:paraId="65811267" w14:textId="77777777" w:rsidR="00686657" w:rsidRDefault="00000000">
            <w:pPr>
              <w:jc w:val="center"/>
            </w:pPr>
            <w:r>
              <w:rPr>
                <w:color w:val="2E7D32"/>
                <w:sz w:val="16"/>
                <w:szCs w:val="16"/>
              </w:rPr>
              <w:t>Opportunity</w:t>
            </w:r>
          </w:p>
        </w:tc>
      </w:tr>
    </w:tbl>
    <w:p w14:paraId="13164E2B" w14:textId="77777777" w:rsidR="00686657" w:rsidRDefault="00686657">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60"/>
        <w:gridCol w:w="2000"/>
      </w:tblGrid>
      <w:tr w:rsidR="00686657" w14:paraId="75A13ADC" w14:textId="77777777">
        <w:tblPrEx>
          <w:tblCellMar>
            <w:top w:w="0" w:type="dxa"/>
            <w:bottom w:w="0" w:type="dxa"/>
          </w:tblCellMar>
        </w:tblPrEx>
        <w:tc>
          <w:tcPr>
            <w:tcW w:w="7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80" w:type="dxa"/>
              <w:bottom w:w="80" w:type="dxa"/>
              <w:right w:w="120" w:type="dxa"/>
            </w:tcMar>
          </w:tcPr>
          <w:p w14:paraId="59C17972" w14:textId="77777777" w:rsidR="00686657" w:rsidRDefault="00000000">
            <w:r>
              <w:rPr>
                <w:b/>
                <w:bCs/>
                <w:color w:val="1E3A5F"/>
              </w:rPr>
              <w:t>Bundle Wireless Earbuds with accessories</w:t>
            </w:r>
          </w:p>
          <w:p w14:paraId="6E5D0299" w14:textId="77777777" w:rsidR="00686657" w:rsidRDefault="00000000">
            <w:pPr>
              <w:spacing w:before="40"/>
            </w:pPr>
            <w:r>
              <w:rPr>
                <w:color w:val="5A6A7A"/>
                <w:sz w:val="20"/>
                <w:szCs w:val="20"/>
              </w:rPr>
              <w:t>Top-selling SKU with high revenue-per-unit. Bundling with cases, cables, or complementary electronics increases basket size and AOV without discounting the hero product.</w:t>
            </w:r>
          </w:p>
        </w:tc>
        <w:tc>
          <w:tcPr>
            <w:tcW w:w="2000" w:type="dxa"/>
            <w:tcBorders>
              <w:top w:val="single" w:sz="1" w:space="0" w:color="C5D8EC"/>
              <w:left w:val="single" w:sz="1" w:space="0" w:color="C5D8EC"/>
              <w:bottom w:val="single" w:sz="1" w:space="0" w:color="C5D8EC"/>
              <w:right w:val="single" w:sz="1" w:space="0" w:color="C5D8EC"/>
            </w:tcBorders>
            <w:shd w:val="clear" w:color="auto" w:fill="EBF3FB"/>
            <w:tcMar>
              <w:top w:w="100" w:type="dxa"/>
              <w:left w:w="120" w:type="dxa"/>
              <w:bottom w:w="80" w:type="dxa"/>
              <w:right w:w="120" w:type="dxa"/>
            </w:tcMar>
            <w:vAlign w:val="center"/>
          </w:tcPr>
          <w:p w14:paraId="01398EEA" w14:textId="77777777" w:rsidR="00686657" w:rsidRDefault="00000000">
            <w:pPr>
              <w:jc w:val="center"/>
            </w:pPr>
            <w:r>
              <w:rPr>
                <w:b/>
                <w:bCs/>
                <w:color w:val="2E75B6"/>
                <w:sz w:val="28"/>
                <w:szCs w:val="28"/>
              </w:rPr>
              <w:t>1,840 units</w:t>
            </w:r>
          </w:p>
          <w:p w14:paraId="182C46B5" w14:textId="77777777" w:rsidR="00686657" w:rsidRDefault="00000000">
            <w:pPr>
              <w:jc w:val="center"/>
            </w:pPr>
            <w:r>
              <w:rPr>
                <w:color w:val="2E75B6"/>
                <w:sz w:val="16"/>
                <w:szCs w:val="16"/>
              </w:rPr>
              <w:t>Growth</w:t>
            </w:r>
          </w:p>
        </w:tc>
      </w:tr>
    </w:tbl>
    <w:p w14:paraId="455BFC9A" w14:textId="77777777" w:rsidR="00686657" w:rsidRDefault="00686657">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60"/>
        <w:gridCol w:w="2000"/>
      </w:tblGrid>
      <w:tr w:rsidR="00686657" w14:paraId="2A97EB12" w14:textId="77777777">
        <w:tblPrEx>
          <w:tblCellMar>
            <w:top w:w="0" w:type="dxa"/>
            <w:bottom w:w="0" w:type="dxa"/>
          </w:tblCellMar>
        </w:tblPrEx>
        <w:tc>
          <w:tcPr>
            <w:tcW w:w="7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80" w:type="dxa"/>
              <w:bottom w:w="80" w:type="dxa"/>
              <w:right w:w="120" w:type="dxa"/>
            </w:tcMar>
          </w:tcPr>
          <w:p w14:paraId="74F666C0" w14:textId="77777777" w:rsidR="00686657" w:rsidRDefault="00000000">
            <w:r>
              <w:rPr>
                <w:b/>
                <w:bCs/>
                <w:color w:val="1E3A5F"/>
              </w:rPr>
              <w:t>Add size guides to Clothing category</w:t>
            </w:r>
          </w:p>
          <w:p w14:paraId="2BD0C68B" w14:textId="77777777" w:rsidR="00686657" w:rsidRDefault="00000000">
            <w:pPr>
              <w:spacing w:before="40"/>
            </w:pPr>
            <w:r>
              <w:rPr>
                <w:color w:val="5A6A7A"/>
                <w:sz w:val="20"/>
                <w:szCs w:val="20"/>
              </w:rPr>
              <w:t>Clothing leads return rates at 12.1%. Virtual sizing tools or detailed size guides at PDP level can reduce returns by an estimated 3–4 percentage points, saving ∼₹1.2M in annual reverse logistics.</w:t>
            </w:r>
          </w:p>
        </w:tc>
        <w:tc>
          <w:tcPr>
            <w:tcW w:w="2000" w:type="dxa"/>
            <w:tcBorders>
              <w:top w:val="single" w:sz="1" w:space="0" w:color="C5D8EC"/>
              <w:left w:val="single" w:sz="1" w:space="0" w:color="C5D8EC"/>
              <w:bottom w:val="single" w:sz="1" w:space="0" w:color="C5D8EC"/>
              <w:right w:val="single" w:sz="1" w:space="0" w:color="C5D8EC"/>
            </w:tcBorders>
            <w:shd w:val="clear" w:color="auto" w:fill="FFF8E1"/>
            <w:tcMar>
              <w:top w:w="100" w:type="dxa"/>
              <w:left w:w="120" w:type="dxa"/>
              <w:bottom w:w="80" w:type="dxa"/>
              <w:right w:w="120" w:type="dxa"/>
            </w:tcMar>
            <w:vAlign w:val="center"/>
          </w:tcPr>
          <w:p w14:paraId="035D8077" w14:textId="77777777" w:rsidR="00686657" w:rsidRDefault="00000000">
            <w:pPr>
              <w:jc w:val="center"/>
            </w:pPr>
            <w:r>
              <w:rPr>
                <w:b/>
                <w:bCs/>
                <w:color w:val="E65100"/>
                <w:sz w:val="28"/>
                <w:szCs w:val="28"/>
              </w:rPr>
              <w:t>12.1% return rate</w:t>
            </w:r>
          </w:p>
          <w:p w14:paraId="35161106" w14:textId="77777777" w:rsidR="00686657" w:rsidRDefault="00000000">
            <w:pPr>
              <w:jc w:val="center"/>
            </w:pPr>
            <w:r>
              <w:rPr>
                <w:color w:val="E65100"/>
                <w:sz w:val="16"/>
                <w:szCs w:val="16"/>
              </w:rPr>
              <w:t>Cost reduction</w:t>
            </w:r>
          </w:p>
        </w:tc>
      </w:tr>
    </w:tbl>
    <w:p w14:paraId="2121EDDA" w14:textId="77777777" w:rsidR="00686657" w:rsidRDefault="00686657">
      <w:pPr>
        <w:spacing w:before="120" w:after="60"/>
      </w:pPr>
    </w:p>
    <w:p w14:paraId="123DCE1F" w14:textId="77777777" w:rsidR="00B51118" w:rsidRDefault="00B51118">
      <w:pPr>
        <w:spacing w:before="120" w:after="60"/>
      </w:pPr>
    </w:p>
    <w:p w14:paraId="2D056D96" w14:textId="77777777" w:rsidR="00B51118" w:rsidRDefault="00B51118">
      <w:pPr>
        <w:spacing w:before="120" w:after="60"/>
      </w:pPr>
    </w:p>
    <w:p w14:paraId="6CFA7BA8" w14:textId="77777777" w:rsidR="00B51118" w:rsidRDefault="00B51118">
      <w:pPr>
        <w:spacing w:before="120" w:after="60"/>
      </w:pPr>
    </w:p>
    <w:p w14:paraId="401D0D4E" w14:textId="77777777" w:rsidR="00B51118" w:rsidRDefault="00B51118">
      <w:pPr>
        <w:spacing w:before="120" w:after="60"/>
      </w:pPr>
    </w:p>
    <w:p w14:paraId="1DAF9F6E" w14:textId="16AFFAE0" w:rsidR="00686657" w:rsidRDefault="00000000" w:rsidP="00B51118">
      <w:pPr>
        <w:shd w:val="clear" w:color="auto" w:fill="2E75B6"/>
        <w:spacing w:before="320" w:after="160"/>
        <w:ind w:left="200"/>
      </w:pPr>
      <w:proofErr w:type="gramStart"/>
      <w:r>
        <w:rPr>
          <w:b/>
          <w:bCs/>
          <w:color w:val="FFFFFF"/>
          <w:sz w:val="26"/>
          <w:szCs w:val="26"/>
        </w:rPr>
        <w:t>03  Returns</w:t>
      </w:r>
      <w:proofErr w:type="gramEnd"/>
      <w:r>
        <w:rPr>
          <w:b/>
          <w:bCs/>
          <w:color w:val="FFFFFF"/>
          <w:sz w:val="26"/>
          <w:szCs w:val="26"/>
        </w:rPr>
        <w:t xml:space="preserve"> &amp; Risk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60"/>
        <w:gridCol w:w="2000"/>
      </w:tblGrid>
      <w:tr w:rsidR="00686657" w14:paraId="6FE0B5D3" w14:textId="77777777">
        <w:tblPrEx>
          <w:tblCellMar>
            <w:top w:w="0" w:type="dxa"/>
            <w:bottom w:w="0" w:type="dxa"/>
          </w:tblCellMar>
        </w:tblPrEx>
        <w:tc>
          <w:tcPr>
            <w:tcW w:w="7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80" w:type="dxa"/>
              <w:bottom w:w="80" w:type="dxa"/>
              <w:right w:w="120" w:type="dxa"/>
            </w:tcMar>
          </w:tcPr>
          <w:p w14:paraId="7583F32F" w14:textId="77777777" w:rsidR="00686657" w:rsidRDefault="00000000">
            <w:r>
              <w:rPr>
                <w:b/>
                <w:bCs/>
                <w:color w:val="1E3A5F"/>
              </w:rPr>
              <w:t>Supplier quality audit for Defective returns</w:t>
            </w:r>
          </w:p>
          <w:p w14:paraId="62154310" w14:textId="77777777" w:rsidR="00686657" w:rsidRDefault="00000000">
            <w:pPr>
              <w:spacing w:before="40"/>
            </w:pPr>
            <w:r>
              <w:rPr>
                <w:color w:val="5A6A7A"/>
                <w:sz w:val="20"/>
                <w:szCs w:val="20"/>
              </w:rPr>
              <w:t>Defective Product is the leading return reason with 680 returns and 1.8% revenue impact. Implement incoming quality checks and supplier scorecards with penalisation clauses for defect rates above 2%.</w:t>
            </w:r>
          </w:p>
        </w:tc>
        <w:tc>
          <w:tcPr>
            <w:tcW w:w="2000" w:type="dxa"/>
            <w:tcBorders>
              <w:top w:val="single" w:sz="1" w:space="0" w:color="C5D8EC"/>
              <w:left w:val="single" w:sz="1" w:space="0" w:color="C5D8EC"/>
              <w:bottom w:val="single" w:sz="1" w:space="0" w:color="C5D8EC"/>
              <w:right w:val="single" w:sz="1" w:space="0" w:color="C5D8EC"/>
            </w:tcBorders>
            <w:shd w:val="clear" w:color="auto" w:fill="FBE9E7"/>
            <w:tcMar>
              <w:top w:w="100" w:type="dxa"/>
              <w:left w:w="120" w:type="dxa"/>
              <w:bottom w:w="80" w:type="dxa"/>
              <w:right w:w="120" w:type="dxa"/>
            </w:tcMar>
            <w:vAlign w:val="center"/>
          </w:tcPr>
          <w:p w14:paraId="64BAB9B7" w14:textId="77777777" w:rsidR="00686657" w:rsidRDefault="00000000">
            <w:pPr>
              <w:jc w:val="center"/>
            </w:pPr>
            <w:r>
              <w:rPr>
                <w:b/>
                <w:bCs/>
                <w:color w:val="C62828"/>
                <w:sz w:val="28"/>
                <w:szCs w:val="28"/>
              </w:rPr>
              <w:t>1.8% revenue impact</w:t>
            </w:r>
          </w:p>
          <w:p w14:paraId="6A7399D0" w14:textId="77777777" w:rsidR="00686657" w:rsidRDefault="00000000">
            <w:pPr>
              <w:jc w:val="center"/>
            </w:pPr>
            <w:r>
              <w:rPr>
                <w:color w:val="C62828"/>
                <w:sz w:val="16"/>
                <w:szCs w:val="16"/>
              </w:rPr>
              <w:t>Critical</w:t>
            </w:r>
          </w:p>
        </w:tc>
      </w:tr>
    </w:tbl>
    <w:p w14:paraId="1AAC43C2" w14:textId="77777777" w:rsidR="00686657" w:rsidRDefault="00686657">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60"/>
        <w:gridCol w:w="2000"/>
      </w:tblGrid>
      <w:tr w:rsidR="00686657" w14:paraId="596384D6" w14:textId="77777777">
        <w:tblPrEx>
          <w:tblCellMar>
            <w:top w:w="0" w:type="dxa"/>
            <w:bottom w:w="0" w:type="dxa"/>
          </w:tblCellMar>
        </w:tblPrEx>
        <w:tc>
          <w:tcPr>
            <w:tcW w:w="7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80" w:type="dxa"/>
              <w:bottom w:w="80" w:type="dxa"/>
              <w:right w:w="120" w:type="dxa"/>
            </w:tcMar>
          </w:tcPr>
          <w:p w14:paraId="5DB036BA" w14:textId="77777777" w:rsidR="00686657" w:rsidRDefault="00000000">
            <w:r>
              <w:rPr>
                <w:b/>
                <w:bCs/>
                <w:color w:val="1E3A5F"/>
              </w:rPr>
              <w:t>Logistics partner review: Pune &amp; Chennai</w:t>
            </w:r>
          </w:p>
          <w:p w14:paraId="4C3061D3" w14:textId="77777777" w:rsidR="00686657" w:rsidRDefault="00000000">
            <w:pPr>
              <w:spacing w:before="40"/>
            </w:pPr>
            <w:r>
              <w:rPr>
                <w:color w:val="5A6A7A"/>
                <w:sz w:val="20"/>
                <w:szCs w:val="20"/>
              </w:rPr>
              <w:t>Both cities fall below the 90% fulfilment benchmark. SLA enforcement, alternative logistics partner evaluation, and route density analysis should be initiated within 30 days.</w:t>
            </w:r>
          </w:p>
        </w:tc>
        <w:tc>
          <w:tcPr>
            <w:tcW w:w="2000" w:type="dxa"/>
            <w:tcBorders>
              <w:top w:val="single" w:sz="1" w:space="0" w:color="C5D8EC"/>
              <w:left w:val="single" w:sz="1" w:space="0" w:color="C5D8EC"/>
              <w:bottom w:val="single" w:sz="1" w:space="0" w:color="C5D8EC"/>
              <w:right w:val="single" w:sz="1" w:space="0" w:color="C5D8EC"/>
            </w:tcBorders>
            <w:shd w:val="clear" w:color="auto" w:fill="FFF8E1"/>
            <w:tcMar>
              <w:top w:w="100" w:type="dxa"/>
              <w:left w:w="120" w:type="dxa"/>
              <w:bottom w:w="80" w:type="dxa"/>
              <w:right w:w="120" w:type="dxa"/>
            </w:tcMar>
            <w:vAlign w:val="center"/>
          </w:tcPr>
          <w:p w14:paraId="7725B6D6" w14:textId="77777777" w:rsidR="00686657" w:rsidRDefault="00000000">
            <w:pPr>
              <w:jc w:val="center"/>
            </w:pPr>
            <w:r>
              <w:rPr>
                <w:b/>
                <w:bCs/>
                <w:color w:val="E65100"/>
                <w:sz w:val="28"/>
                <w:szCs w:val="28"/>
              </w:rPr>
              <w:t>82–86% efficiency</w:t>
            </w:r>
          </w:p>
          <w:p w14:paraId="7CE4321D" w14:textId="77777777" w:rsidR="00686657" w:rsidRDefault="00000000">
            <w:pPr>
              <w:jc w:val="center"/>
            </w:pPr>
            <w:r>
              <w:rPr>
                <w:color w:val="E65100"/>
                <w:sz w:val="16"/>
                <w:szCs w:val="16"/>
              </w:rPr>
              <w:t>Operational</w:t>
            </w:r>
          </w:p>
        </w:tc>
      </w:tr>
    </w:tbl>
    <w:p w14:paraId="59EBDAC9" w14:textId="77777777" w:rsidR="00686657" w:rsidRDefault="00686657">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60"/>
        <w:gridCol w:w="2000"/>
      </w:tblGrid>
      <w:tr w:rsidR="00686657" w14:paraId="07A0A3F0" w14:textId="77777777">
        <w:tblPrEx>
          <w:tblCellMar>
            <w:top w:w="0" w:type="dxa"/>
            <w:bottom w:w="0" w:type="dxa"/>
          </w:tblCellMar>
        </w:tblPrEx>
        <w:tc>
          <w:tcPr>
            <w:tcW w:w="7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80" w:type="dxa"/>
              <w:bottom w:w="80" w:type="dxa"/>
              <w:right w:w="120" w:type="dxa"/>
            </w:tcMar>
          </w:tcPr>
          <w:p w14:paraId="48353114" w14:textId="77777777" w:rsidR="00686657" w:rsidRDefault="00000000">
            <w:r>
              <w:rPr>
                <w:b/>
                <w:bCs/>
                <w:color w:val="1E3A5F"/>
              </w:rPr>
              <w:t>Gujarat return rate investigation</w:t>
            </w:r>
          </w:p>
          <w:p w14:paraId="3BA8A0DC" w14:textId="77777777" w:rsidR="00686657" w:rsidRDefault="00000000">
            <w:pPr>
              <w:spacing w:before="40"/>
            </w:pPr>
            <w:r>
              <w:rPr>
                <w:color w:val="5A6A7A"/>
                <w:sz w:val="20"/>
                <w:szCs w:val="20"/>
              </w:rPr>
              <w:t>Gujarat’s return rate of 11.13% is 2.7x the national average. Immediate root-cause analysis covering product mix, delivery partner quality, and customer segment profile is required.</w:t>
            </w:r>
          </w:p>
        </w:tc>
        <w:tc>
          <w:tcPr>
            <w:tcW w:w="2000" w:type="dxa"/>
            <w:tcBorders>
              <w:top w:val="single" w:sz="1" w:space="0" w:color="C5D8EC"/>
              <w:left w:val="single" w:sz="1" w:space="0" w:color="C5D8EC"/>
              <w:bottom w:val="single" w:sz="1" w:space="0" w:color="C5D8EC"/>
              <w:right w:val="single" w:sz="1" w:space="0" w:color="C5D8EC"/>
            </w:tcBorders>
            <w:shd w:val="clear" w:color="auto" w:fill="FBE9E7"/>
            <w:tcMar>
              <w:top w:w="100" w:type="dxa"/>
              <w:left w:w="120" w:type="dxa"/>
              <w:bottom w:w="80" w:type="dxa"/>
              <w:right w:w="120" w:type="dxa"/>
            </w:tcMar>
            <w:vAlign w:val="center"/>
          </w:tcPr>
          <w:p w14:paraId="4F2FF488" w14:textId="77777777" w:rsidR="00686657" w:rsidRDefault="00000000">
            <w:pPr>
              <w:jc w:val="center"/>
            </w:pPr>
            <w:r>
              <w:rPr>
                <w:b/>
                <w:bCs/>
                <w:color w:val="C62828"/>
                <w:sz w:val="28"/>
                <w:szCs w:val="28"/>
              </w:rPr>
              <w:t>11.13%</w:t>
            </w:r>
          </w:p>
          <w:p w14:paraId="7DC4F2B9" w14:textId="77777777" w:rsidR="00686657" w:rsidRDefault="00000000">
            <w:pPr>
              <w:jc w:val="center"/>
            </w:pPr>
            <w:r>
              <w:rPr>
                <w:color w:val="C62828"/>
                <w:sz w:val="16"/>
                <w:szCs w:val="16"/>
              </w:rPr>
              <w:t>Urgent</w:t>
            </w:r>
          </w:p>
        </w:tc>
      </w:tr>
    </w:tbl>
    <w:p w14:paraId="38BDE410" w14:textId="73F875C7" w:rsidR="00686657" w:rsidRDefault="00686657"/>
    <w:p w14:paraId="1901E6E8" w14:textId="77777777" w:rsidR="00B51118" w:rsidRDefault="00B51118"/>
    <w:p w14:paraId="60E00C5F" w14:textId="77777777" w:rsidR="00B51118" w:rsidRDefault="00B51118"/>
    <w:p w14:paraId="6ADD201C" w14:textId="77777777" w:rsidR="00B51118" w:rsidRDefault="00B51118"/>
    <w:p w14:paraId="01C30F91" w14:textId="77777777" w:rsidR="00B51118" w:rsidRDefault="00B51118"/>
    <w:p w14:paraId="266A9AA2" w14:textId="77777777" w:rsidR="00B51118" w:rsidRDefault="00B51118"/>
    <w:p w14:paraId="382BA2A3" w14:textId="77777777" w:rsidR="00B51118" w:rsidRDefault="00B51118"/>
    <w:p w14:paraId="2D453BAD" w14:textId="77777777" w:rsidR="00B51118" w:rsidRDefault="00B51118"/>
    <w:p w14:paraId="63D991A5" w14:textId="77777777" w:rsidR="00B51118" w:rsidRDefault="00B51118"/>
    <w:p w14:paraId="44EF9760" w14:textId="77777777" w:rsidR="00B51118" w:rsidRDefault="00B51118"/>
    <w:p w14:paraId="289F2F66" w14:textId="77777777" w:rsidR="00B51118" w:rsidRDefault="00B51118"/>
    <w:p w14:paraId="1A0EC74D" w14:textId="77777777" w:rsidR="00B51118" w:rsidRDefault="00B51118"/>
    <w:p w14:paraId="65EC5983" w14:textId="77777777" w:rsidR="00B51118" w:rsidRDefault="00B51118"/>
    <w:p w14:paraId="37F669A5" w14:textId="77777777" w:rsidR="00B51118" w:rsidRDefault="00B51118"/>
    <w:p w14:paraId="3D812F43" w14:textId="77777777" w:rsidR="00B51118" w:rsidRDefault="00B51118"/>
    <w:p w14:paraId="11D0DA3C" w14:textId="77777777" w:rsidR="00B51118" w:rsidRDefault="00B51118"/>
    <w:p w14:paraId="017BBFF4" w14:textId="77777777" w:rsidR="00B51118" w:rsidRDefault="00B51118"/>
    <w:p w14:paraId="54F2C7C9" w14:textId="77777777" w:rsidR="00B51118" w:rsidRDefault="00B51118"/>
    <w:p w14:paraId="4249EC64" w14:textId="77777777" w:rsidR="00B51118" w:rsidRDefault="00B51118"/>
    <w:p w14:paraId="47490F21" w14:textId="77777777" w:rsidR="00B51118" w:rsidRDefault="00B51118"/>
    <w:p w14:paraId="304BC4A2" w14:textId="77777777" w:rsidR="00B51118" w:rsidRDefault="00B51118"/>
    <w:p w14:paraId="11A05B75" w14:textId="77777777" w:rsidR="00B51118" w:rsidRDefault="00B51118"/>
    <w:p w14:paraId="143C6BDF" w14:textId="77777777" w:rsidR="00B51118" w:rsidRDefault="00B51118"/>
    <w:p w14:paraId="284A647F" w14:textId="77777777" w:rsidR="00B51118" w:rsidRDefault="00B51118"/>
    <w:p w14:paraId="57DD325C" w14:textId="77777777" w:rsidR="00B51118" w:rsidRDefault="00B51118"/>
    <w:p w14:paraId="002A996A" w14:textId="77777777" w:rsidR="00B51118" w:rsidRDefault="00B51118"/>
    <w:p w14:paraId="6C08EF04" w14:textId="77777777" w:rsidR="00B51118" w:rsidRDefault="00B51118"/>
    <w:p w14:paraId="2B413475" w14:textId="751FB58F" w:rsidR="00B51118" w:rsidRDefault="00B51118">
      <w:r>
        <w:t>‘</w:t>
      </w:r>
    </w:p>
    <w:p w14:paraId="784A0CB5" w14:textId="77777777" w:rsidR="00B51118" w:rsidRDefault="00B51118"/>
    <w:p w14:paraId="7E4FD878" w14:textId="77777777" w:rsidR="00B51118" w:rsidRDefault="00B51118"/>
    <w:p w14:paraId="5533524D" w14:textId="77777777" w:rsidR="00B51118" w:rsidRDefault="00B51118"/>
    <w:p w14:paraId="7635A64A" w14:textId="77777777" w:rsidR="00B51118" w:rsidRDefault="00B51118"/>
    <w:p w14:paraId="67E3044A" w14:textId="77777777" w:rsidR="00686657" w:rsidRDefault="00000000">
      <w:pPr>
        <w:pStyle w:val="Heading1"/>
        <w:shd w:val="clear" w:color="auto" w:fill="1E3A5F"/>
        <w:ind w:left="200"/>
      </w:pPr>
      <w:r>
        <w:lastRenderedPageBreak/>
        <w:t>Appendix — SQL Insight Reference</w:t>
      </w:r>
    </w:p>
    <w:p w14:paraId="0B2879DB" w14:textId="77777777" w:rsidR="00686657" w:rsidRDefault="00686657">
      <w:pPr>
        <w:spacing w:before="60" w:after="30"/>
      </w:pPr>
    </w:p>
    <w:p w14:paraId="2AD77A69" w14:textId="77777777" w:rsidR="00686657" w:rsidRDefault="00000000">
      <w:pPr>
        <w:spacing w:before="60" w:after="60"/>
      </w:pPr>
      <w:r>
        <w:rPr>
          <w:color w:val="5A6A7A"/>
        </w:rPr>
        <w:t>The following table maps each STAR insight to its corresponding SQL query reference and dashboard page.</w:t>
      </w:r>
    </w:p>
    <w:p w14:paraId="277FDC4C" w14:textId="77777777" w:rsidR="00686657" w:rsidRDefault="00686657">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560"/>
        <w:gridCol w:w="2400"/>
        <w:gridCol w:w="2200"/>
      </w:tblGrid>
      <w:tr w:rsidR="00686657" w14:paraId="56606DC9" w14:textId="77777777">
        <w:tblPrEx>
          <w:tblCellMar>
            <w:top w:w="0" w:type="dxa"/>
            <w:bottom w:w="0" w:type="dxa"/>
          </w:tblCellMar>
        </w:tblPrEx>
        <w:tc>
          <w:tcPr>
            <w:tcW w:w="1200" w:type="dxa"/>
            <w:tcBorders>
              <w:top w:val="single" w:sz="1" w:space="0" w:color="C5D8EC"/>
              <w:left w:val="single" w:sz="1" w:space="0" w:color="C5D8EC"/>
              <w:bottom w:val="single" w:sz="1" w:space="0" w:color="C5D8EC"/>
              <w:right w:val="single" w:sz="1" w:space="0" w:color="C5D8EC"/>
            </w:tcBorders>
            <w:shd w:val="clear" w:color="auto" w:fill="1E3A5F"/>
            <w:tcMar>
              <w:top w:w="100" w:type="dxa"/>
              <w:left w:w="120" w:type="dxa"/>
              <w:bottom w:w="100" w:type="dxa"/>
              <w:right w:w="120" w:type="dxa"/>
            </w:tcMar>
          </w:tcPr>
          <w:p w14:paraId="6F331464" w14:textId="77777777" w:rsidR="00686657" w:rsidRDefault="00000000">
            <w:r>
              <w:rPr>
                <w:b/>
                <w:bCs/>
                <w:color w:val="FFFFFF"/>
                <w:sz w:val="20"/>
                <w:szCs w:val="20"/>
              </w:rPr>
              <w:t>Insight #</w:t>
            </w:r>
          </w:p>
        </w:tc>
        <w:tc>
          <w:tcPr>
            <w:tcW w:w="3560" w:type="dxa"/>
            <w:tcBorders>
              <w:top w:val="single" w:sz="1" w:space="0" w:color="C5D8EC"/>
              <w:left w:val="single" w:sz="1" w:space="0" w:color="C5D8EC"/>
              <w:bottom w:val="single" w:sz="1" w:space="0" w:color="C5D8EC"/>
              <w:right w:val="single" w:sz="1" w:space="0" w:color="C5D8EC"/>
            </w:tcBorders>
            <w:shd w:val="clear" w:color="auto" w:fill="1E3A5F"/>
            <w:tcMar>
              <w:top w:w="100" w:type="dxa"/>
              <w:left w:w="120" w:type="dxa"/>
              <w:bottom w:w="100" w:type="dxa"/>
              <w:right w:w="120" w:type="dxa"/>
            </w:tcMar>
          </w:tcPr>
          <w:p w14:paraId="15A236CB" w14:textId="77777777" w:rsidR="00686657" w:rsidRDefault="00000000">
            <w:r>
              <w:rPr>
                <w:b/>
                <w:bCs/>
                <w:color w:val="FFFFFF"/>
                <w:sz w:val="20"/>
                <w:szCs w:val="20"/>
              </w:rPr>
              <w:t>Insight Title</w:t>
            </w:r>
          </w:p>
        </w:tc>
        <w:tc>
          <w:tcPr>
            <w:tcW w:w="2400" w:type="dxa"/>
            <w:tcBorders>
              <w:top w:val="single" w:sz="1" w:space="0" w:color="C5D8EC"/>
              <w:left w:val="single" w:sz="1" w:space="0" w:color="C5D8EC"/>
              <w:bottom w:val="single" w:sz="1" w:space="0" w:color="C5D8EC"/>
              <w:right w:val="single" w:sz="1" w:space="0" w:color="C5D8EC"/>
            </w:tcBorders>
            <w:shd w:val="clear" w:color="auto" w:fill="1E3A5F"/>
            <w:tcMar>
              <w:top w:w="100" w:type="dxa"/>
              <w:left w:w="120" w:type="dxa"/>
              <w:bottom w:w="100" w:type="dxa"/>
              <w:right w:w="120" w:type="dxa"/>
            </w:tcMar>
          </w:tcPr>
          <w:p w14:paraId="0B1CC3F8" w14:textId="77777777" w:rsidR="00686657" w:rsidRDefault="00000000">
            <w:r>
              <w:rPr>
                <w:b/>
                <w:bCs/>
                <w:color w:val="FFFFFF"/>
                <w:sz w:val="20"/>
                <w:szCs w:val="20"/>
              </w:rPr>
              <w:t>SQL Query Ref</w:t>
            </w:r>
          </w:p>
        </w:tc>
        <w:tc>
          <w:tcPr>
            <w:tcW w:w="2200" w:type="dxa"/>
            <w:tcBorders>
              <w:top w:val="single" w:sz="1" w:space="0" w:color="C5D8EC"/>
              <w:left w:val="single" w:sz="1" w:space="0" w:color="C5D8EC"/>
              <w:bottom w:val="single" w:sz="1" w:space="0" w:color="C5D8EC"/>
              <w:right w:val="single" w:sz="1" w:space="0" w:color="C5D8EC"/>
            </w:tcBorders>
            <w:shd w:val="clear" w:color="auto" w:fill="1E3A5F"/>
            <w:tcMar>
              <w:top w:w="100" w:type="dxa"/>
              <w:left w:w="120" w:type="dxa"/>
              <w:bottom w:w="100" w:type="dxa"/>
              <w:right w:w="120" w:type="dxa"/>
            </w:tcMar>
          </w:tcPr>
          <w:p w14:paraId="6996B9BD" w14:textId="77777777" w:rsidR="00686657" w:rsidRDefault="00000000">
            <w:r>
              <w:rPr>
                <w:b/>
                <w:bCs/>
                <w:color w:val="FFFFFF"/>
                <w:sz w:val="20"/>
                <w:szCs w:val="20"/>
              </w:rPr>
              <w:t>Dashboard Page</w:t>
            </w:r>
          </w:p>
        </w:tc>
      </w:tr>
      <w:tr w:rsidR="00686657" w14:paraId="42B31529" w14:textId="77777777">
        <w:tblPrEx>
          <w:tblCellMar>
            <w:top w:w="0" w:type="dxa"/>
            <w:bottom w:w="0" w:type="dxa"/>
          </w:tblCellMar>
        </w:tblPrEx>
        <w:tc>
          <w:tcPr>
            <w:tcW w:w="1200" w:type="dxa"/>
            <w:tcBorders>
              <w:top w:val="single" w:sz="1" w:space="0" w:color="C5D8EC"/>
              <w:left w:val="single" w:sz="1" w:space="0" w:color="C5D8EC"/>
              <w:bottom w:val="single" w:sz="1" w:space="0" w:color="C5D8EC"/>
              <w:right w:val="single" w:sz="1" w:space="0" w:color="C5D8EC"/>
            </w:tcBorders>
            <w:shd w:val="clear" w:color="auto" w:fill="EBF3FB"/>
            <w:tcMar>
              <w:top w:w="80" w:type="dxa"/>
              <w:left w:w="120" w:type="dxa"/>
              <w:bottom w:w="80" w:type="dxa"/>
              <w:right w:w="120" w:type="dxa"/>
            </w:tcMar>
          </w:tcPr>
          <w:p w14:paraId="4C60A7F6" w14:textId="77777777" w:rsidR="00686657" w:rsidRDefault="00000000">
            <w:r>
              <w:rPr>
                <w:b/>
                <w:bCs/>
                <w:color w:val="2E75B6"/>
                <w:sz w:val="20"/>
                <w:szCs w:val="20"/>
              </w:rPr>
              <w:t>1</w:t>
            </w:r>
          </w:p>
        </w:tc>
        <w:tc>
          <w:tcPr>
            <w:tcW w:w="3560" w:type="dxa"/>
            <w:tcBorders>
              <w:top w:val="single" w:sz="1" w:space="0" w:color="C5D8EC"/>
              <w:left w:val="single" w:sz="1" w:space="0" w:color="C5D8EC"/>
              <w:bottom w:val="single" w:sz="1" w:space="0" w:color="C5D8EC"/>
              <w:right w:val="single" w:sz="1" w:space="0" w:color="C5D8EC"/>
            </w:tcBorders>
            <w:shd w:val="clear" w:color="auto" w:fill="EBF3FB"/>
            <w:tcMar>
              <w:top w:w="80" w:type="dxa"/>
              <w:left w:w="120" w:type="dxa"/>
              <w:bottom w:w="80" w:type="dxa"/>
              <w:right w:w="120" w:type="dxa"/>
            </w:tcMar>
          </w:tcPr>
          <w:p w14:paraId="33187072" w14:textId="77777777" w:rsidR="00686657" w:rsidRDefault="00000000">
            <w:r>
              <w:rPr>
                <w:color w:val="1A1A2E"/>
                <w:sz w:val="20"/>
                <w:szCs w:val="20"/>
              </w:rPr>
              <w:t>Monthly Revenue Trend &amp; MoM Growth</w:t>
            </w:r>
          </w:p>
        </w:tc>
        <w:tc>
          <w:tcPr>
            <w:tcW w:w="2400" w:type="dxa"/>
            <w:tcBorders>
              <w:top w:val="single" w:sz="1" w:space="0" w:color="C5D8EC"/>
              <w:left w:val="single" w:sz="1" w:space="0" w:color="C5D8EC"/>
              <w:bottom w:val="single" w:sz="1" w:space="0" w:color="C5D8EC"/>
              <w:right w:val="single" w:sz="1" w:space="0" w:color="C5D8EC"/>
            </w:tcBorders>
            <w:shd w:val="clear" w:color="auto" w:fill="EBF3FB"/>
            <w:tcMar>
              <w:top w:w="80" w:type="dxa"/>
              <w:left w:w="120" w:type="dxa"/>
              <w:bottom w:w="80" w:type="dxa"/>
              <w:right w:w="120" w:type="dxa"/>
            </w:tcMar>
          </w:tcPr>
          <w:p w14:paraId="4B9E845A" w14:textId="77777777" w:rsidR="00686657" w:rsidRDefault="00000000">
            <w:r>
              <w:rPr>
                <w:color w:val="5A6A7A"/>
                <w:sz w:val="20"/>
                <w:szCs w:val="20"/>
              </w:rPr>
              <w:t>Insights 6, 32</w:t>
            </w:r>
          </w:p>
        </w:tc>
        <w:tc>
          <w:tcPr>
            <w:tcW w:w="2200" w:type="dxa"/>
            <w:tcBorders>
              <w:top w:val="single" w:sz="1" w:space="0" w:color="C5D8EC"/>
              <w:left w:val="single" w:sz="1" w:space="0" w:color="C5D8EC"/>
              <w:bottom w:val="single" w:sz="1" w:space="0" w:color="C5D8EC"/>
              <w:right w:val="single" w:sz="1" w:space="0" w:color="C5D8EC"/>
            </w:tcBorders>
            <w:shd w:val="clear" w:color="auto" w:fill="EBF3FB"/>
            <w:tcMar>
              <w:top w:w="80" w:type="dxa"/>
              <w:left w:w="120" w:type="dxa"/>
              <w:bottom w:w="80" w:type="dxa"/>
              <w:right w:w="120" w:type="dxa"/>
            </w:tcMar>
          </w:tcPr>
          <w:p w14:paraId="1B4860B7" w14:textId="77777777" w:rsidR="00686657" w:rsidRDefault="00000000">
            <w:r>
              <w:rPr>
                <w:color w:val="5A6A7A"/>
                <w:sz w:val="20"/>
                <w:szCs w:val="20"/>
              </w:rPr>
              <w:t>Page 1 — Revenue</w:t>
            </w:r>
          </w:p>
        </w:tc>
      </w:tr>
      <w:tr w:rsidR="00686657" w14:paraId="479CCD58" w14:textId="77777777">
        <w:tblPrEx>
          <w:tblCellMar>
            <w:top w:w="0" w:type="dxa"/>
            <w:bottom w:w="0" w:type="dxa"/>
          </w:tblCellMar>
        </w:tblPrEx>
        <w:tc>
          <w:tcPr>
            <w:tcW w:w="1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14:paraId="6B3FA713" w14:textId="77777777" w:rsidR="00686657" w:rsidRDefault="00000000">
            <w:r>
              <w:rPr>
                <w:b/>
                <w:bCs/>
                <w:color w:val="2E75B6"/>
                <w:sz w:val="20"/>
                <w:szCs w:val="20"/>
              </w:rPr>
              <w:t>2</w:t>
            </w:r>
          </w:p>
        </w:tc>
        <w:tc>
          <w:tcPr>
            <w:tcW w:w="35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14:paraId="03F9744C" w14:textId="77777777" w:rsidR="00686657" w:rsidRDefault="00000000">
            <w:r>
              <w:rPr>
                <w:color w:val="1A1A2E"/>
                <w:sz w:val="20"/>
                <w:szCs w:val="20"/>
              </w:rPr>
              <w:t>Payment Method Revenue Contribution</w:t>
            </w:r>
          </w:p>
        </w:tc>
        <w:tc>
          <w:tcPr>
            <w:tcW w:w="24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14:paraId="13EF4CC5" w14:textId="77777777" w:rsidR="00686657" w:rsidRDefault="00000000">
            <w:r>
              <w:rPr>
                <w:color w:val="5A6A7A"/>
                <w:sz w:val="20"/>
                <w:szCs w:val="20"/>
              </w:rPr>
              <w:t>Insight 8</w:t>
            </w:r>
          </w:p>
        </w:tc>
        <w:tc>
          <w:tcPr>
            <w:tcW w:w="2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14:paraId="5E60EE24" w14:textId="77777777" w:rsidR="00686657" w:rsidRDefault="00000000">
            <w:r>
              <w:rPr>
                <w:color w:val="5A6A7A"/>
                <w:sz w:val="20"/>
                <w:szCs w:val="20"/>
              </w:rPr>
              <w:t>Page 1 — Revenue</w:t>
            </w:r>
          </w:p>
        </w:tc>
      </w:tr>
      <w:tr w:rsidR="00686657" w14:paraId="133F3A24" w14:textId="77777777">
        <w:tblPrEx>
          <w:tblCellMar>
            <w:top w:w="0" w:type="dxa"/>
            <w:bottom w:w="0" w:type="dxa"/>
          </w:tblCellMar>
        </w:tblPrEx>
        <w:tc>
          <w:tcPr>
            <w:tcW w:w="1200" w:type="dxa"/>
            <w:tcBorders>
              <w:top w:val="single" w:sz="1" w:space="0" w:color="C5D8EC"/>
              <w:left w:val="single" w:sz="1" w:space="0" w:color="C5D8EC"/>
              <w:bottom w:val="single" w:sz="1" w:space="0" w:color="C5D8EC"/>
              <w:right w:val="single" w:sz="1" w:space="0" w:color="C5D8EC"/>
            </w:tcBorders>
            <w:shd w:val="clear" w:color="auto" w:fill="EBF3FB"/>
            <w:tcMar>
              <w:top w:w="80" w:type="dxa"/>
              <w:left w:w="120" w:type="dxa"/>
              <w:bottom w:w="80" w:type="dxa"/>
              <w:right w:w="120" w:type="dxa"/>
            </w:tcMar>
          </w:tcPr>
          <w:p w14:paraId="657E82E1" w14:textId="77777777" w:rsidR="00686657" w:rsidRDefault="00000000">
            <w:r>
              <w:rPr>
                <w:b/>
                <w:bCs/>
                <w:color w:val="2E75B6"/>
                <w:sz w:val="20"/>
                <w:szCs w:val="20"/>
              </w:rPr>
              <w:t>3</w:t>
            </w:r>
          </w:p>
        </w:tc>
        <w:tc>
          <w:tcPr>
            <w:tcW w:w="3560" w:type="dxa"/>
            <w:tcBorders>
              <w:top w:val="single" w:sz="1" w:space="0" w:color="C5D8EC"/>
              <w:left w:val="single" w:sz="1" w:space="0" w:color="C5D8EC"/>
              <w:bottom w:val="single" w:sz="1" w:space="0" w:color="C5D8EC"/>
              <w:right w:val="single" w:sz="1" w:space="0" w:color="C5D8EC"/>
            </w:tcBorders>
            <w:shd w:val="clear" w:color="auto" w:fill="EBF3FB"/>
            <w:tcMar>
              <w:top w:w="80" w:type="dxa"/>
              <w:left w:w="120" w:type="dxa"/>
              <w:bottom w:w="80" w:type="dxa"/>
              <w:right w:w="120" w:type="dxa"/>
            </w:tcMar>
          </w:tcPr>
          <w:p w14:paraId="416FF0BE" w14:textId="77777777" w:rsidR="00686657" w:rsidRDefault="00000000">
            <w:r>
              <w:rPr>
                <w:color w:val="1A1A2E"/>
                <w:sz w:val="20"/>
                <w:szCs w:val="20"/>
              </w:rPr>
              <w:t>Geographic Revenue Concentration</w:t>
            </w:r>
          </w:p>
        </w:tc>
        <w:tc>
          <w:tcPr>
            <w:tcW w:w="2400" w:type="dxa"/>
            <w:tcBorders>
              <w:top w:val="single" w:sz="1" w:space="0" w:color="C5D8EC"/>
              <w:left w:val="single" w:sz="1" w:space="0" w:color="C5D8EC"/>
              <w:bottom w:val="single" w:sz="1" w:space="0" w:color="C5D8EC"/>
              <w:right w:val="single" w:sz="1" w:space="0" w:color="C5D8EC"/>
            </w:tcBorders>
            <w:shd w:val="clear" w:color="auto" w:fill="EBF3FB"/>
            <w:tcMar>
              <w:top w:w="80" w:type="dxa"/>
              <w:left w:w="120" w:type="dxa"/>
              <w:bottom w:w="80" w:type="dxa"/>
              <w:right w:w="120" w:type="dxa"/>
            </w:tcMar>
          </w:tcPr>
          <w:p w14:paraId="7E737E4A" w14:textId="77777777" w:rsidR="00686657" w:rsidRDefault="00000000">
            <w:r>
              <w:rPr>
                <w:color w:val="5A6A7A"/>
                <w:sz w:val="20"/>
                <w:szCs w:val="20"/>
              </w:rPr>
              <w:t>Insights 9, 43</w:t>
            </w:r>
          </w:p>
        </w:tc>
        <w:tc>
          <w:tcPr>
            <w:tcW w:w="2200" w:type="dxa"/>
            <w:tcBorders>
              <w:top w:val="single" w:sz="1" w:space="0" w:color="C5D8EC"/>
              <w:left w:val="single" w:sz="1" w:space="0" w:color="C5D8EC"/>
              <w:bottom w:val="single" w:sz="1" w:space="0" w:color="C5D8EC"/>
              <w:right w:val="single" w:sz="1" w:space="0" w:color="C5D8EC"/>
            </w:tcBorders>
            <w:shd w:val="clear" w:color="auto" w:fill="EBF3FB"/>
            <w:tcMar>
              <w:top w:w="80" w:type="dxa"/>
              <w:left w:w="120" w:type="dxa"/>
              <w:bottom w:w="80" w:type="dxa"/>
              <w:right w:w="120" w:type="dxa"/>
            </w:tcMar>
          </w:tcPr>
          <w:p w14:paraId="2FC0D1D9" w14:textId="77777777" w:rsidR="00686657" w:rsidRDefault="00000000">
            <w:r>
              <w:rPr>
                <w:color w:val="5A6A7A"/>
                <w:sz w:val="20"/>
                <w:szCs w:val="20"/>
              </w:rPr>
              <w:t>Page 1 — Revenue</w:t>
            </w:r>
          </w:p>
        </w:tc>
      </w:tr>
      <w:tr w:rsidR="00686657" w14:paraId="063C9507" w14:textId="77777777">
        <w:tblPrEx>
          <w:tblCellMar>
            <w:top w:w="0" w:type="dxa"/>
            <w:bottom w:w="0" w:type="dxa"/>
          </w:tblCellMar>
        </w:tblPrEx>
        <w:tc>
          <w:tcPr>
            <w:tcW w:w="1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14:paraId="7BA6356A" w14:textId="77777777" w:rsidR="00686657" w:rsidRDefault="00000000">
            <w:r>
              <w:rPr>
                <w:b/>
                <w:bCs/>
                <w:color w:val="2E75B6"/>
                <w:sz w:val="20"/>
                <w:szCs w:val="20"/>
              </w:rPr>
              <w:t>4</w:t>
            </w:r>
          </w:p>
        </w:tc>
        <w:tc>
          <w:tcPr>
            <w:tcW w:w="35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14:paraId="325C2882" w14:textId="77777777" w:rsidR="00686657" w:rsidRDefault="00000000">
            <w:r>
              <w:rPr>
                <w:color w:val="1A1A2E"/>
                <w:sz w:val="20"/>
                <w:szCs w:val="20"/>
              </w:rPr>
              <w:t>Peak Ordering Hours &amp; Demand Timing</w:t>
            </w:r>
          </w:p>
        </w:tc>
        <w:tc>
          <w:tcPr>
            <w:tcW w:w="24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14:paraId="148AC697" w14:textId="77777777" w:rsidR="00686657" w:rsidRDefault="00000000">
            <w:r>
              <w:rPr>
                <w:color w:val="5A6A7A"/>
                <w:sz w:val="20"/>
                <w:szCs w:val="20"/>
              </w:rPr>
              <w:t>Insight 30</w:t>
            </w:r>
          </w:p>
        </w:tc>
        <w:tc>
          <w:tcPr>
            <w:tcW w:w="2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14:paraId="2AF14DA6" w14:textId="77777777" w:rsidR="00686657" w:rsidRDefault="00000000">
            <w:r>
              <w:rPr>
                <w:color w:val="5A6A7A"/>
                <w:sz w:val="20"/>
                <w:szCs w:val="20"/>
              </w:rPr>
              <w:t>Page 1 — Revenue</w:t>
            </w:r>
          </w:p>
        </w:tc>
      </w:tr>
      <w:tr w:rsidR="00686657" w14:paraId="2EADE9DF" w14:textId="77777777">
        <w:tblPrEx>
          <w:tblCellMar>
            <w:top w:w="0" w:type="dxa"/>
            <w:bottom w:w="0" w:type="dxa"/>
          </w:tblCellMar>
        </w:tblPrEx>
        <w:tc>
          <w:tcPr>
            <w:tcW w:w="1200" w:type="dxa"/>
            <w:tcBorders>
              <w:top w:val="single" w:sz="1" w:space="0" w:color="C5D8EC"/>
              <w:left w:val="single" w:sz="1" w:space="0" w:color="C5D8EC"/>
              <w:bottom w:val="single" w:sz="1" w:space="0" w:color="C5D8EC"/>
              <w:right w:val="single" w:sz="1" w:space="0" w:color="C5D8EC"/>
            </w:tcBorders>
            <w:shd w:val="clear" w:color="auto" w:fill="EBF3FB"/>
            <w:tcMar>
              <w:top w:w="80" w:type="dxa"/>
              <w:left w:w="120" w:type="dxa"/>
              <w:bottom w:w="80" w:type="dxa"/>
              <w:right w:w="120" w:type="dxa"/>
            </w:tcMar>
          </w:tcPr>
          <w:p w14:paraId="5D2DD81A" w14:textId="77777777" w:rsidR="00686657" w:rsidRDefault="00000000">
            <w:r>
              <w:rPr>
                <w:b/>
                <w:bCs/>
                <w:color w:val="2E75B6"/>
                <w:sz w:val="20"/>
                <w:szCs w:val="20"/>
              </w:rPr>
              <w:t>5</w:t>
            </w:r>
          </w:p>
        </w:tc>
        <w:tc>
          <w:tcPr>
            <w:tcW w:w="3560" w:type="dxa"/>
            <w:tcBorders>
              <w:top w:val="single" w:sz="1" w:space="0" w:color="C5D8EC"/>
              <w:left w:val="single" w:sz="1" w:space="0" w:color="C5D8EC"/>
              <w:bottom w:val="single" w:sz="1" w:space="0" w:color="C5D8EC"/>
              <w:right w:val="single" w:sz="1" w:space="0" w:color="C5D8EC"/>
            </w:tcBorders>
            <w:shd w:val="clear" w:color="auto" w:fill="EBF3FB"/>
            <w:tcMar>
              <w:top w:w="80" w:type="dxa"/>
              <w:left w:w="120" w:type="dxa"/>
              <w:bottom w:w="80" w:type="dxa"/>
              <w:right w:w="120" w:type="dxa"/>
            </w:tcMar>
          </w:tcPr>
          <w:p w14:paraId="42C83DE1" w14:textId="77777777" w:rsidR="00686657" w:rsidRDefault="00000000">
            <w:r>
              <w:rPr>
                <w:color w:val="1A1A2E"/>
                <w:sz w:val="20"/>
                <w:szCs w:val="20"/>
              </w:rPr>
              <w:t>Customer Retention Cohort Analysis</w:t>
            </w:r>
          </w:p>
        </w:tc>
        <w:tc>
          <w:tcPr>
            <w:tcW w:w="2400" w:type="dxa"/>
            <w:tcBorders>
              <w:top w:val="single" w:sz="1" w:space="0" w:color="C5D8EC"/>
              <w:left w:val="single" w:sz="1" w:space="0" w:color="C5D8EC"/>
              <w:bottom w:val="single" w:sz="1" w:space="0" w:color="C5D8EC"/>
              <w:right w:val="single" w:sz="1" w:space="0" w:color="C5D8EC"/>
            </w:tcBorders>
            <w:shd w:val="clear" w:color="auto" w:fill="EBF3FB"/>
            <w:tcMar>
              <w:top w:w="80" w:type="dxa"/>
              <w:left w:w="120" w:type="dxa"/>
              <w:bottom w:w="80" w:type="dxa"/>
              <w:right w:w="120" w:type="dxa"/>
            </w:tcMar>
          </w:tcPr>
          <w:p w14:paraId="16FAB1D0" w14:textId="77777777" w:rsidR="00686657" w:rsidRDefault="00000000">
            <w:r>
              <w:rPr>
                <w:color w:val="5A6A7A"/>
                <w:sz w:val="20"/>
                <w:szCs w:val="20"/>
              </w:rPr>
              <w:t>Insights 16, 18</w:t>
            </w:r>
          </w:p>
        </w:tc>
        <w:tc>
          <w:tcPr>
            <w:tcW w:w="2200" w:type="dxa"/>
            <w:tcBorders>
              <w:top w:val="single" w:sz="1" w:space="0" w:color="C5D8EC"/>
              <w:left w:val="single" w:sz="1" w:space="0" w:color="C5D8EC"/>
              <w:bottom w:val="single" w:sz="1" w:space="0" w:color="C5D8EC"/>
              <w:right w:val="single" w:sz="1" w:space="0" w:color="C5D8EC"/>
            </w:tcBorders>
            <w:shd w:val="clear" w:color="auto" w:fill="EBF3FB"/>
            <w:tcMar>
              <w:top w:w="80" w:type="dxa"/>
              <w:left w:w="120" w:type="dxa"/>
              <w:bottom w:w="80" w:type="dxa"/>
              <w:right w:w="120" w:type="dxa"/>
            </w:tcMar>
          </w:tcPr>
          <w:p w14:paraId="2A844092" w14:textId="77777777" w:rsidR="00686657" w:rsidRDefault="00000000">
            <w:r>
              <w:rPr>
                <w:color w:val="5A6A7A"/>
                <w:sz w:val="20"/>
                <w:szCs w:val="20"/>
              </w:rPr>
              <w:t>Page 2 — Products</w:t>
            </w:r>
          </w:p>
        </w:tc>
      </w:tr>
      <w:tr w:rsidR="00686657" w14:paraId="4BEB1F8B" w14:textId="77777777">
        <w:tblPrEx>
          <w:tblCellMar>
            <w:top w:w="0" w:type="dxa"/>
            <w:bottom w:w="0" w:type="dxa"/>
          </w:tblCellMar>
        </w:tblPrEx>
        <w:tc>
          <w:tcPr>
            <w:tcW w:w="1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14:paraId="60F1D8C4" w14:textId="77777777" w:rsidR="00686657" w:rsidRDefault="00000000">
            <w:r>
              <w:rPr>
                <w:b/>
                <w:bCs/>
                <w:color w:val="2E75B6"/>
                <w:sz w:val="20"/>
                <w:szCs w:val="20"/>
              </w:rPr>
              <w:t>6</w:t>
            </w:r>
          </w:p>
        </w:tc>
        <w:tc>
          <w:tcPr>
            <w:tcW w:w="35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14:paraId="3915BF5B" w14:textId="77777777" w:rsidR="00686657" w:rsidRDefault="00000000">
            <w:r>
              <w:rPr>
                <w:color w:val="1A1A2E"/>
                <w:sz w:val="20"/>
                <w:szCs w:val="20"/>
              </w:rPr>
              <w:t>Repeat vs One-Time Customer Revenue</w:t>
            </w:r>
          </w:p>
        </w:tc>
        <w:tc>
          <w:tcPr>
            <w:tcW w:w="24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14:paraId="125ACBF8" w14:textId="77777777" w:rsidR="00686657" w:rsidRDefault="00000000">
            <w:r>
              <w:rPr>
                <w:color w:val="5A6A7A"/>
                <w:sz w:val="20"/>
                <w:szCs w:val="20"/>
              </w:rPr>
              <w:t>Insights 29, 44</w:t>
            </w:r>
          </w:p>
        </w:tc>
        <w:tc>
          <w:tcPr>
            <w:tcW w:w="2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14:paraId="404FAEA1" w14:textId="77777777" w:rsidR="00686657" w:rsidRDefault="00000000">
            <w:r>
              <w:rPr>
                <w:color w:val="5A6A7A"/>
                <w:sz w:val="20"/>
                <w:szCs w:val="20"/>
              </w:rPr>
              <w:t>Page 2 — Products</w:t>
            </w:r>
          </w:p>
        </w:tc>
      </w:tr>
      <w:tr w:rsidR="00686657" w14:paraId="3132D7CE" w14:textId="77777777">
        <w:tblPrEx>
          <w:tblCellMar>
            <w:top w:w="0" w:type="dxa"/>
            <w:bottom w:w="0" w:type="dxa"/>
          </w:tblCellMar>
        </w:tblPrEx>
        <w:tc>
          <w:tcPr>
            <w:tcW w:w="1200" w:type="dxa"/>
            <w:tcBorders>
              <w:top w:val="single" w:sz="1" w:space="0" w:color="C5D8EC"/>
              <w:left w:val="single" w:sz="1" w:space="0" w:color="C5D8EC"/>
              <w:bottom w:val="single" w:sz="1" w:space="0" w:color="C5D8EC"/>
              <w:right w:val="single" w:sz="1" w:space="0" w:color="C5D8EC"/>
            </w:tcBorders>
            <w:shd w:val="clear" w:color="auto" w:fill="EBF3FB"/>
            <w:tcMar>
              <w:top w:w="80" w:type="dxa"/>
              <w:left w:w="120" w:type="dxa"/>
              <w:bottom w:w="80" w:type="dxa"/>
              <w:right w:w="120" w:type="dxa"/>
            </w:tcMar>
          </w:tcPr>
          <w:p w14:paraId="1625F529" w14:textId="77777777" w:rsidR="00686657" w:rsidRDefault="00000000">
            <w:r>
              <w:rPr>
                <w:b/>
                <w:bCs/>
                <w:color w:val="2E75B6"/>
                <w:sz w:val="20"/>
                <w:szCs w:val="20"/>
              </w:rPr>
              <w:t>7</w:t>
            </w:r>
          </w:p>
        </w:tc>
        <w:tc>
          <w:tcPr>
            <w:tcW w:w="3560" w:type="dxa"/>
            <w:tcBorders>
              <w:top w:val="single" w:sz="1" w:space="0" w:color="C5D8EC"/>
              <w:left w:val="single" w:sz="1" w:space="0" w:color="C5D8EC"/>
              <w:bottom w:val="single" w:sz="1" w:space="0" w:color="C5D8EC"/>
              <w:right w:val="single" w:sz="1" w:space="0" w:color="C5D8EC"/>
            </w:tcBorders>
            <w:shd w:val="clear" w:color="auto" w:fill="EBF3FB"/>
            <w:tcMar>
              <w:top w:w="80" w:type="dxa"/>
              <w:left w:w="120" w:type="dxa"/>
              <w:bottom w:w="80" w:type="dxa"/>
              <w:right w:w="120" w:type="dxa"/>
            </w:tcMar>
          </w:tcPr>
          <w:p w14:paraId="493ADB51" w14:textId="77777777" w:rsidR="00686657" w:rsidRDefault="00000000">
            <w:r>
              <w:rPr>
                <w:color w:val="1A1A2E"/>
                <w:sz w:val="20"/>
                <w:szCs w:val="20"/>
              </w:rPr>
              <w:t>Category &amp; Brand Revenue Pareto</w:t>
            </w:r>
          </w:p>
        </w:tc>
        <w:tc>
          <w:tcPr>
            <w:tcW w:w="2400" w:type="dxa"/>
            <w:tcBorders>
              <w:top w:val="single" w:sz="1" w:space="0" w:color="C5D8EC"/>
              <w:left w:val="single" w:sz="1" w:space="0" w:color="C5D8EC"/>
              <w:bottom w:val="single" w:sz="1" w:space="0" w:color="C5D8EC"/>
              <w:right w:val="single" w:sz="1" w:space="0" w:color="C5D8EC"/>
            </w:tcBorders>
            <w:shd w:val="clear" w:color="auto" w:fill="EBF3FB"/>
            <w:tcMar>
              <w:top w:w="80" w:type="dxa"/>
              <w:left w:w="120" w:type="dxa"/>
              <w:bottom w:w="80" w:type="dxa"/>
              <w:right w:w="120" w:type="dxa"/>
            </w:tcMar>
          </w:tcPr>
          <w:p w14:paraId="71FC9FD2" w14:textId="77777777" w:rsidR="00686657" w:rsidRDefault="00000000">
            <w:r>
              <w:rPr>
                <w:color w:val="5A6A7A"/>
                <w:sz w:val="20"/>
                <w:szCs w:val="20"/>
              </w:rPr>
              <w:t>Insights 13, 23</w:t>
            </w:r>
          </w:p>
        </w:tc>
        <w:tc>
          <w:tcPr>
            <w:tcW w:w="2200" w:type="dxa"/>
            <w:tcBorders>
              <w:top w:val="single" w:sz="1" w:space="0" w:color="C5D8EC"/>
              <w:left w:val="single" w:sz="1" w:space="0" w:color="C5D8EC"/>
              <w:bottom w:val="single" w:sz="1" w:space="0" w:color="C5D8EC"/>
              <w:right w:val="single" w:sz="1" w:space="0" w:color="C5D8EC"/>
            </w:tcBorders>
            <w:shd w:val="clear" w:color="auto" w:fill="EBF3FB"/>
            <w:tcMar>
              <w:top w:w="80" w:type="dxa"/>
              <w:left w:w="120" w:type="dxa"/>
              <w:bottom w:w="80" w:type="dxa"/>
              <w:right w:w="120" w:type="dxa"/>
            </w:tcMar>
          </w:tcPr>
          <w:p w14:paraId="038C1CA0" w14:textId="77777777" w:rsidR="00686657" w:rsidRDefault="00000000">
            <w:r>
              <w:rPr>
                <w:color w:val="5A6A7A"/>
                <w:sz w:val="20"/>
                <w:szCs w:val="20"/>
              </w:rPr>
              <w:t>Page 2 — Products</w:t>
            </w:r>
          </w:p>
        </w:tc>
      </w:tr>
      <w:tr w:rsidR="00686657" w14:paraId="78523AD1" w14:textId="77777777">
        <w:tblPrEx>
          <w:tblCellMar>
            <w:top w:w="0" w:type="dxa"/>
            <w:bottom w:w="0" w:type="dxa"/>
          </w:tblCellMar>
        </w:tblPrEx>
        <w:tc>
          <w:tcPr>
            <w:tcW w:w="1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14:paraId="068DBDBA" w14:textId="77777777" w:rsidR="00686657" w:rsidRDefault="00000000">
            <w:r>
              <w:rPr>
                <w:b/>
                <w:bCs/>
                <w:color w:val="2E75B6"/>
                <w:sz w:val="20"/>
                <w:szCs w:val="20"/>
              </w:rPr>
              <w:t>8</w:t>
            </w:r>
          </w:p>
        </w:tc>
        <w:tc>
          <w:tcPr>
            <w:tcW w:w="35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14:paraId="06B42B6A" w14:textId="77777777" w:rsidR="00686657" w:rsidRDefault="00000000">
            <w:r>
              <w:rPr>
                <w:color w:val="1A1A2E"/>
                <w:sz w:val="20"/>
                <w:szCs w:val="20"/>
              </w:rPr>
              <w:t>Top Products by Quantity &amp; Basket Size</w:t>
            </w:r>
          </w:p>
        </w:tc>
        <w:tc>
          <w:tcPr>
            <w:tcW w:w="24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14:paraId="48F246BE" w14:textId="77777777" w:rsidR="00686657" w:rsidRDefault="00000000">
            <w:r>
              <w:rPr>
                <w:color w:val="5A6A7A"/>
                <w:sz w:val="20"/>
                <w:szCs w:val="20"/>
              </w:rPr>
              <w:t>Insights 12, 15</w:t>
            </w:r>
          </w:p>
        </w:tc>
        <w:tc>
          <w:tcPr>
            <w:tcW w:w="2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14:paraId="1190BA92" w14:textId="77777777" w:rsidR="00686657" w:rsidRDefault="00000000">
            <w:r>
              <w:rPr>
                <w:color w:val="5A6A7A"/>
                <w:sz w:val="20"/>
                <w:szCs w:val="20"/>
              </w:rPr>
              <w:t>Page 2 — Products</w:t>
            </w:r>
          </w:p>
        </w:tc>
      </w:tr>
      <w:tr w:rsidR="00686657" w14:paraId="6EF7C80E" w14:textId="77777777">
        <w:tblPrEx>
          <w:tblCellMar>
            <w:top w:w="0" w:type="dxa"/>
            <w:bottom w:w="0" w:type="dxa"/>
          </w:tblCellMar>
        </w:tblPrEx>
        <w:tc>
          <w:tcPr>
            <w:tcW w:w="1200" w:type="dxa"/>
            <w:tcBorders>
              <w:top w:val="single" w:sz="1" w:space="0" w:color="C5D8EC"/>
              <w:left w:val="single" w:sz="1" w:space="0" w:color="C5D8EC"/>
              <w:bottom w:val="single" w:sz="1" w:space="0" w:color="C5D8EC"/>
              <w:right w:val="single" w:sz="1" w:space="0" w:color="C5D8EC"/>
            </w:tcBorders>
            <w:shd w:val="clear" w:color="auto" w:fill="EBF3FB"/>
            <w:tcMar>
              <w:top w:w="80" w:type="dxa"/>
              <w:left w:w="120" w:type="dxa"/>
              <w:bottom w:w="80" w:type="dxa"/>
              <w:right w:w="120" w:type="dxa"/>
            </w:tcMar>
          </w:tcPr>
          <w:p w14:paraId="05A76495" w14:textId="77777777" w:rsidR="00686657" w:rsidRDefault="00000000">
            <w:r>
              <w:rPr>
                <w:b/>
                <w:bCs/>
                <w:color w:val="2E75B6"/>
                <w:sz w:val="20"/>
                <w:szCs w:val="20"/>
              </w:rPr>
              <w:t>9</w:t>
            </w:r>
          </w:p>
        </w:tc>
        <w:tc>
          <w:tcPr>
            <w:tcW w:w="3560" w:type="dxa"/>
            <w:tcBorders>
              <w:top w:val="single" w:sz="1" w:space="0" w:color="C5D8EC"/>
              <w:left w:val="single" w:sz="1" w:space="0" w:color="C5D8EC"/>
              <w:bottom w:val="single" w:sz="1" w:space="0" w:color="C5D8EC"/>
              <w:right w:val="single" w:sz="1" w:space="0" w:color="C5D8EC"/>
            </w:tcBorders>
            <w:shd w:val="clear" w:color="auto" w:fill="EBF3FB"/>
            <w:tcMar>
              <w:top w:w="80" w:type="dxa"/>
              <w:left w:w="120" w:type="dxa"/>
              <w:bottom w:w="80" w:type="dxa"/>
              <w:right w:w="120" w:type="dxa"/>
            </w:tcMar>
          </w:tcPr>
          <w:p w14:paraId="01CA56F7" w14:textId="77777777" w:rsidR="00686657" w:rsidRDefault="00000000">
            <w:r>
              <w:rPr>
                <w:color w:val="1A1A2E"/>
                <w:sz w:val="20"/>
                <w:szCs w:val="20"/>
              </w:rPr>
              <w:t>Category-Wise Return Rates</w:t>
            </w:r>
          </w:p>
        </w:tc>
        <w:tc>
          <w:tcPr>
            <w:tcW w:w="2400" w:type="dxa"/>
            <w:tcBorders>
              <w:top w:val="single" w:sz="1" w:space="0" w:color="C5D8EC"/>
              <w:left w:val="single" w:sz="1" w:space="0" w:color="C5D8EC"/>
              <w:bottom w:val="single" w:sz="1" w:space="0" w:color="C5D8EC"/>
              <w:right w:val="single" w:sz="1" w:space="0" w:color="C5D8EC"/>
            </w:tcBorders>
            <w:shd w:val="clear" w:color="auto" w:fill="EBF3FB"/>
            <w:tcMar>
              <w:top w:w="80" w:type="dxa"/>
              <w:left w:w="120" w:type="dxa"/>
              <w:bottom w:w="80" w:type="dxa"/>
              <w:right w:w="120" w:type="dxa"/>
            </w:tcMar>
          </w:tcPr>
          <w:p w14:paraId="4A76E300" w14:textId="77777777" w:rsidR="00686657" w:rsidRDefault="00000000">
            <w:r>
              <w:rPr>
                <w:color w:val="5A6A7A"/>
                <w:sz w:val="20"/>
                <w:szCs w:val="20"/>
              </w:rPr>
              <w:t>Insight 22</w:t>
            </w:r>
          </w:p>
        </w:tc>
        <w:tc>
          <w:tcPr>
            <w:tcW w:w="2200" w:type="dxa"/>
            <w:tcBorders>
              <w:top w:val="single" w:sz="1" w:space="0" w:color="C5D8EC"/>
              <w:left w:val="single" w:sz="1" w:space="0" w:color="C5D8EC"/>
              <w:bottom w:val="single" w:sz="1" w:space="0" w:color="C5D8EC"/>
              <w:right w:val="single" w:sz="1" w:space="0" w:color="C5D8EC"/>
            </w:tcBorders>
            <w:shd w:val="clear" w:color="auto" w:fill="EBF3FB"/>
            <w:tcMar>
              <w:top w:w="80" w:type="dxa"/>
              <w:left w:w="120" w:type="dxa"/>
              <w:bottom w:w="80" w:type="dxa"/>
              <w:right w:w="120" w:type="dxa"/>
            </w:tcMar>
          </w:tcPr>
          <w:p w14:paraId="4DEF435B" w14:textId="77777777" w:rsidR="00686657" w:rsidRDefault="00000000">
            <w:r>
              <w:rPr>
                <w:color w:val="5A6A7A"/>
                <w:sz w:val="20"/>
                <w:szCs w:val="20"/>
              </w:rPr>
              <w:t>Page 3 — Returns</w:t>
            </w:r>
          </w:p>
        </w:tc>
      </w:tr>
      <w:tr w:rsidR="00686657" w14:paraId="55A47D75" w14:textId="77777777">
        <w:tblPrEx>
          <w:tblCellMar>
            <w:top w:w="0" w:type="dxa"/>
            <w:bottom w:w="0" w:type="dxa"/>
          </w:tblCellMar>
        </w:tblPrEx>
        <w:tc>
          <w:tcPr>
            <w:tcW w:w="1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14:paraId="32C2C4A9" w14:textId="77777777" w:rsidR="00686657" w:rsidRDefault="00000000">
            <w:r>
              <w:rPr>
                <w:b/>
                <w:bCs/>
                <w:color w:val="2E75B6"/>
                <w:sz w:val="20"/>
                <w:szCs w:val="20"/>
              </w:rPr>
              <w:t>10</w:t>
            </w:r>
          </w:p>
        </w:tc>
        <w:tc>
          <w:tcPr>
            <w:tcW w:w="35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14:paraId="74FF5FBB" w14:textId="77777777" w:rsidR="00686657" w:rsidRDefault="00000000">
            <w:r>
              <w:rPr>
                <w:color w:val="1A1A2E"/>
                <w:sz w:val="20"/>
                <w:szCs w:val="20"/>
              </w:rPr>
              <w:t>Return Reason Revenue Impact</w:t>
            </w:r>
          </w:p>
        </w:tc>
        <w:tc>
          <w:tcPr>
            <w:tcW w:w="24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14:paraId="04088F0F" w14:textId="77777777" w:rsidR="00686657" w:rsidRDefault="00000000">
            <w:r>
              <w:rPr>
                <w:color w:val="5A6A7A"/>
                <w:sz w:val="20"/>
                <w:szCs w:val="20"/>
              </w:rPr>
              <w:t>Insight 39</w:t>
            </w:r>
          </w:p>
        </w:tc>
        <w:tc>
          <w:tcPr>
            <w:tcW w:w="2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14:paraId="5764EB52" w14:textId="77777777" w:rsidR="00686657" w:rsidRDefault="00000000">
            <w:r>
              <w:rPr>
                <w:color w:val="5A6A7A"/>
                <w:sz w:val="20"/>
                <w:szCs w:val="20"/>
              </w:rPr>
              <w:t>Page 3 — Returns</w:t>
            </w:r>
          </w:p>
        </w:tc>
      </w:tr>
      <w:tr w:rsidR="00686657" w14:paraId="1D751783" w14:textId="77777777">
        <w:tblPrEx>
          <w:tblCellMar>
            <w:top w:w="0" w:type="dxa"/>
            <w:bottom w:w="0" w:type="dxa"/>
          </w:tblCellMar>
        </w:tblPrEx>
        <w:tc>
          <w:tcPr>
            <w:tcW w:w="1200" w:type="dxa"/>
            <w:tcBorders>
              <w:top w:val="single" w:sz="1" w:space="0" w:color="C5D8EC"/>
              <w:left w:val="single" w:sz="1" w:space="0" w:color="C5D8EC"/>
              <w:bottom w:val="single" w:sz="1" w:space="0" w:color="C5D8EC"/>
              <w:right w:val="single" w:sz="1" w:space="0" w:color="C5D8EC"/>
            </w:tcBorders>
            <w:shd w:val="clear" w:color="auto" w:fill="EBF3FB"/>
            <w:tcMar>
              <w:top w:w="80" w:type="dxa"/>
              <w:left w:w="120" w:type="dxa"/>
              <w:bottom w:w="80" w:type="dxa"/>
              <w:right w:w="120" w:type="dxa"/>
            </w:tcMar>
          </w:tcPr>
          <w:p w14:paraId="226DD516" w14:textId="77777777" w:rsidR="00686657" w:rsidRDefault="00000000">
            <w:r>
              <w:rPr>
                <w:b/>
                <w:bCs/>
                <w:color w:val="2E75B6"/>
                <w:sz w:val="20"/>
                <w:szCs w:val="20"/>
              </w:rPr>
              <w:t>11</w:t>
            </w:r>
          </w:p>
        </w:tc>
        <w:tc>
          <w:tcPr>
            <w:tcW w:w="3560" w:type="dxa"/>
            <w:tcBorders>
              <w:top w:val="single" w:sz="1" w:space="0" w:color="C5D8EC"/>
              <w:left w:val="single" w:sz="1" w:space="0" w:color="C5D8EC"/>
              <w:bottom w:val="single" w:sz="1" w:space="0" w:color="C5D8EC"/>
              <w:right w:val="single" w:sz="1" w:space="0" w:color="C5D8EC"/>
            </w:tcBorders>
            <w:shd w:val="clear" w:color="auto" w:fill="EBF3FB"/>
            <w:tcMar>
              <w:top w:w="80" w:type="dxa"/>
              <w:left w:w="120" w:type="dxa"/>
              <w:bottom w:w="80" w:type="dxa"/>
              <w:right w:w="120" w:type="dxa"/>
            </w:tcMar>
          </w:tcPr>
          <w:p w14:paraId="6A946FD3" w14:textId="77777777" w:rsidR="00686657" w:rsidRDefault="00000000">
            <w:r>
              <w:rPr>
                <w:color w:val="1A1A2E"/>
                <w:sz w:val="20"/>
                <w:szCs w:val="20"/>
              </w:rPr>
              <w:t>State Revenue vs Refund Exposure</w:t>
            </w:r>
          </w:p>
        </w:tc>
        <w:tc>
          <w:tcPr>
            <w:tcW w:w="2400" w:type="dxa"/>
            <w:tcBorders>
              <w:top w:val="single" w:sz="1" w:space="0" w:color="C5D8EC"/>
              <w:left w:val="single" w:sz="1" w:space="0" w:color="C5D8EC"/>
              <w:bottom w:val="single" w:sz="1" w:space="0" w:color="C5D8EC"/>
              <w:right w:val="single" w:sz="1" w:space="0" w:color="C5D8EC"/>
            </w:tcBorders>
            <w:shd w:val="clear" w:color="auto" w:fill="EBF3FB"/>
            <w:tcMar>
              <w:top w:w="80" w:type="dxa"/>
              <w:left w:w="120" w:type="dxa"/>
              <w:bottom w:w="80" w:type="dxa"/>
              <w:right w:w="120" w:type="dxa"/>
            </w:tcMar>
          </w:tcPr>
          <w:p w14:paraId="5B92F2C1" w14:textId="77777777" w:rsidR="00686657" w:rsidRDefault="00000000">
            <w:r>
              <w:rPr>
                <w:color w:val="5A6A7A"/>
                <w:sz w:val="20"/>
                <w:szCs w:val="20"/>
              </w:rPr>
              <w:t>Insight 35</w:t>
            </w:r>
          </w:p>
        </w:tc>
        <w:tc>
          <w:tcPr>
            <w:tcW w:w="2200" w:type="dxa"/>
            <w:tcBorders>
              <w:top w:val="single" w:sz="1" w:space="0" w:color="C5D8EC"/>
              <w:left w:val="single" w:sz="1" w:space="0" w:color="C5D8EC"/>
              <w:bottom w:val="single" w:sz="1" w:space="0" w:color="C5D8EC"/>
              <w:right w:val="single" w:sz="1" w:space="0" w:color="C5D8EC"/>
            </w:tcBorders>
            <w:shd w:val="clear" w:color="auto" w:fill="EBF3FB"/>
            <w:tcMar>
              <w:top w:w="80" w:type="dxa"/>
              <w:left w:w="120" w:type="dxa"/>
              <w:bottom w:w="80" w:type="dxa"/>
              <w:right w:w="120" w:type="dxa"/>
            </w:tcMar>
          </w:tcPr>
          <w:p w14:paraId="2F77AEAE" w14:textId="77777777" w:rsidR="00686657" w:rsidRDefault="00000000">
            <w:r>
              <w:rPr>
                <w:color w:val="5A6A7A"/>
                <w:sz w:val="20"/>
                <w:szCs w:val="20"/>
              </w:rPr>
              <w:t>Page 3 — Returns</w:t>
            </w:r>
          </w:p>
        </w:tc>
      </w:tr>
      <w:tr w:rsidR="00686657" w14:paraId="3ADCCB74" w14:textId="77777777">
        <w:tblPrEx>
          <w:tblCellMar>
            <w:top w:w="0" w:type="dxa"/>
            <w:bottom w:w="0" w:type="dxa"/>
          </w:tblCellMar>
        </w:tblPrEx>
        <w:tc>
          <w:tcPr>
            <w:tcW w:w="1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14:paraId="3013CF50" w14:textId="77777777" w:rsidR="00686657" w:rsidRDefault="00000000">
            <w:r>
              <w:rPr>
                <w:b/>
                <w:bCs/>
                <w:color w:val="2E75B6"/>
                <w:sz w:val="20"/>
                <w:szCs w:val="20"/>
              </w:rPr>
              <w:t>12</w:t>
            </w:r>
          </w:p>
        </w:tc>
        <w:tc>
          <w:tcPr>
            <w:tcW w:w="35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14:paraId="0304F7EC" w14:textId="77777777" w:rsidR="00686657" w:rsidRDefault="00000000">
            <w:r>
              <w:rPr>
                <w:color w:val="1A1A2E"/>
                <w:sz w:val="20"/>
                <w:szCs w:val="20"/>
              </w:rPr>
              <w:t>Order Fulfilment Efficiency by City</w:t>
            </w:r>
          </w:p>
        </w:tc>
        <w:tc>
          <w:tcPr>
            <w:tcW w:w="24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14:paraId="70A7D3A0" w14:textId="77777777" w:rsidR="00686657" w:rsidRDefault="00000000">
            <w:r>
              <w:rPr>
                <w:color w:val="5A6A7A"/>
                <w:sz w:val="20"/>
                <w:szCs w:val="20"/>
              </w:rPr>
              <w:t>Insight 38</w:t>
            </w:r>
          </w:p>
        </w:tc>
        <w:tc>
          <w:tcPr>
            <w:tcW w:w="2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14:paraId="716E987C" w14:textId="77777777" w:rsidR="00686657" w:rsidRDefault="00000000">
            <w:r>
              <w:rPr>
                <w:color w:val="5A6A7A"/>
                <w:sz w:val="20"/>
                <w:szCs w:val="20"/>
              </w:rPr>
              <w:t>Page 3 — Returns</w:t>
            </w:r>
          </w:p>
        </w:tc>
      </w:tr>
      <w:tr w:rsidR="00686657" w14:paraId="010B8AE0" w14:textId="77777777">
        <w:tblPrEx>
          <w:tblCellMar>
            <w:top w:w="0" w:type="dxa"/>
            <w:bottom w:w="0" w:type="dxa"/>
          </w:tblCellMar>
        </w:tblPrEx>
        <w:tc>
          <w:tcPr>
            <w:tcW w:w="1200" w:type="dxa"/>
            <w:tcBorders>
              <w:top w:val="single" w:sz="1" w:space="0" w:color="C5D8EC"/>
              <w:left w:val="single" w:sz="1" w:space="0" w:color="C5D8EC"/>
              <w:bottom w:val="single" w:sz="1" w:space="0" w:color="C5D8EC"/>
              <w:right w:val="single" w:sz="1" w:space="0" w:color="C5D8EC"/>
            </w:tcBorders>
            <w:shd w:val="clear" w:color="auto" w:fill="EBF3FB"/>
            <w:tcMar>
              <w:top w:w="80" w:type="dxa"/>
              <w:left w:w="120" w:type="dxa"/>
              <w:bottom w:w="80" w:type="dxa"/>
              <w:right w:w="120" w:type="dxa"/>
            </w:tcMar>
          </w:tcPr>
          <w:p w14:paraId="4375E51A" w14:textId="77777777" w:rsidR="00686657" w:rsidRDefault="00000000">
            <w:r>
              <w:rPr>
                <w:b/>
                <w:bCs/>
                <w:color w:val="2E75B6"/>
                <w:sz w:val="20"/>
                <w:szCs w:val="20"/>
              </w:rPr>
              <w:t>13</w:t>
            </w:r>
          </w:p>
        </w:tc>
        <w:tc>
          <w:tcPr>
            <w:tcW w:w="3560" w:type="dxa"/>
            <w:tcBorders>
              <w:top w:val="single" w:sz="1" w:space="0" w:color="C5D8EC"/>
              <w:left w:val="single" w:sz="1" w:space="0" w:color="C5D8EC"/>
              <w:bottom w:val="single" w:sz="1" w:space="0" w:color="C5D8EC"/>
              <w:right w:val="single" w:sz="1" w:space="0" w:color="C5D8EC"/>
            </w:tcBorders>
            <w:shd w:val="clear" w:color="auto" w:fill="EBF3FB"/>
            <w:tcMar>
              <w:top w:w="80" w:type="dxa"/>
              <w:left w:w="120" w:type="dxa"/>
              <w:bottom w:w="80" w:type="dxa"/>
              <w:right w:w="120" w:type="dxa"/>
            </w:tcMar>
          </w:tcPr>
          <w:p w14:paraId="1CE2E69F" w14:textId="77777777" w:rsidR="00686657" w:rsidRDefault="00000000">
            <w:r>
              <w:rPr>
                <w:color w:val="1A1A2E"/>
                <w:sz w:val="20"/>
                <w:szCs w:val="20"/>
              </w:rPr>
              <w:t>High-Return Customer Risk Segmentation</w:t>
            </w:r>
          </w:p>
        </w:tc>
        <w:tc>
          <w:tcPr>
            <w:tcW w:w="2400" w:type="dxa"/>
            <w:tcBorders>
              <w:top w:val="single" w:sz="1" w:space="0" w:color="C5D8EC"/>
              <w:left w:val="single" w:sz="1" w:space="0" w:color="C5D8EC"/>
              <w:bottom w:val="single" w:sz="1" w:space="0" w:color="C5D8EC"/>
              <w:right w:val="single" w:sz="1" w:space="0" w:color="C5D8EC"/>
            </w:tcBorders>
            <w:shd w:val="clear" w:color="auto" w:fill="EBF3FB"/>
            <w:tcMar>
              <w:top w:w="80" w:type="dxa"/>
              <w:left w:w="120" w:type="dxa"/>
              <w:bottom w:w="80" w:type="dxa"/>
              <w:right w:w="120" w:type="dxa"/>
            </w:tcMar>
          </w:tcPr>
          <w:p w14:paraId="47B622E0" w14:textId="77777777" w:rsidR="00686657" w:rsidRDefault="00000000">
            <w:r>
              <w:rPr>
                <w:color w:val="5A6A7A"/>
                <w:sz w:val="20"/>
                <w:szCs w:val="20"/>
              </w:rPr>
              <w:t>Insights 24, 21</w:t>
            </w:r>
          </w:p>
        </w:tc>
        <w:tc>
          <w:tcPr>
            <w:tcW w:w="2200" w:type="dxa"/>
            <w:tcBorders>
              <w:top w:val="single" w:sz="1" w:space="0" w:color="C5D8EC"/>
              <w:left w:val="single" w:sz="1" w:space="0" w:color="C5D8EC"/>
              <w:bottom w:val="single" w:sz="1" w:space="0" w:color="C5D8EC"/>
              <w:right w:val="single" w:sz="1" w:space="0" w:color="C5D8EC"/>
            </w:tcBorders>
            <w:shd w:val="clear" w:color="auto" w:fill="EBF3FB"/>
            <w:tcMar>
              <w:top w:w="80" w:type="dxa"/>
              <w:left w:w="120" w:type="dxa"/>
              <w:bottom w:w="80" w:type="dxa"/>
              <w:right w:w="120" w:type="dxa"/>
            </w:tcMar>
          </w:tcPr>
          <w:p w14:paraId="3164BF4C" w14:textId="77777777" w:rsidR="00686657" w:rsidRDefault="00000000">
            <w:r>
              <w:rPr>
                <w:color w:val="5A6A7A"/>
                <w:sz w:val="20"/>
                <w:szCs w:val="20"/>
              </w:rPr>
              <w:t>Page 3 — Returns</w:t>
            </w:r>
          </w:p>
        </w:tc>
      </w:tr>
    </w:tbl>
    <w:p w14:paraId="32DB52B2" w14:textId="77777777" w:rsidR="00686657" w:rsidRDefault="00686657">
      <w:pPr>
        <w:spacing w:before="160" w:after="80"/>
      </w:pPr>
    </w:p>
    <w:p w14:paraId="23004DA9" w14:textId="77777777" w:rsidR="00686657" w:rsidRDefault="00686657">
      <w:pPr>
        <w:pBdr>
          <w:bottom w:val="single" w:sz="8" w:space="1" w:color="2E75B6"/>
        </w:pBdr>
        <w:spacing w:before="80" w:after="80"/>
      </w:pPr>
    </w:p>
    <w:p w14:paraId="5DB006F3" w14:textId="77777777" w:rsidR="00686657" w:rsidRDefault="00686657">
      <w:pPr>
        <w:spacing w:before="80" w:after="40"/>
      </w:pPr>
    </w:p>
    <w:p w14:paraId="45078376" w14:textId="77777777" w:rsidR="00686657" w:rsidRDefault="00000000">
      <w:pPr>
        <w:jc w:val="center"/>
      </w:pPr>
      <w:r>
        <w:rPr>
          <w:color w:val="5A6A7A"/>
          <w:sz w:val="18"/>
          <w:szCs w:val="18"/>
        </w:rPr>
        <w:t>Retail Analytics Dashboard Intelligence Report · Internal Use Only · STAR Methodology</w:t>
      </w:r>
    </w:p>
    <w:sectPr w:rsidR="0068665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BAE8A5" w14:textId="77777777" w:rsidR="00137522" w:rsidRDefault="00137522" w:rsidP="00B51118">
      <w:r>
        <w:separator/>
      </w:r>
    </w:p>
  </w:endnote>
  <w:endnote w:type="continuationSeparator" w:id="0">
    <w:p w14:paraId="28C331D8" w14:textId="77777777" w:rsidR="00137522" w:rsidRDefault="00137522" w:rsidP="00B511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14679" w14:textId="77777777" w:rsidR="00137522" w:rsidRDefault="00137522" w:rsidP="00B51118">
      <w:r>
        <w:separator/>
      </w:r>
    </w:p>
  </w:footnote>
  <w:footnote w:type="continuationSeparator" w:id="0">
    <w:p w14:paraId="71A936EE" w14:textId="77777777" w:rsidR="00137522" w:rsidRDefault="00137522" w:rsidP="00B511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292CA5"/>
    <w:multiLevelType w:val="hybridMultilevel"/>
    <w:tmpl w:val="FF528302"/>
    <w:lvl w:ilvl="0" w:tplc="4A5299AC">
      <w:start w:val="1"/>
      <w:numFmt w:val="bullet"/>
      <w:lvlText w:val="●"/>
      <w:lvlJc w:val="left"/>
      <w:pPr>
        <w:ind w:left="720" w:hanging="360"/>
      </w:pPr>
    </w:lvl>
    <w:lvl w:ilvl="1" w:tplc="E65AC514">
      <w:start w:val="1"/>
      <w:numFmt w:val="bullet"/>
      <w:lvlText w:val="○"/>
      <w:lvlJc w:val="left"/>
      <w:pPr>
        <w:ind w:left="1440" w:hanging="360"/>
      </w:pPr>
    </w:lvl>
    <w:lvl w:ilvl="2" w:tplc="2D00E580">
      <w:start w:val="1"/>
      <w:numFmt w:val="bullet"/>
      <w:lvlText w:val="■"/>
      <w:lvlJc w:val="left"/>
      <w:pPr>
        <w:ind w:left="2160" w:hanging="360"/>
      </w:pPr>
    </w:lvl>
    <w:lvl w:ilvl="3" w:tplc="1D4A1B48">
      <w:start w:val="1"/>
      <w:numFmt w:val="bullet"/>
      <w:lvlText w:val="●"/>
      <w:lvlJc w:val="left"/>
      <w:pPr>
        <w:ind w:left="2880" w:hanging="360"/>
      </w:pPr>
    </w:lvl>
    <w:lvl w:ilvl="4" w:tplc="DFF2E918">
      <w:start w:val="1"/>
      <w:numFmt w:val="bullet"/>
      <w:lvlText w:val="○"/>
      <w:lvlJc w:val="left"/>
      <w:pPr>
        <w:ind w:left="3600" w:hanging="360"/>
      </w:pPr>
    </w:lvl>
    <w:lvl w:ilvl="5" w:tplc="0040F660">
      <w:start w:val="1"/>
      <w:numFmt w:val="bullet"/>
      <w:lvlText w:val="■"/>
      <w:lvlJc w:val="left"/>
      <w:pPr>
        <w:ind w:left="4320" w:hanging="360"/>
      </w:pPr>
    </w:lvl>
    <w:lvl w:ilvl="6" w:tplc="8A9CE60E">
      <w:start w:val="1"/>
      <w:numFmt w:val="bullet"/>
      <w:lvlText w:val="●"/>
      <w:lvlJc w:val="left"/>
      <w:pPr>
        <w:ind w:left="5040" w:hanging="360"/>
      </w:pPr>
    </w:lvl>
    <w:lvl w:ilvl="7" w:tplc="5B240336">
      <w:start w:val="1"/>
      <w:numFmt w:val="bullet"/>
      <w:lvlText w:val="●"/>
      <w:lvlJc w:val="left"/>
      <w:pPr>
        <w:ind w:left="5760" w:hanging="360"/>
      </w:pPr>
    </w:lvl>
    <w:lvl w:ilvl="8" w:tplc="B08C914C">
      <w:start w:val="1"/>
      <w:numFmt w:val="bullet"/>
      <w:lvlText w:val="●"/>
      <w:lvlJc w:val="left"/>
      <w:pPr>
        <w:ind w:left="6480" w:hanging="360"/>
      </w:pPr>
    </w:lvl>
  </w:abstractNum>
  <w:abstractNum w:abstractNumId="1" w15:restartNumberingAfterBreak="0">
    <w:nsid w:val="43217B37"/>
    <w:multiLevelType w:val="hybridMultilevel"/>
    <w:tmpl w:val="5AE0D76C"/>
    <w:lvl w:ilvl="0" w:tplc="D626E63E">
      <w:start w:val="1"/>
      <w:numFmt w:val="bullet"/>
      <w:lvlText w:val="•"/>
      <w:lvlJc w:val="left"/>
      <w:pPr>
        <w:ind w:left="720" w:hanging="360"/>
      </w:pPr>
    </w:lvl>
    <w:lvl w:ilvl="1" w:tplc="91A6175A">
      <w:start w:val="1"/>
      <w:numFmt w:val="bullet"/>
      <w:lvlText w:val="◦"/>
      <w:lvlJc w:val="left"/>
      <w:pPr>
        <w:ind w:left="1080" w:hanging="360"/>
      </w:pPr>
    </w:lvl>
    <w:lvl w:ilvl="2" w:tplc="388CC8BE">
      <w:numFmt w:val="decimal"/>
      <w:lvlText w:val=""/>
      <w:lvlJc w:val="left"/>
    </w:lvl>
    <w:lvl w:ilvl="3" w:tplc="AFDADB2C">
      <w:numFmt w:val="decimal"/>
      <w:lvlText w:val=""/>
      <w:lvlJc w:val="left"/>
    </w:lvl>
    <w:lvl w:ilvl="4" w:tplc="D396CDCA">
      <w:numFmt w:val="decimal"/>
      <w:lvlText w:val=""/>
      <w:lvlJc w:val="left"/>
    </w:lvl>
    <w:lvl w:ilvl="5" w:tplc="4F34FFDA">
      <w:numFmt w:val="decimal"/>
      <w:lvlText w:val=""/>
      <w:lvlJc w:val="left"/>
    </w:lvl>
    <w:lvl w:ilvl="6" w:tplc="E6004A62">
      <w:numFmt w:val="decimal"/>
      <w:lvlText w:val=""/>
      <w:lvlJc w:val="left"/>
    </w:lvl>
    <w:lvl w:ilvl="7" w:tplc="FB128E8C">
      <w:numFmt w:val="decimal"/>
      <w:lvlText w:val=""/>
      <w:lvlJc w:val="left"/>
    </w:lvl>
    <w:lvl w:ilvl="8" w:tplc="3B78EB02">
      <w:numFmt w:val="decimal"/>
      <w:lvlText w:val=""/>
      <w:lvlJc w:val="left"/>
    </w:lvl>
  </w:abstractNum>
  <w:abstractNum w:abstractNumId="2" w15:restartNumberingAfterBreak="0">
    <w:nsid w:val="5EF46E81"/>
    <w:multiLevelType w:val="hybridMultilevel"/>
    <w:tmpl w:val="210AC642"/>
    <w:lvl w:ilvl="0" w:tplc="4AB0B968">
      <w:start w:val="1"/>
      <w:numFmt w:val="decimal"/>
      <w:lvlText w:val="%1."/>
      <w:lvlJc w:val="left"/>
      <w:pPr>
        <w:ind w:left="720" w:hanging="360"/>
      </w:pPr>
    </w:lvl>
    <w:lvl w:ilvl="1" w:tplc="48540FB0">
      <w:numFmt w:val="decimal"/>
      <w:lvlText w:val=""/>
      <w:lvlJc w:val="left"/>
    </w:lvl>
    <w:lvl w:ilvl="2" w:tplc="14AEA292">
      <w:numFmt w:val="decimal"/>
      <w:lvlText w:val=""/>
      <w:lvlJc w:val="left"/>
    </w:lvl>
    <w:lvl w:ilvl="3" w:tplc="6640185A">
      <w:numFmt w:val="decimal"/>
      <w:lvlText w:val=""/>
      <w:lvlJc w:val="left"/>
    </w:lvl>
    <w:lvl w:ilvl="4" w:tplc="8CFE83F6">
      <w:numFmt w:val="decimal"/>
      <w:lvlText w:val=""/>
      <w:lvlJc w:val="left"/>
    </w:lvl>
    <w:lvl w:ilvl="5" w:tplc="12E2CCBA">
      <w:numFmt w:val="decimal"/>
      <w:lvlText w:val=""/>
      <w:lvlJc w:val="left"/>
    </w:lvl>
    <w:lvl w:ilvl="6" w:tplc="7F72BFEA">
      <w:numFmt w:val="decimal"/>
      <w:lvlText w:val=""/>
      <w:lvlJc w:val="left"/>
    </w:lvl>
    <w:lvl w:ilvl="7" w:tplc="26A4DDF6">
      <w:numFmt w:val="decimal"/>
      <w:lvlText w:val=""/>
      <w:lvlJc w:val="left"/>
    </w:lvl>
    <w:lvl w:ilvl="8" w:tplc="D2B857E6">
      <w:numFmt w:val="decimal"/>
      <w:lvlText w:val=""/>
      <w:lvlJc w:val="left"/>
    </w:lvl>
  </w:abstractNum>
  <w:num w:numId="1" w16cid:durableId="1552036571">
    <w:abstractNumId w:val="0"/>
    <w:lvlOverride w:ilvl="0">
      <w:startOverride w:val="1"/>
    </w:lvlOverride>
  </w:num>
  <w:num w:numId="2" w16cid:durableId="160703650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657"/>
    <w:rsid w:val="00137522"/>
    <w:rsid w:val="003C640C"/>
    <w:rsid w:val="00686657"/>
    <w:rsid w:val="00B511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3AC0D"/>
  <w15:docId w15:val="{895FD30B-560D-453D-87F3-F5C51BC9B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color w:val="FFFFFF"/>
      <w:sz w:val="36"/>
      <w:szCs w:val="36"/>
    </w:rPr>
  </w:style>
  <w:style w:type="paragraph" w:styleId="Heading2">
    <w:name w:val="heading 2"/>
    <w:uiPriority w:val="9"/>
    <w:unhideWhenUsed/>
    <w:qFormat/>
    <w:pPr>
      <w:spacing w:before="280" w:after="120"/>
      <w:outlineLvl w:val="1"/>
    </w:pPr>
    <w:rPr>
      <w:b/>
      <w:bCs/>
      <w:color w:val="1E3A5F"/>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51118"/>
    <w:pPr>
      <w:tabs>
        <w:tab w:val="center" w:pos="4513"/>
        <w:tab w:val="right" w:pos="9026"/>
      </w:tabs>
    </w:pPr>
  </w:style>
  <w:style w:type="character" w:customStyle="1" w:styleId="HeaderChar">
    <w:name w:val="Header Char"/>
    <w:basedOn w:val="DefaultParagraphFont"/>
    <w:link w:val="Header"/>
    <w:uiPriority w:val="99"/>
    <w:rsid w:val="00B51118"/>
  </w:style>
  <w:style w:type="paragraph" w:styleId="Footer">
    <w:name w:val="footer"/>
    <w:basedOn w:val="Normal"/>
    <w:link w:val="FooterChar"/>
    <w:uiPriority w:val="99"/>
    <w:unhideWhenUsed/>
    <w:rsid w:val="00B51118"/>
    <w:pPr>
      <w:tabs>
        <w:tab w:val="center" w:pos="4513"/>
        <w:tab w:val="right" w:pos="9026"/>
      </w:tabs>
    </w:pPr>
  </w:style>
  <w:style w:type="character" w:customStyle="1" w:styleId="FooterChar">
    <w:name w:val="Footer Char"/>
    <w:basedOn w:val="DefaultParagraphFont"/>
    <w:link w:val="Footer"/>
    <w:uiPriority w:val="99"/>
    <w:rsid w:val="00B511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11</Pages>
  <Words>2753</Words>
  <Characters>15693</Characters>
  <Application>Microsoft Office Word</Application>
  <DocSecurity>0</DocSecurity>
  <Lines>130</Lines>
  <Paragraphs>36</Paragraphs>
  <ScaleCrop>false</ScaleCrop>
  <Company/>
  <LinksUpToDate>false</LinksUpToDate>
  <CharactersWithSpaces>18410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Harddik Singh</cp:lastModifiedBy>
  <cp:revision>2</cp:revision>
  <dcterms:created xsi:type="dcterms:W3CDTF">2026-04-18T18:59:00Z</dcterms:created>
  <dcterms:modified xsi:type="dcterms:W3CDTF">2026-04-18T21:33:00Z</dcterms:modified>
</cp:coreProperties>
</file>