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Overview: Comprehensive Financial and Fiscal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project encompasses a sophisticated multi-dimensional analysis of financial systems, spanning individual credit risk, national fiscal positions, tax collection efficiency, and retirement payout trends. By leveraging diverse datasets—from corporate tax records to global personal finance benchmarks—the project identifies critical patterns in economic stability, institutional distribution, and fiscal management.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Analytical Pillars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Credit &amp; Risk Assessment:</w:t>
      </w:r>
      <w:r w:rsidDel="00000000" w:rsidR="00000000" w:rsidRPr="00000000">
        <w:rPr>
          <w:rtl w:val="0"/>
        </w:rPr>
        <w:t xml:space="preserve"> Analyzes a dataset of 10,000 individuals to understand the relationship between income, balance, and default status, providing a baseline for creditworthiness modeling.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Fiscal Position &amp; Manpower:</w:t>
      </w:r>
      <w:r w:rsidDel="00000000" w:rsidR="00000000" w:rsidRPr="00000000">
        <w:rPr>
          <w:rtl w:val="0"/>
        </w:rPr>
        <w:t xml:space="preserve"> Evaluates government expenditure trends, including manpower costs across various ministries and the broader fiscal position relative to GDP.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Taxation Intelligence:</w:t>
      </w:r>
      <w:r w:rsidDel="00000000" w:rsidR="00000000" w:rsidRPr="00000000">
        <w:rPr>
          <w:rtl w:val="0"/>
        </w:rPr>
        <w:t xml:space="preserve"> Investigates corporate tax behaviors by residency and income group, alongside an efficiency analysis of tax collection costs per dollar collected.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Retirement &amp; Social Security:</w:t>
      </w:r>
      <w:r w:rsidDel="00000000" w:rsidR="00000000" w:rsidRPr="00000000">
        <w:rPr>
          <w:rtl w:val="0"/>
        </w:rPr>
        <w:t xml:space="preserve"> Tracks the evolution of retirement payouts under schemes like CPF LIFE and the Retirement Sum Scheme (RSS), highlighting shifts in social safety net utilization.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Dynamics:</w:t>
      </w:r>
      <w:r w:rsidDel="00000000" w:rsidR="00000000" w:rsidRPr="00000000">
        <w:rPr>
          <w:rtl w:val="0"/>
        </w:rPr>
        <w:t xml:space="preserve"> Conducts volatility and return analysis for specific financial instruments (e.g., Bajaj Finance) to understand market price trends.</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README.md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Financial and Fiscal Data Analytics Suite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repository contains a comprehensive collection of Jupyter Notebooks dedicated to the analysis of financial, fiscal, and socio-economic datasets. The project aims to provide data-driven insights into economic health, institutional infrastructure, and individual financial behaviors.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Notebook</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Area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Credit_Analysis_Dataset.ipynb</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Credit Risk</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Income, Balance, Default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Fiscal Data Analysis...ipynb</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Government Finance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Expenditure on Manpower, Revenue vs. GDP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Tax Collection Efficiency.ipynb</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per dollar of tax collected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Retirement Payout Analysis.ipynb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Security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CPF LIFE and RSS payout trends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Taxable Companies Analysis.ipynb</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Economics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Chargeable income and residency-based tax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GPFLB.ipynb</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Finance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Debt-to-income, credit scores, savings ratios</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Insights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 Collection Efficiency:</w:t>
      </w:r>
      <w:r w:rsidDel="00000000" w:rsidR="00000000" w:rsidRPr="00000000">
        <w:rPr>
          <w:rtl w:val="0"/>
        </w:rPr>
        <w:t xml:space="preserve"> The mean cost per dollar of tax collected stands at approximately $0.86, showing a negative correlation (-0.62) with time, indicating improving efficiency over the years.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Corporate Trends:</w:t>
      </w:r>
      <w:r w:rsidDel="00000000" w:rsidR="00000000" w:rsidRPr="00000000">
        <w:rPr>
          <w:rtl w:val="0"/>
        </w:rPr>
        <w:t xml:space="preserve"> There is a significant growth trend in both the number of taxable companies and total assessed income, with a strong correlation (0.98) between total income and net tax.</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Infrastructure:</w:t>
      </w:r>
      <w:r w:rsidDel="00000000" w:rsidR="00000000" w:rsidRPr="00000000">
        <w:rPr>
          <w:rtl w:val="0"/>
        </w:rPr>
        <w:t xml:space="preserve"> Analysis of "Baby Bonus" institutions reveals a high concentration of Childcare Centres (1,549) and Healthcare Institutions (1,505) within the supported ecosystem.</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Retirement:</w:t>
      </w:r>
      <w:r w:rsidDel="00000000" w:rsidR="00000000" w:rsidRPr="00000000">
        <w:rPr>
          <w:rtl w:val="0"/>
        </w:rPr>
        <w:t xml:space="preserve"> Base interest credited to CPF members has seen steady growth, with total interest exceeding $16.8B by 2020.</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To run these notebooks, the following Python packages are required:</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pandas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numpy</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matplotlib</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seaborn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yfinance (for market data)</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statsmodels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 all source .csv and .xlsx files are in the working directory.</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desired notebook in a Jupyter environment.</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Execute cells sequentially to generate descriptive statistics, correlation matrices, and visualizations.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Credit_Analysis_Dataset.ipynb</w:t>
        </w:r>
      </w:hyperlink>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Fiscal Data Analysis and Visualizatin.ipynb</w:t>
        </w:r>
      </w:hyperlink>
      <w:r w:rsidDel="00000000" w:rsidR="00000000" w:rsidRPr="00000000">
        <w:rPr>
          <w:rtl w:val="0"/>
        </w:rPr>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Taxables Companies Data Analysis.ipynb</w:t>
        </w:r>
      </w:hyperlink>
      <w:r w:rsidDel="00000000" w:rsidR="00000000" w:rsidRPr="00000000">
        <w:rPr>
          <w:rtl w:val="0"/>
        </w:rPr>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Tax Collection Effiecency Analysis.ipynb</w:t>
        </w:r>
      </w:hyperlink>
      <w:r w:rsidDel="00000000" w:rsidR="00000000" w:rsidRPr="00000000">
        <w:rPr>
          <w:rtl w:val="0"/>
        </w:rPr>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Taxable Companies Income Analysis.ipynb</w:t>
        </w:r>
      </w:hyperlink>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Retirement Payout Data Analysis.ipynb</w:t>
        </w:r>
      </w:hyperlink>
      <w:r w:rsidDel="00000000" w:rsidR="00000000" w:rsidRPr="00000000">
        <w:rPr>
          <w:rtl w:val="0"/>
        </w:rPr>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CPF interest Data Analysis.ipynb</w:t>
        </w:r>
      </w:hyperlink>
      <w:r w:rsidDel="00000000" w:rsidR="00000000" w:rsidRPr="00000000">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Bajaj Finance Market Price &amp; Volatility Trends.ipynb</w:t>
        </w:r>
      </w:hyperlink>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Global Personal Finance &amp; Liability Benchmark (GPFLB).ipynb</w:t>
        </w:r>
      </w:hyperlink>
      <w:r w:rsidDel="00000000" w:rsidR="00000000" w:rsidRPr="00000000">
        <w:rPr>
          <w:rtl w:val="0"/>
        </w:rPr>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Baby Bonus Infrastructure &amp; Geographic Distribution Dataset.ipynb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U_qmovDHoWNcvhOnIj9up-FFOpuX59Fg/view?usp=drive_web" TargetMode="External"/><Relationship Id="rId10" Type="http://schemas.openxmlformats.org/officeDocument/2006/relationships/hyperlink" Target="https://drive.google.com/file/d/1idtzjCJwf-Y8r4hGFPimZm4RICb3s2yP/view?usp=drive_web" TargetMode="External"/><Relationship Id="rId13" Type="http://schemas.openxmlformats.org/officeDocument/2006/relationships/hyperlink" Target="https://drive.google.com/file/d/1wC_rhdBbb85WYYAa0GWDTNVfvioitz3E/view?usp=drive_web" TargetMode="External"/><Relationship Id="rId12" Type="http://schemas.openxmlformats.org/officeDocument/2006/relationships/hyperlink" Target="https://drive.google.com/file/d/1iPBOPIa7LMfeKdfy1HP4xGgeZrAdsY8Y/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4RCrySRwnkX0dL076dj3x7lbB2-g9Lk/view?usp=drive_web" TargetMode="External"/><Relationship Id="rId15" Type="http://schemas.openxmlformats.org/officeDocument/2006/relationships/hyperlink" Target="https://drive.google.com/file/d/1-UC5zC3U5y1bSWOZWt-O37rPe2tglLWW/view?usp=drive_web" TargetMode="External"/><Relationship Id="rId14" Type="http://schemas.openxmlformats.org/officeDocument/2006/relationships/hyperlink" Target="https://drive.google.com/file/d/1QxmLSWFRaUnjpubW6kyXCh2c-G_ZCLmb/view?usp=drive_web" TargetMode="External"/><Relationship Id="rId5" Type="http://schemas.openxmlformats.org/officeDocument/2006/relationships/styles" Target="styles.xml"/><Relationship Id="rId6" Type="http://schemas.openxmlformats.org/officeDocument/2006/relationships/hyperlink" Target="https://drive.google.com/file/d/1XENp2PEHHCKk3ZJE_ZYVRxgeFQIiHxKG/view?usp=drive_web" TargetMode="External"/><Relationship Id="rId7" Type="http://schemas.openxmlformats.org/officeDocument/2006/relationships/hyperlink" Target="https://drive.google.com/file/d/1hCUboa3JbzUuxfRgEF_UptecjWlnJyBS/view?usp=drive_web" TargetMode="External"/><Relationship Id="rId8" Type="http://schemas.openxmlformats.org/officeDocument/2006/relationships/hyperlink" Target="https://drive.google.com/file/d/1pxCKa8nsxMG4jLDp29rufE8-lNzSdMQc/view?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