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a="http://schemas.openxmlformats.org/drawingml/2006/main">
                <w:pict w14:anchorId="544B55A2">
                  <v:shapetype id="_x0000_t202" coordsize="21600,21600" o:spt="202" path="m,l,21600r21600,l21600,xe" w14:anchorId="5691B8C3">
                    <v:stroke joinstyle="miter"/>
                    <v:path gradientshapeok="t" o:connecttype="rect"/>
                  </v:shapetype>
                  <v:shape id="Text Box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>
                    <v:textbox style="mso-fit-shape-to-text:t" inset="0,0,0,0">
                      <w:txbxContent>
                        <w:p w:rsidR="009924FC" w:rsidRDefault="00F23A10" w14:paraId="0F225946" w14:textId="465C6FF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id w:val="738558016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id w:val="2024317696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924FC" w:rsidRDefault="00615F8E" w14:paraId="619A62D6" w14:textId="044452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:rsidR="009924FC" w:rsidRDefault="009924FC" w14:paraId="672A6659" w14:textId="662FBE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32CCC82C" w:rsidR="009924FC" w:rsidRDefault="00CA50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p w14:paraId="58FED816" w14:textId="32CCC82C" w:rsidR="009924FC" w:rsidRDefault="00CA502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73"/>
        <w:gridCol w:w="1387"/>
        <w:gridCol w:w="1785"/>
        <w:gridCol w:w="447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2696B5F" w:rsidR="008310AF" w:rsidRDefault="008310AF" w:rsidP="008310AF">
            <w:pPr>
              <w:jc w:val="center"/>
            </w:pPr>
          </w:p>
        </w:tc>
        <w:tc>
          <w:tcPr>
            <w:tcW w:w="1417" w:type="dxa"/>
          </w:tcPr>
          <w:p w14:paraId="408C2F2B" w14:textId="50F7186B" w:rsidR="008310AF" w:rsidRDefault="440B95C8" w:rsidP="00FD544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0BAAAAAE" w14:textId="77777777" w:rsidR="008310AF" w:rsidRDefault="008310AF" w:rsidP="00FD5447">
            <w:pPr>
              <w:jc w:val="both"/>
            </w:pP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23C866C0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Pr="002F492F">
        <w:rPr>
          <w:b/>
          <w:bCs/>
          <w:i/>
          <w:iCs/>
        </w:rPr>
        <w:t>{Issue Category}</w:t>
      </w:r>
      <w:r>
        <w:t xml:space="preserve"> type defect identified in the following CIDs:</w:t>
      </w:r>
      <w:r>
        <w:br/>
      </w:r>
      <w:r w:rsidRPr="00DF3001">
        <w:rPr>
          <w:b/>
          <w:bCs/>
          <w:i/>
          <w:iCs/>
        </w:rPr>
        <w:t>{Coverity Issue CID}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7777777" w:rsidR="008310AF" w:rsidRDefault="008310AF" w:rsidP="00FD544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FD544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6A982F0E" w14:textId="46805256" w:rsidR="007F601A" w:rsidRPr="007F601A" w:rsidRDefault="0043201C" w:rsidP="0043201C">
      <w:pPr>
        <w:rPr>
          <w:rStyle w:val="SubtleEmphasis"/>
        </w:rPr>
      </w:pPr>
      <w:r w:rsidRPr="0043201C">
        <w:rPr>
          <w:rStyle w:val="SubtleEmphasis"/>
        </w:rPr>
        <w:t>Please provide a</w:t>
      </w:r>
      <w:r w:rsidR="007F601A">
        <w:rPr>
          <w:rStyle w:val="SubtleEmphasis"/>
        </w:rPr>
        <w:t>n</w:t>
      </w:r>
      <w:r w:rsidRPr="0043201C">
        <w:rPr>
          <w:rStyle w:val="SubtleEmphasis"/>
        </w:rPr>
        <w:t xml:space="preserve"> in-depth report on the analysis performed here.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2B4B750D" w:rsidR="0043201C" w:rsidRPr="0043201C" w:rsidRDefault="0043201C" w:rsidP="0043201C">
      <w:pPr>
        <w:rPr>
          <w:rStyle w:val="SubtleEmphasis"/>
          <w:lang w:val="en-U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observations,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16C0425F" w14:textId="1316C022" w:rsidR="007F601A" w:rsidRPr="0043201C" w:rsidRDefault="007F601A" w:rsidP="007F601A">
      <w:pPr>
        <w:jc w:val="both"/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conclusions and recommendations here</w:t>
      </w:r>
      <w:r>
        <w:rPr>
          <w:rStyle w:val="SubtleEmphasis"/>
        </w:rPr>
        <w:t>. I</w:t>
      </w:r>
      <w:r w:rsidRPr="0043201C">
        <w:rPr>
          <w:rStyle w:val="SubtleEmphasis"/>
        </w:rPr>
        <w:t>nclude references to supporting evidence and any other required information in the appendix.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3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8310AF">
      <w:headerReference w:type="default" r:id="rId14"/>
      <w:footerReference w:type="default" r:id="rId15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C39E4" w14:textId="77777777" w:rsidR="00AD0D4A" w:rsidRDefault="00AD0D4A" w:rsidP="009924FC">
      <w:pPr>
        <w:spacing w:after="0" w:line="240" w:lineRule="auto"/>
      </w:pPr>
      <w:r>
        <w:separator/>
      </w:r>
    </w:p>
  </w:endnote>
  <w:endnote w:type="continuationSeparator" w:id="0">
    <w:p w14:paraId="60556DC6" w14:textId="77777777" w:rsidR="00AD0D4A" w:rsidRDefault="00AD0D4A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14="http://schemas.microsoft.com/office/drawing/2010/main" xmlns:pic="http://schemas.openxmlformats.org/drawingml/2006/picture" xmlns:a="http://schemas.openxmlformats.org/drawingml/2006/main">
              <w:pict w14:anchorId="14D8CACD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39DD" w14:textId="77777777" w:rsidR="00AD0D4A" w:rsidRDefault="00AD0D4A" w:rsidP="009924FC">
      <w:pPr>
        <w:spacing w:after="0" w:line="240" w:lineRule="auto"/>
      </w:pPr>
      <w:r>
        <w:separator/>
      </w:r>
    </w:p>
  </w:footnote>
  <w:footnote w:type="continuationSeparator" w:id="0">
    <w:p w14:paraId="2EEF468A" w14:textId="77777777" w:rsidR="00AD0D4A" w:rsidRDefault="00AD0D4A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20E4593D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CA502B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CA502B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85092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2079A7"/>
    <w:rsid w:val="00271952"/>
    <w:rsid w:val="0032522D"/>
    <w:rsid w:val="0043201C"/>
    <w:rsid w:val="00560CC6"/>
    <w:rsid w:val="00615F8E"/>
    <w:rsid w:val="00714745"/>
    <w:rsid w:val="007F601A"/>
    <w:rsid w:val="008310AF"/>
    <w:rsid w:val="009924FC"/>
    <w:rsid w:val="00AB15D9"/>
    <w:rsid w:val="00AD0D4A"/>
    <w:rsid w:val="00B13EBD"/>
    <w:rsid w:val="00CA502B"/>
    <w:rsid w:val="00CF6C70"/>
    <w:rsid w:val="00E261B5"/>
    <w:rsid w:val="00F23A10"/>
    <w:rsid w:val="00F64C27"/>
    <w:rsid w:val="00FE5FC2"/>
    <w:rsid w:val="22452843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eakin.edu.au/__data/assets/pdf_file/0009/2236752/Deakin-guide-to-APA7.pdf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1BAC1A-F1F6-41AE-AA06-C7A5568F0891}"/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CONNIE COX</cp:lastModifiedBy>
  <cp:revision>14</cp:revision>
  <dcterms:created xsi:type="dcterms:W3CDTF">2022-11-20T02:38:00Z</dcterms:created>
  <dcterms:modified xsi:type="dcterms:W3CDTF">2023-03-16T10:03:00Z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