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EndPr/>
      <w:sdtContent>
        <w:p w14:paraId="0317C60E" w14:textId="77777777" w:rsidR="009924FC" w:rsidRDefault="009924FC"/>
        <w:p w14:paraId="070A707A" w14:textId="77777777" w:rsidR="009924FC" w:rsidRDefault="009924F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5691B8C3" wp14:editId="1312BFB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019675" cy="6720840"/>
                    <wp:effectExtent l="0" t="0" r="9525" b="762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196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351C9" w14:textId="362DE278" w:rsidR="009924FC" w:rsidRDefault="00B9422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195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Coverity Scan           </w:t>
                                    </w:r>
                                    <w:r w:rsidR="00F51FB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Vulnerability Assessment</w:t>
                                    </w:r>
                                    <w:r w:rsidR="0027195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056590" w14:textId="0444529A" w:rsidR="009924FC" w:rsidRDefault="00615F8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Hardhard Enterprises</w:t>
                                    </w:r>
                                  </w:p>
                                </w:sdtContent>
                              </w:sdt>
                              <w:p w14:paraId="5E15FB1C" w14:textId="662FBEC5" w:rsidR="009924FC" w:rsidRDefault="009924F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91B8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95.25pt;height:529.2pt;z-index:251658241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p w14:paraId="362351C9" w14:textId="362DE278" w:rsidR="009924FC" w:rsidRDefault="00B9422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7195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Coverity Scan           </w:t>
                              </w:r>
                              <w:r w:rsidR="00F51FB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Vulnerability Assessment</w:t>
                              </w:r>
                              <w:r w:rsidR="0027195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056590" w14:textId="0444529A" w:rsidR="009924FC" w:rsidRDefault="00615F8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Hardhard Enterprises</w:t>
                              </w:r>
                            </w:p>
                          </w:sdtContent>
                        </w:sdt>
                        <w:p w14:paraId="5E15FB1C" w14:textId="662FBEC5" w:rsidR="009924FC" w:rsidRDefault="009924F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02CD7E7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FED816" w14:textId="26C8EBBA" w:rsidR="009924FC" w:rsidRDefault="009924F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9924FC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T3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p w14:paraId="58FED816" w14:textId="26C8EBBA" w:rsidR="009924FC" w:rsidRDefault="009924F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24FC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BC0C169" w14:textId="42403DE0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0C38F6" w:rsidR="00615F8E" w:rsidRDefault="00615F8E" w:rsidP="00615F8E">
      <w:pPr>
        <w:jc w:val="both"/>
      </w:pPr>
      <w:r>
        <w:t xml:space="preserve">This document aims to provide a record of </w:t>
      </w:r>
      <w:r w:rsidR="00F51FB2">
        <w:t>the vulnerability assessment</w:t>
      </w:r>
      <w:r>
        <w:t xml:space="preserve"> performed on a specific issue from the Coverity SAST scan for the NASA ION Open-Source code 4.1.1 project</w:t>
      </w:r>
      <w:r w:rsidR="00F51FB2">
        <w:t xml:space="preserve"> and is a follow-up report from the static analysis report</w:t>
      </w:r>
      <w:r>
        <w:t xml:space="preserve">. </w:t>
      </w:r>
    </w:p>
    <w:p w14:paraId="28FE4D09" w14:textId="6FC9D836" w:rsidR="00F51FB2" w:rsidRDefault="00615F8E" w:rsidP="00615F8E">
      <w:pPr>
        <w:jc w:val="both"/>
      </w:pPr>
      <w:r>
        <w:t>The primary purpose of this document</w:t>
      </w:r>
      <w:r w:rsidR="00F51FB2">
        <w:t xml:space="preserve"> is to provide an in-depth assessment of the identified vulnerability. Assessment includes but is not limited </w:t>
      </w:r>
      <w:proofErr w:type="gramStart"/>
      <w:r w:rsidR="00F51FB2">
        <w:t>to;</w:t>
      </w:r>
      <w:proofErr w:type="gramEnd"/>
      <w:r w:rsidR="00F51FB2">
        <w:t xml:space="preserve"> Recreating the issue, investigating the potential for exploitation, deploying various exploits and reporting on the researcher's findings.</w:t>
      </w:r>
    </w:p>
    <w:p w14:paraId="7FAC13E9" w14:textId="029C6D02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</w:t>
      </w:r>
      <w:r w:rsidR="00F51FB2">
        <w:t xml:space="preserve"> potential</w:t>
      </w:r>
      <w:r>
        <w:t xml:space="preserve"> attack vectors</w:t>
      </w:r>
      <w:r w:rsidR="00F51FB2">
        <w:t>/scenarios.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4F85F17A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</w:t>
      </w:r>
      <w:r w:rsidR="00F51FB2">
        <w:t>Adhering to these practices</w:t>
      </w:r>
      <w:r>
        <w:t xml:space="preserve"> will </w:t>
      </w:r>
      <w:r w:rsidR="00F51FB2">
        <w:t>better inform readers and allow other members to identify any updates and progress made across trimesters easily</w:t>
      </w:r>
      <w:r>
        <w:t>.</w:t>
      </w:r>
    </w:p>
    <w:p w14:paraId="3205F242" w14:textId="48A28BD7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</w:t>
      </w:r>
      <w:r w:rsidR="00F51FB2">
        <w:t>. A</w:t>
      </w:r>
      <w:r w:rsidR="002079A7">
        <w:t>lternatively</w:t>
      </w:r>
      <w:r w:rsidR="00F23A10">
        <w:t>,</w:t>
      </w:r>
      <w:r w:rsidR="002079A7">
        <w:t xml:space="preserve"> use </w:t>
      </w:r>
      <w:r w:rsidR="00F51FB2">
        <w:t>the Microsoft Word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542428F3" w:rsidR="008310AF" w:rsidRDefault="00615F8E" w:rsidP="00615F8E">
      <w:pPr>
        <w:jc w:val="both"/>
      </w:pPr>
      <w:r>
        <w:t xml:space="preserve">Naming conventions for this file are as follow; </w:t>
      </w:r>
      <w:r w:rsidR="00F51FB2">
        <w:t>V</w:t>
      </w:r>
      <w:r>
        <w:t>AR_{CID}. For example, when investigati</w:t>
      </w:r>
      <w:r w:rsidR="007F601A">
        <w:t>ng</w:t>
      </w:r>
      <w:r>
        <w:t xml:space="preserve"> issue 123456</w:t>
      </w:r>
      <w:r w:rsidR="00F51FB2">
        <w:t>,</w:t>
      </w:r>
      <w:r>
        <w:t xml:space="preserve"> the file name would be </w:t>
      </w:r>
      <w:r w:rsidR="00F51FB2">
        <w:t>V</w:t>
      </w:r>
      <w:r>
        <w:t>AR_123456.doc</w:t>
      </w:r>
      <w:r w:rsidR="00AB15D9">
        <w:t>x</w:t>
      </w:r>
    </w:p>
    <w:p w14:paraId="4F1B94CC" w14:textId="77777777" w:rsidR="008310AF" w:rsidRDefault="008310AF" w:rsidP="00F51FB2"/>
    <w:p w14:paraId="4A7C20DB" w14:textId="37EFB946" w:rsidR="008310AF" w:rsidRDefault="008310AF" w:rsidP="00F51FB2">
      <w:pPr>
        <w:pStyle w:val="Title"/>
        <w:jc w:val="center"/>
      </w:pPr>
      <w:r>
        <w:t>Document History</w:t>
      </w:r>
    </w:p>
    <w:p w14:paraId="02A3774B" w14:textId="77777777" w:rsidR="00F51FB2" w:rsidRPr="00F51FB2" w:rsidRDefault="00F51FB2" w:rsidP="00F51FB2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397"/>
        <w:gridCol w:w="1385"/>
        <w:gridCol w:w="1780"/>
        <w:gridCol w:w="4454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0C712F13" w:rsidR="008310AF" w:rsidRDefault="00632831" w:rsidP="008310AF">
            <w:pPr>
              <w:jc w:val="center"/>
            </w:pPr>
            <w:r>
              <w:t>6/12/2022</w:t>
            </w:r>
          </w:p>
        </w:tc>
        <w:tc>
          <w:tcPr>
            <w:tcW w:w="1417" w:type="dxa"/>
          </w:tcPr>
          <w:p w14:paraId="408C2F2B" w14:textId="33A37957" w:rsidR="008310AF" w:rsidRDefault="440B95C8" w:rsidP="00FD5447">
            <w:pPr>
              <w:jc w:val="both"/>
            </w:pPr>
            <w:r>
              <w:t>V</w:t>
            </w:r>
            <w:r w:rsidR="00632831">
              <w:t>1.0</w:t>
            </w:r>
          </w:p>
        </w:tc>
        <w:tc>
          <w:tcPr>
            <w:tcW w:w="1843" w:type="dxa"/>
          </w:tcPr>
          <w:p w14:paraId="5CFA5C10" w14:textId="30499E3B" w:rsidR="008310AF" w:rsidRDefault="00632831" w:rsidP="00FD5447">
            <w:pPr>
              <w:jc w:val="both"/>
            </w:pPr>
            <w:r>
              <w:t>Tristen Clifton</w:t>
            </w:r>
          </w:p>
        </w:tc>
        <w:tc>
          <w:tcPr>
            <w:tcW w:w="4677" w:type="dxa"/>
          </w:tcPr>
          <w:p w14:paraId="0BAAAAAE" w14:textId="228C8C44" w:rsidR="008310AF" w:rsidRDefault="00632831" w:rsidP="00FD5447">
            <w:pPr>
              <w:jc w:val="both"/>
            </w:pPr>
            <w:proofErr w:type="spellStart"/>
            <w:r>
              <w:t>Itital</w:t>
            </w:r>
            <w:proofErr w:type="spellEnd"/>
            <w:r>
              <w:t xml:space="preserve"> document</w:t>
            </w: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7777777" w:rsidR="008310AF" w:rsidRDefault="008310AF" w:rsidP="00FD544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FD544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FD544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FD5447">
            <w:pPr>
              <w:jc w:val="both"/>
            </w:pP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FD544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FD544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FD544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FD544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6C9F1874" w14:textId="33A60A8C" w:rsidR="00F51FB2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32107" w:history="1">
            <w:r w:rsidR="00F51FB2" w:rsidRPr="00627E22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_Toc119932107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3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2E79FD46" w14:textId="2E63E996" w:rsidR="00F51FB2" w:rsidRDefault="00B942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932108" w:history="1">
            <w:r w:rsidR="00F51FB2" w:rsidRPr="00627E22">
              <w:rPr>
                <w:rStyle w:val="Hyperlink"/>
                <w:noProof/>
              </w:rPr>
              <w:t>Objective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_Toc119932108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3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18F625E6" w14:textId="4571BA98" w:rsidR="00F51FB2" w:rsidRDefault="00B942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932109" w:history="1">
            <w:r w:rsidR="00F51FB2" w:rsidRPr="00627E22">
              <w:rPr>
                <w:rStyle w:val="Hyperlink"/>
                <w:noProof/>
              </w:rPr>
              <w:t>Scope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_Toc119932109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3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36189643" w14:textId="07EDFF4B" w:rsidR="00F51FB2" w:rsidRDefault="00B942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932110" w:history="1">
            <w:r w:rsidR="00F51FB2" w:rsidRPr="00627E22">
              <w:rPr>
                <w:rStyle w:val="Hyperlink"/>
                <w:noProof/>
              </w:rPr>
              <w:t>Acronyms and Abbreviations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_Toc119932110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3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68495A89" w14:textId="715B19FF" w:rsidR="00F51FB2" w:rsidRDefault="00B942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932111" w:history="1">
            <w:r w:rsidR="00F51FB2" w:rsidRPr="00627E22">
              <w:rPr>
                <w:rStyle w:val="Hyperlink"/>
                <w:noProof/>
              </w:rPr>
              <w:t>Vulnerability Assessment Report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_Toc119932111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4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61231D93" w14:textId="6A65CC5E" w:rsidR="00F51FB2" w:rsidRDefault="00B942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932112" w:history="1">
            <w:r w:rsidR="00F51FB2" w:rsidRPr="00627E22">
              <w:rPr>
                <w:rStyle w:val="Hyperlink"/>
                <w:noProof/>
              </w:rPr>
              <w:t>Recreating the Issue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_Toc119932112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4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1B326825" w14:textId="2182AC64" w:rsidR="00F51FB2" w:rsidRDefault="00B9422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9932113" w:history="1">
            <w:r w:rsidR="00F51FB2" w:rsidRPr="00627E22">
              <w:rPr>
                <w:rStyle w:val="Hyperlink"/>
                <w:noProof/>
                <w:lang w:val="en-US"/>
              </w:rPr>
              <w:t>Overview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_Toc119932113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4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77D221D0" w14:textId="7E872579" w:rsidR="00F51FB2" w:rsidRDefault="00B9422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9932114" w:history="1">
            <w:r w:rsidR="00F51FB2" w:rsidRPr="00627E22">
              <w:rPr>
                <w:rStyle w:val="Hyperlink"/>
                <w:noProof/>
              </w:rPr>
              <w:t>Finding and Observations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_Toc119932114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4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5368289D" w14:textId="58981036" w:rsidR="00F51FB2" w:rsidRDefault="00B942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932115" w:history="1">
            <w:r w:rsidR="00F51FB2" w:rsidRPr="00627E22">
              <w:rPr>
                <w:rStyle w:val="Hyperlink"/>
                <w:noProof/>
              </w:rPr>
              <w:t>Exploiting the Issue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_Toc119932115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4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5DEAF935" w14:textId="0E696EE2" w:rsidR="00F51FB2" w:rsidRDefault="00B9422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9932116" w:history="1">
            <w:r w:rsidR="00F51FB2" w:rsidRPr="00627E22">
              <w:rPr>
                <w:rStyle w:val="Hyperlink"/>
                <w:noProof/>
                <w:lang w:val="en-US"/>
              </w:rPr>
              <w:t>Overview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_Toc119932116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4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1A674EDB" w14:textId="444DA8BA" w:rsidR="00F51FB2" w:rsidRDefault="00B9422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9932117" w:history="1">
            <w:r w:rsidR="00F51FB2" w:rsidRPr="00627E22">
              <w:rPr>
                <w:rStyle w:val="Hyperlink"/>
                <w:noProof/>
              </w:rPr>
              <w:t>Finding and Observations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_Toc119932117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4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0848F0EB" w14:textId="37C7BA69" w:rsidR="00F51FB2" w:rsidRDefault="00B942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932118" w:history="1">
            <w:r w:rsidR="00F51FB2" w:rsidRPr="00627E22">
              <w:rPr>
                <w:rStyle w:val="Hyperlink"/>
                <w:noProof/>
              </w:rPr>
              <w:t>Supporting Evidence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_Toc119932118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4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714F142D" w14:textId="3F8D5F3D" w:rsidR="00F51FB2" w:rsidRDefault="00B942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932119" w:history="1">
            <w:r w:rsidR="00F51FB2" w:rsidRPr="00627E22">
              <w:rPr>
                <w:rStyle w:val="Hyperlink"/>
                <w:noProof/>
              </w:rPr>
              <w:t>Recommendation(s) to fix.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_Toc119932119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4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01C5F405" w14:textId="7EBDE8FA" w:rsidR="00F51FB2" w:rsidRDefault="00B942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932120" w:history="1">
            <w:r w:rsidR="00F51FB2" w:rsidRPr="00627E22">
              <w:rPr>
                <w:rStyle w:val="Hyperlink"/>
                <w:noProof/>
              </w:rPr>
              <w:t>Conclusions and Recommendations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_Toc119932120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4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222F0610" w14:textId="0EF939BA" w:rsidR="00F51FB2" w:rsidRDefault="00B942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932121" w:history="1">
            <w:r w:rsidR="00F51FB2" w:rsidRPr="00627E22">
              <w:rPr>
                <w:rStyle w:val="Hyperlink"/>
                <w:noProof/>
              </w:rPr>
              <w:t>References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_Toc119932121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5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010847AB" w14:textId="1F0D51A1" w:rsidR="00F51FB2" w:rsidRDefault="00B942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932122" w:history="1">
            <w:r w:rsidR="00F51FB2" w:rsidRPr="00627E22">
              <w:rPr>
                <w:rStyle w:val="Hyperlink"/>
                <w:noProof/>
              </w:rPr>
              <w:t>Appendix</w:t>
            </w:r>
            <w:r w:rsidR="00F51FB2">
              <w:rPr>
                <w:noProof/>
                <w:webHidden/>
              </w:rPr>
              <w:tab/>
            </w:r>
            <w:r w:rsidR="00F51FB2">
              <w:rPr>
                <w:noProof/>
                <w:webHidden/>
              </w:rPr>
              <w:fldChar w:fldCharType="begin"/>
            </w:r>
            <w:r w:rsidR="00F51FB2">
              <w:rPr>
                <w:noProof/>
                <w:webHidden/>
              </w:rPr>
              <w:instrText xml:space="preserve"> PAGEREF _Toc119932122 \h </w:instrText>
            </w:r>
            <w:r w:rsidR="00F51FB2">
              <w:rPr>
                <w:noProof/>
                <w:webHidden/>
              </w:rPr>
            </w:r>
            <w:r w:rsidR="00F51FB2">
              <w:rPr>
                <w:noProof/>
                <w:webHidden/>
              </w:rPr>
              <w:fldChar w:fldCharType="separate"/>
            </w:r>
            <w:r w:rsidR="00F51FB2">
              <w:rPr>
                <w:noProof/>
                <w:webHidden/>
              </w:rPr>
              <w:t>6</w:t>
            </w:r>
            <w:r w:rsidR="00F51FB2">
              <w:rPr>
                <w:noProof/>
                <w:webHidden/>
              </w:rPr>
              <w:fldChar w:fldCharType="end"/>
            </w:r>
          </w:hyperlink>
        </w:p>
        <w:p w14:paraId="4ADAF3E4" w14:textId="35B229E9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932107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932108"/>
      <w:r w:rsidRPr="00DE549E">
        <w:t>Objective</w:t>
      </w:r>
      <w:bookmarkEnd w:id="2"/>
      <w:bookmarkEnd w:id="3"/>
    </w:p>
    <w:p w14:paraId="557841CC" w14:textId="41A2CD1D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</w:t>
      </w:r>
      <w:r w:rsidR="00F51FB2">
        <w:t>assessment</w:t>
      </w:r>
      <w:r>
        <w:t xml:space="preserve">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1C22726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 xml:space="preserve">Indeed, </w:t>
      </w:r>
      <w:proofErr w:type="spellStart"/>
      <w:r w:rsidR="00F51FB2">
        <w:t>recreatable</w:t>
      </w:r>
      <w:proofErr w:type="spellEnd"/>
      <w:r>
        <w:t>.</w:t>
      </w:r>
    </w:p>
    <w:p w14:paraId="2A38899E" w14:textId="66E55E74" w:rsidR="007F601A" w:rsidRDefault="00F51FB2" w:rsidP="008310AF">
      <w:pPr>
        <w:pStyle w:val="ListParagraph"/>
        <w:numPr>
          <w:ilvl w:val="0"/>
          <w:numId w:val="1"/>
        </w:numPr>
        <w:jc w:val="both"/>
      </w:pPr>
      <w:r>
        <w:t>Indeed,</w:t>
      </w:r>
      <w:r w:rsidR="007F601A">
        <w:t xml:space="preserve"> exploitable.</w:t>
      </w:r>
    </w:p>
    <w:p w14:paraId="50E54312" w14:textId="064AF391" w:rsidR="00F51FB2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3D61FD76" w14:textId="038B21A5" w:rsidR="00F51FB2" w:rsidRDefault="00F51FB2" w:rsidP="008310AF">
      <w:pPr>
        <w:pStyle w:val="ListParagraph"/>
        <w:numPr>
          <w:ilvl w:val="0"/>
          <w:numId w:val="1"/>
        </w:numPr>
        <w:jc w:val="both"/>
      </w:pPr>
      <w:r>
        <w:t>Comprehensive details on the exploit itself.</w:t>
      </w:r>
    </w:p>
    <w:p w14:paraId="2648096B" w14:textId="273DC5F0" w:rsidR="00F51FB2" w:rsidRDefault="00F51FB2" w:rsidP="008310AF">
      <w:pPr>
        <w:pStyle w:val="ListParagraph"/>
        <w:numPr>
          <w:ilvl w:val="0"/>
          <w:numId w:val="1"/>
        </w:numPr>
        <w:jc w:val="both"/>
      </w:pPr>
      <w:r>
        <w:t>Any additional exploitable scenarios.</w:t>
      </w:r>
    </w:p>
    <w:p w14:paraId="5B0201F8" w14:textId="65992662" w:rsidR="00F51FB2" w:rsidRDefault="00F51FB2" w:rsidP="008310AF">
      <w:pPr>
        <w:pStyle w:val="ListParagraph"/>
        <w:numPr>
          <w:ilvl w:val="0"/>
          <w:numId w:val="1"/>
        </w:numPr>
        <w:jc w:val="both"/>
      </w:pPr>
      <w:r>
        <w:t>A detailed list of attack vectors.</w:t>
      </w:r>
    </w:p>
    <w:p w14:paraId="10B8EB8F" w14:textId="49F4891F" w:rsidR="008310AF" w:rsidRDefault="008310AF" w:rsidP="00F51FB2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932109"/>
      <w:r w:rsidRPr="00DE549E">
        <w:t>Scope</w:t>
      </w:r>
      <w:bookmarkEnd w:id="4"/>
      <w:bookmarkEnd w:id="5"/>
    </w:p>
    <w:p w14:paraId="05492E0E" w14:textId="35E18DCC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</w:t>
      </w:r>
      <w:r w:rsidR="00F51FB2">
        <w:t>vulnerability</w:t>
      </w:r>
      <w:r>
        <w:t xml:space="preserve"> </w:t>
      </w:r>
      <w:r w:rsidR="00F51FB2">
        <w:t>assessment</w:t>
      </w:r>
      <w:r>
        <w:t xml:space="preserve"> is limited to the </w:t>
      </w:r>
      <w:r w:rsidR="00CC404E" w:rsidRPr="00CC404E">
        <w:rPr>
          <w:b/>
          <w:bCs/>
          <w:i/>
          <w:iCs/>
        </w:rPr>
        <w:t>String not null terminated</w:t>
      </w:r>
      <w:r w:rsidR="00CC404E">
        <w:rPr>
          <w:b/>
          <w:bCs/>
          <w:i/>
          <w:iCs/>
        </w:rPr>
        <w:t xml:space="preserve"> </w:t>
      </w:r>
      <w:r>
        <w:t>type defect identified in the following CIDs:</w:t>
      </w:r>
      <w:r>
        <w:br/>
      </w:r>
      <w:r w:rsidR="002F108C" w:rsidRPr="002F108C">
        <w:rPr>
          <w:b/>
          <w:bCs/>
          <w:i/>
          <w:iCs/>
        </w:rPr>
        <w:t>1520742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932110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FD5447">
        <w:tc>
          <w:tcPr>
            <w:tcW w:w="1838" w:type="dxa"/>
            <w:shd w:val="clear" w:color="auto" w:fill="2F5496" w:themeFill="accent1" w:themeFillShade="BF"/>
          </w:tcPr>
          <w:p w14:paraId="739D5B94" w14:textId="7064A3BD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  <w:r w:rsidR="00F51FB2">
              <w:rPr>
                <w:b/>
                <w:bCs/>
                <w:color w:val="FFFFFF" w:themeColor="background1"/>
              </w:rPr>
              <w:t xml:space="preserve"> / Abbr.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FD5447">
        <w:tc>
          <w:tcPr>
            <w:tcW w:w="1838" w:type="dxa"/>
          </w:tcPr>
          <w:p w14:paraId="6DA67D21" w14:textId="77777777" w:rsidR="008310AF" w:rsidRDefault="008310AF" w:rsidP="00FD544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FD544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FD5447">
        <w:tc>
          <w:tcPr>
            <w:tcW w:w="1838" w:type="dxa"/>
          </w:tcPr>
          <w:p w14:paraId="37446E1D" w14:textId="77777777" w:rsidR="008310AF" w:rsidRDefault="008310AF" w:rsidP="00FD544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FD544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FD5447">
        <w:tc>
          <w:tcPr>
            <w:tcW w:w="1838" w:type="dxa"/>
          </w:tcPr>
          <w:p w14:paraId="1A298907" w14:textId="7ACD4E10" w:rsidR="008310AF" w:rsidRDefault="00F51FB2" w:rsidP="00FD5447">
            <w:pPr>
              <w:jc w:val="both"/>
            </w:pPr>
            <w:r>
              <w:t>CID</w:t>
            </w:r>
          </w:p>
        </w:tc>
        <w:tc>
          <w:tcPr>
            <w:tcW w:w="7512" w:type="dxa"/>
          </w:tcPr>
          <w:p w14:paraId="467A7F06" w14:textId="62CB9F2F" w:rsidR="008310AF" w:rsidRDefault="00F51FB2" w:rsidP="00FD5447">
            <w:pPr>
              <w:jc w:val="both"/>
            </w:pPr>
            <w:r>
              <w:t>Coverity Issue Identification Number</w:t>
            </w: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67601C7E" w:rsidR="008310AF" w:rsidRDefault="00F51FB2" w:rsidP="008310AF">
      <w:pPr>
        <w:pStyle w:val="Heading1"/>
      </w:pPr>
      <w:bookmarkStart w:id="7" w:name="_Toc119932111"/>
      <w:r>
        <w:lastRenderedPageBreak/>
        <w:t>Vulnerability Assessment Report</w:t>
      </w:r>
      <w:bookmarkEnd w:id="7"/>
    </w:p>
    <w:p w14:paraId="6052BF46" w14:textId="38A6AB96" w:rsidR="008310AF" w:rsidRDefault="00F51FB2" w:rsidP="007F601A">
      <w:pPr>
        <w:pStyle w:val="Heading2"/>
        <w:spacing w:after="0" w:line="240" w:lineRule="auto"/>
      </w:pPr>
      <w:bookmarkStart w:id="8" w:name="_Toc119932112"/>
      <w:r>
        <w:t>Recreating the Issue</w:t>
      </w:r>
      <w:bookmarkEnd w:id="8"/>
    </w:p>
    <w:p w14:paraId="6D116757" w14:textId="5BA552A0" w:rsidR="00F51FB2" w:rsidRDefault="00F51FB2" w:rsidP="00F51FB2">
      <w:pPr>
        <w:pStyle w:val="Heading3"/>
        <w:rPr>
          <w:lang w:val="en-US"/>
        </w:rPr>
      </w:pPr>
      <w:bookmarkStart w:id="9" w:name="_Toc119932113"/>
      <w:r>
        <w:rPr>
          <w:lang w:val="en-US"/>
        </w:rPr>
        <w:t>Overview</w:t>
      </w:r>
      <w:bookmarkEnd w:id="9"/>
    </w:p>
    <w:p w14:paraId="188D39F4" w14:textId="189E41BF" w:rsidR="00F267DF" w:rsidRDefault="00951A59" w:rsidP="00F51FB2">
      <w:pPr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A </w:t>
      </w:r>
      <w:proofErr w:type="spellStart"/>
      <w:r>
        <w:rPr>
          <w:rStyle w:val="SubtleEmphasis"/>
          <w:i w:val="0"/>
          <w:iCs w:val="0"/>
        </w:rPr>
        <w:t>string_null</w:t>
      </w:r>
      <w:proofErr w:type="spellEnd"/>
      <w:r>
        <w:rPr>
          <w:rStyle w:val="SubtleEmphasis"/>
          <w:i w:val="0"/>
          <w:iCs w:val="0"/>
        </w:rPr>
        <w:t xml:space="preserve"> is a vulnerability that exists when a string </w:t>
      </w:r>
      <w:proofErr w:type="spellStart"/>
      <w:r>
        <w:rPr>
          <w:rStyle w:val="SubtleEmphasis"/>
          <w:i w:val="0"/>
          <w:iCs w:val="0"/>
        </w:rPr>
        <w:t>varible</w:t>
      </w:r>
      <w:proofErr w:type="spellEnd"/>
      <w:r w:rsidR="005B7A79">
        <w:rPr>
          <w:rStyle w:val="SubtleEmphasis"/>
          <w:i w:val="0"/>
          <w:iCs w:val="0"/>
        </w:rPr>
        <w:t xml:space="preserve"> has been created </w:t>
      </w:r>
      <w:r w:rsidR="001D25CC">
        <w:rPr>
          <w:rStyle w:val="SubtleEmphasis"/>
          <w:i w:val="0"/>
          <w:iCs w:val="0"/>
        </w:rPr>
        <w:t xml:space="preserve">without </w:t>
      </w:r>
      <w:r w:rsidR="00383676">
        <w:rPr>
          <w:rStyle w:val="SubtleEmphasis"/>
          <w:i w:val="0"/>
          <w:iCs w:val="0"/>
        </w:rPr>
        <w:t>assigning a n</w:t>
      </w:r>
      <w:r w:rsidR="002F7A24">
        <w:rPr>
          <w:rStyle w:val="SubtleEmphasis"/>
          <w:i w:val="0"/>
          <w:iCs w:val="0"/>
        </w:rPr>
        <w:t>ull</w:t>
      </w:r>
      <w:r w:rsidR="00A436C8">
        <w:rPr>
          <w:rStyle w:val="SubtleEmphasis"/>
          <w:i w:val="0"/>
          <w:iCs w:val="0"/>
        </w:rPr>
        <w:t xml:space="preserve"> terminator to the end of the string. </w:t>
      </w:r>
      <w:r w:rsidR="008C57E8">
        <w:rPr>
          <w:rStyle w:val="SubtleEmphasis"/>
          <w:i w:val="0"/>
          <w:iCs w:val="0"/>
        </w:rPr>
        <w:t xml:space="preserve"> This pointer wou</w:t>
      </w:r>
      <w:r w:rsidR="00F84C83">
        <w:rPr>
          <w:rStyle w:val="SubtleEmphasis"/>
          <w:i w:val="0"/>
          <w:iCs w:val="0"/>
        </w:rPr>
        <w:t xml:space="preserve">ld normally be used to indicate to the program that it has reached the end of the array (the string of characters). Without it </w:t>
      </w:r>
      <w:r w:rsidR="006748DB">
        <w:rPr>
          <w:rStyle w:val="SubtleEmphasis"/>
          <w:i w:val="0"/>
          <w:iCs w:val="0"/>
        </w:rPr>
        <w:t>the string could potentially cause the program to</w:t>
      </w:r>
      <w:r w:rsidR="003B161E">
        <w:rPr>
          <w:rStyle w:val="SubtleEmphasis"/>
          <w:i w:val="0"/>
          <w:iCs w:val="0"/>
        </w:rPr>
        <w:t xml:space="preserve"> have unexpected looping or overflow effects.</w:t>
      </w:r>
    </w:p>
    <w:p w14:paraId="1E757ABA" w14:textId="092569A8" w:rsidR="00325F1C" w:rsidRDefault="00325F1C" w:rsidP="00F51FB2">
      <w:pPr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This could also be </w:t>
      </w:r>
      <w:proofErr w:type="spellStart"/>
      <w:r>
        <w:rPr>
          <w:rStyle w:val="SubtleEmphasis"/>
          <w:i w:val="0"/>
          <w:iCs w:val="0"/>
        </w:rPr>
        <w:t>labled</w:t>
      </w:r>
      <w:proofErr w:type="spellEnd"/>
      <w:r>
        <w:rPr>
          <w:rStyle w:val="SubtleEmphasis"/>
          <w:i w:val="0"/>
          <w:iCs w:val="0"/>
        </w:rPr>
        <w:t xml:space="preserve"> as a security risk as a string without null termination could </w:t>
      </w:r>
      <w:proofErr w:type="spellStart"/>
      <w:r w:rsidR="001442DD">
        <w:rPr>
          <w:rStyle w:val="SubtleEmphasis"/>
          <w:i w:val="0"/>
          <w:iCs w:val="0"/>
        </w:rPr>
        <w:t>could</w:t>
      </w:r>
      <w:proofErr w:type="spellEnd"/>
      <w:r w:rsidR="001442DD">
        <w:rPr>
          <w:rStyle w:val="SubtleEmphasis"/>
          <w:i w:val="0"/>
          <w:iCs w:val="0"/>
        </w:rPr>
        <w:t xml:space="preserve"> lead to a buffer overflow </w:t>
      </w:r>
      <w:proofErr w:type="spellStart"/>
      <w:r w:rsidR="001442DD">
        <w:rPr>
          <w:rStyle w:val="SubtleEmphasis"/>
          <w:i w:val="0"/>
          <w:iCs w:val="0"/>
        </w:rPr>
        <w:t>condiction</w:t>
      </w:r>
      <w:proofErr w:type="spellEnd"/>
      <w:r w:rsidR="001442DD">
        <w:rPr>
          <w:rStyle w:val="SubtleEmphasis"/>
          <w:i w:val="0"/>
          <w:iCs w:val="0"/>
        </w:rPr>
        <w:t xml:space="preserve"> </w:t>
      </w:r>
      <w:proofErr w:type="gramStart"/>
      <w:r w:rsidR="001442DD">
        <w:rPr>
          <w:rStyle w:val="SubtleEmphasis"/>
          <w:i w:val="0"/>
          <w:iCs w:val="0"/>
        </w:rPr>
        <w:t>would could</w:t>
      </w:r>
      <w:proofErr w:type="gramEnd"/>
      <w:r w:rsidR="001442DD">
        <w:rPr>
          <w:rStyle w:val="SubtleEmphasis"/>
          <w:i w:val="0"/>
          <w:iCs w:val="0"/>
        </w:rPr>
        <w:t xml:space="preserve"> be exploited to execute </w:t>
      </w:r>
      <w:r w:rsidR="00BE11B0">
        <w:rPr>
          <w:rStyle w:val="SubtleEmphasis"/>
          <w:i w:val="0"/>
          <w:iCs w:val="0"/>
        </w:rPr>
        <w:t>arbitrary code.</w:t>
      </w:r>
    </w:p>
    <w:p w14:paraId="71759C3B" w14:textId="77777777" w:rsidR="00F51FB2" w:rsidRDefault="00F51FB2" w:rsidP="00F51FB2">
      <w:pPr>
        <w:pStyle w:val="Heading3"/>
      </w:pPr>
      <w:bookmarkStart w:id="10" w:name="_Toc119932114"/>
      <w:r>
        <w:t>Finding and Observations</w:t>
      </w:r>
      <w:bookmarkEnd w:id="10"/>
    </w:p>
    <w:p w14:paraId="2C60D5A9" w14:textId="77777777" w:rsidR="008F7642" w:rsidRDefault="008F7642" w:rsidP="008F7642"/>
    <w:p w14:paraId="625AABEF" w14:textId="15948282" w:rsidR="008F7642" w:rsidRPr="008F7642" w:rsidRDefault="008F7642" w:rsidP="008F7642">
      <w:r>
        <w:t xml:space="preserve">The </w:t>
      </w:r>
      <w:r w:rsidR="00835CBB">
        <w:t xml:space="preserve">Coverity scan reported the issue when it </w:t>
      </w:r>
      <w:r w:rsidR="00167B89">
        <w:t>noticed that</w:t>
      </w:r>
      <w:r w:rsidR="00A1635A">
        <w:t xml:space="preserve"> the </w:t>
      </w:r>
      <w:proofErr w:type="spellStart"/>
      <w:r w:rsidR="00EE7C5F">
        <w:t>varible</w:t>
      </w:r>
      <w:proofErr w:type="spellEnd"/>
      <w:r w:rsidR="00EE7C5F">
        <w:t xml:space="preserve"> “line” (what it assumed to be a non-null terminated </w:t>
      </w:r>
      <w:r w:rsidR="009730E9">
        <w:t xml:space="preserve">value) was used </w:t>
      </w:r>
      <w:r w:rsidR="00616F54">
        <w:t xml:space="preserve">as an input into the function </w:t>
      </w:r>
      <w:proofErr w:type="spellStart"/>
      <w:r w:rsidR="00616F54">
        <w:t>strcmp</w:t>
      </w:r>
      <w:proofErr w:type="spellEnd"/>
      <w:r w:rsidR="00616F54">
        <w:t>.</w:t>
      </w:r>
    </w:p>
    <w:p w14:paraId="166AF72C" w14:textId="07C00AFF" w:rsidR="00474F21" w:rsidRDefault="008F7642" w:rsidP="00474F21">
      <w:r w:rsidRPr="008F7642">
        <w:drawing>
          <wp:inline distT="0" distB="0" distL="0" distR="0" wp14:anchorId="6D72940D" wp14:editId="5FA6B87F">
            <wp:extent cx="5608806" cy="147840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BAD7" w14:textId="72232531" w:rsidR="00F86438" w:rsidRDefault="00A34EAD" w:rsidP="00474F21">
      <w:r>
        <w:t xml:space="preserve">Looking further into the code we can see that the origin source </w:t>
      </w:r>
      <w:r w:rsidR="001F79E7">
        <w:t xml:space="preserve">is the function </w:t>
      </w:r>
      <w:proofErr w:type="spellStart"/>
      <w:r w:rsidR="000279D0">
        <w:t>recvfrom</w:t>
      </w:r>
      <w:proofErr w:type="spellEnd"/>
      <w:r w:rsidR="000279D0">
        <w:t xml:space="preserve"> that apparently </w:t>
      </w:r>
      <w:r w:rsidR="00761626">
        <w:t>manipulates the value, resulting in</w:t>
      </w:r>
      <w:r w:rsidR="0005242F">
        <w:t xml:space="preserve"> the problematic </w:t>
      </w:r>
      <w:proofErr w:type="spellStart"/>
      <w:r w:rsidR="0005242F">
        <w:t>varible</w:t>
      </w:r>
      <w:proofErr w:type="spellEnd"/>
      <w:r w:rsidR="0005242F">
        <w:t>.</w:t>
      </w:r>
    </w:p>
    <w:p w14:paraId="349000A1" w14:textId="77777777" w:rsidR="00A34EAD" w:rsidRDefault="00A34EAD" w:rsidP="00474F21"/>
    <w:p w14:paraId="7EECFB45" w14:textId="3E06E82A" w:rsidR="00A34EAD" w:rsidRDefault="00A34EAD" w:rsidP="00474F21">
      <w:r w:rsidRPr="00A34EAD">
        <w:drawing>
          <wp:inline distT="0" distB="0" distL="0" distR="0" wp14:anchorId="2A056B73" wp14:editId="2CF7EC9A">
            <wp:extent cx="5182049" cy="7239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BA14" w14:textId="1FD52418" w:rsidR="00382F8C" w:rsidRDefault="000D4805" w:rsidP="00474F21">
      <w:r>
        <w:t>For the issue to be no longer be detected by the scan and to fix the issue</w:t>
      </w:r>
      <w:r w:rsidR="00D1232A">
        <w:t xml:space="preserve"> we would need to modify the function </w:t>
      </w:r>
      <w:proofErr w:type="spellStart"/>
      <w:r w:rsidR="00D1232A">
        <w:t>rec</w:t>
      </w:r>
      <w:r w:rsidR="00B479CA">
        <w:t>vfrom</w:t>
      </w:r>
      <w:proofErr w:type="spellEnd"/>
      <w:r w:rsidR="004246CD">
        <w:t xml:space="preserve"> to null terminate the string when called. </w:t>
      </w:r>
      <w:proofErr w:type="gramStart"/>
      <w:r w:rsidR="004246CD">
        <w:t>However</w:t>
      </w:r>
      <w:proofErr w:type="gramEnd"/>
      <w:r w:rsidR="004246CD">
        <w:t xml:space="preserve"> this is not possible as the function comes from a standard library and should not be modified</w:t>
      </w:r>
    </w:p>
    <w:p w14:paraId="121612CE" w14:textId="4CA3DAD4" w:rsidR="00181071" w:rsidRDefault="00181071" w:rsidP="00474F21">
      <w:r>
        <w:t>‘</w:t>
      </w:r>
      <w:r w:rsidRPr="00181071">
        <w:drawing>
          <wp:inline distT="0" distB="0" distL="0" distR="0" wp14:anchorId="450ECE75" wp14:editId="6413375E">
            <wp:extent cx="4557155" cy="115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6164" w14:textId="6D2A33E0" w:rsidR="00181071" w:rsidRDefault="002638DE" w:rsidP="00474F21">
      <w:r>
        <w:t>However,</w:t>
      </w:r>
      <w:r w:rsidR="00181071">
        <w:t xml:space="preserve"> </w:t>
      </w:r>
      <w:r w:rsidR="00B72E82">
        <w:t xml:space="preserve">when we dug further into the </w:t>
      </w:r>
      <w:r>
        <w:t>code,</w:t>
      </w:r>
      <w:r w:rsidR="00B72E82">
        <w:t xml:space="preserve"> we observed that a method was already present to null terminate the string</w:t>
      </w:r>
      <w:r w:rsidR="001F6A51">
        <w:t>.</w:t>
      </w:r>
    </w:p>
    <w:p w14:paraId="72DC201E" w14:textId="2BAEF71F" w:rsidR="00BE226E" w:rsidRDefault="00BE226E" w:rsidP="00474F21">
      <w:r w:rsidRPr="00BE226E">
        <w:lastRenderedPageBreak/>
        <w:drawing>
          <wp:inline distT="0" distB="0" distL="0" distR="0" wp14:anchorId="724B384D" wp14:editId="4ABBCC38">
            <wp:extent cx="5143946" cy="43437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CA01" w14:textId="02AFBB38" w:rsidR="00BE226E" w:rsidRDefault="00BE226E" w:rsidP="00474F21">
      <w:r>
        <w:t>This line assigned a null pointer to the end of the array ensuring it was null terminated.</w:t>
      </w:r>
      <w:r w:rsidR="00350AA0">
        <w:t xml:space="preserve"> </w:t>
      </w:r>
    </w:p>
    <w:p w14:paraId="6F7F6C86" w14:textId="56ACAAD2" w:rsidR="00350AA0" w:rsidRDefault="00350AA0" w:rsidP="00474F21">
      <w:r>
        <w:t xml:space="preserve">Because this was done after the function call it was </w:t>
      </w:r>
      <w:r w:rsidR="000827E3">
        <w:t xml:space="preserve">not recognised by the system but resolved the vulnerability. From this information we can </w:t>
      </w:r>
      <w:r w:rsidR="00133E28">
        <w:t>assign this detection as a false positive.</w:t>
      </w:r>
    </w:p>
    <w:p w14:paraId="728C41B7" w14:textId="77777777" w:rsidR="00F51FB2" w:rsidRPr="00F51FB2" w:rsidRDefault="00F51FB2" w:rsidP="00F51FB2">
      <w:pPr>
        <w:rPr>
          <w:lang w:val="en-US"/>
        </w:rPr>
      </w:pPr>
    </w:p>
    <w:p w14:paraId="71A7C2A0" w14:textId="77777777" w:rsidR="00133E28" w:rsidRDefault="0043201C" w:rsidP="00133E28">
      <w:pPr>
        <w:pStyle w:val="Heading1"/>
        <w:spacing w:line="240" w:lineRule="auto"/>
      </w:pPr>
      <w:bookmarkStart w:id="11" w:name="_Toc119932120"/>
      <w:r>
        <w:t>Conclusions and Recommendations</w:t>
      </w:r>
      <w:bookmarkEnd w:id="11"/>
    </w:p>
    <w:p w14:paraId="17156261" w14:textId="77777777" w:rsidR="00133E28" w:rsidRDefault="00133E28" w:rsidP="00CF6C70">
      <w:bookmarkStart w:id="12" w:name="_Toc119932121"/>
    </w:p>
    <w:p w14:paraId="1FEE616A" w14:textId="7C428B0D" w:rsidR="00133E28" w:rsidRDefault="00133E28" w:rsidP="00CF6C70">
      <w:r>
        <w:t xml:space="preserve">In conclusion, </w:t>
      </w:r>
      <w:r w:rsidR="00246751">
        <w:t xml:space="preserve">a risk was rightfully detected by the system, however the countermeasure that was already in place was not, </w:t>
      </w:r>
      <w:proofErr w:type="spellStart"/>
      <w:r w:rsidR="00246751">
        <w:t>thefore</w:t>
      </w:r>
      <w:proofErr w:type="spellEnd"/>
      <w:r w:rsidR="00246751">
        <w:t xml:space="preserve"> the </w:t>
      </w:r>
      <w:r w:rsidR="00B9422D">
        <w:t xml:space="preserve">risk was </w:t>
      </w:r>
      <w:proofErr w:type="spellStart"/>
      <w:r w:rsidR="00B9422D">
        <w:t>non existent</w:t>
      </w:r>
      <w:proofErr w:type="spellEnd"/>
      <w:r w:rsidR="00B9422D">
        <w:t xml:space="preserve"> meaning that this CID can be marked as a false positive</w:t>
      </w:r>
    </w:p>
    <w:p w14:paraId="25EC2C02" w14:textId="77777777" w:rsidR="00133E28" w:rsidRDefault="00133E28" w:rsidP="00CF6C70"/>
    <w:p w14:paraId="564D4AD1" w14:textId="77777777" w:rsidR="00133E28" w:rsidRDefault="00133E28" w:rsidP="00CF6C70"/>
    <w:p w14:paraId="1286D741" w14:textId="77777777" w:rsidR="00133E28" w:rsidRDefault="00133E28" w:rsidP="00CF6C70"/>
    <w:p w14:paraId="4B997D5E" w14:textId="77777777" w:rsidR="00133E28" w:rsidRDefault="00133E28" w:rsidP="00CF6C70"/>
    <w:p w14:paraId="6466E664" w14:textId="77777777" w:rsidR="00133E28" w:rsidRDefault="00133E28" w:rsidP="00CF6C70"/>
    <w:p w14:paraId="7CBA9538" w14:textId="77777777" w:rsidR="00133E28" w:rsidRDefault="00133E28" w:rsidP="00CF6C70"/>
    <w:p w14:paraId="79CBCBC2" w14:textId="77777777" w:rsidR="00133E28" w:rsidRDefault="00133E28" w:rsidP="00CF6C70"/>
    <w:p w14:paraId="3F39DD35" w14:textId="77777777" w:rsidR="00133E28" w:rsidRDefault="00133E28" w:rsidP="00CF6C70"/>
    <w:p w14:paraId="47325012" w14:textId="77777777" w:rsidR="00133E28" w:rsidRDefault="00133E28" w:rsidP="00CF6C70"/>
    <w:p w14:paraId="7C504D6E" w14:textId="77777777" w:rsidR="00133E28" w:rsidRDefault="00133E28" w:rsidP="00CF6C70"/>
    <w:p w14:paraId="2B19A963" w14:textId="77777777" w:rsidR="00133E28" w:rsidRDefault="00133E28" w:rsidP="00CF6C70"/>
    <w:p w14:paraId="6DF42D77" w14:textId="77777777" w:rsidR="00133E28" w:rsidRDefault="00133E28" w:rsidP="00CF6C70"/>
    <w:p w14:paraId="1E6B3354" w14:textId="12840659" w:rsidR="0032522D" w:rsidRDefault="00CF6C70" w:rsidP="00CF6C70">
      <w:pPr>
        <w:rPr>
          <w:rStyle w:val="Heading1Char"/>
        </w:rPr>
      </w:pPr>
      <w:r w:rsidRPr="0032522D">
        <w:rPr>
          <w:rStyle w:val="Heading1Char"/>
        </w:rPr>
        <w:t>References</w:t>
      </w:r>
      <w:bookmarkEnd w:id="12"/>
      <w:r>
        <w:br/>
      </w:r>
      <w:r>
        <w:rPr>
          <w:rStyle w:val="SubtleEmphasis"/>
        </w:rPr>
        <w:t xml:space="preserve">Please keep an updated references list in </w:t>
      </w:r>
      <w:r w:rsidR="0032522D">
        <w:rPr>
          <w:rStyle w:val="SubtleEmphasis"/>
        </w:rPr>
        <w:t xml:space="preserve">APA7; The Deakin referencing guide can be found </w:t>
      </w:r>
      <w:hyperlink r:id="rId17" w:history="1">
        <w:r w:rsidR="0032522D" w:rsidRPr="0032522D">
          <w:rPr>
            <w:rStyle w:val="Hyperlink"/>
          </w:rPr>
          <w:t>here</w:t>
        </w:r>
      </w:hyperlink>
      <w:r w:rsidR="0032522D">
        <w:rPr>
          <w:rStyle w:val="SubtleEmphasis"/>
        </w:rPr>
        <w:t>.</w:t>
      </w:r>
      <w:r>
        <w:br/>
      </w:r>
    </w:p>
    <w:p w14:paraId="027FEC58" w14:textId="77777777" w:rsidR="00E9606D" w:rsidRDefault="00E9606D" w:rsidP="00E9606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cwe.mitre.org. (n.d.). 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CWE - CWE-170: Improper Null Termination (4.9)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https://cwe.mitre.org/data/definitions/170.html [Accessed 6 Dec. 2022].</w:t>
      </w:r>
    </w:p>
    <w:p w14:paraId="370BCCA1" w14:textId="77777777" w:rsidR="00DF78F4" w:rsidRDefault="00DF78F4" w:rsidP="00E9606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1F28E8BF" w14:textId="77777777" w:rsidR="002D7430" w:rsidRDefault="00E9606D" w:rsidP="002D743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</w:rPr>
        <w:t>‌</w:t>
      </w:r>
      <w:r w:rsidR="002D7430">
        <w:rPr>
          <w:rFonts w:ascii="Calibri" w:hAnsi="Calibri" w:cs="Calibri"/>
          <w:color w:val="000000"/>
          <w:sz w:val="27"/>
          <w:szCs w:val="27"/>
        </w:rPr>
        <w:t xml:space="preserve">scan7.scan.coverity.com. (n.d.). </w:t>
      </w:r>
      <w:r w:rsidR="002D7430">
        <w:rPr>
          <w:rFonts w:ascii="Calibri" w:hAnsi="Calibri" w:cs="Calibri"/>
          <w:i/>
          <w:iCs/>
          <w:color w:val="000000"/>
          <w:sz w:val="27"/>
          <w:szCs w:val="27"/>
        </w:rPr>
        <w:t>Coverity</w:t>
      </w:r>
      <w:proofErr w:type="gramStart"/>
      <w:r w:rsidR="002D7430">
        <w:rPr>
          <w:rFonts w:ascii="Calibri" w:hAnsi="Calibri" w:cs="Calibri"/>
          <w:i/>
          <w:iCs/>
          <w:color w:val="000000"/>
          <w:sz w:val="27"/>
          <w:szCs w:val="27"/>
        </w:rPr>
        <w:t>® :</w:t>
      </w:r>
      <w:proofErr w:type="gramEnd"/>
      <w:r w:rsidR="002D7430">
        <w:rPr>
          <w:rFonts w:ascii="Calibri" w:hAnsi="Calibri" w:cs="Calibri"/>
          <w:i/>
          <w:iCs/>
          <w:color w:val="000000"/>
          <w:sz w:val="27"/>
          <w:szCs w:val="27"/>
        </w:rPr>
        <w:t>: Sign in</w:t>
      </w:r>
      <w:r w:rsidR="002D7430">
        <w:rPr>
          <w:rFonts w:ascii="Calibri" w:hAnsi="Calibri" w:cs="Calibri"/>
          <w:color w:val="000000"/>
          <w:sz w:val="27"/>
          <w:szCs w:val="27"/>
        </w:rPr>
        <w:t>. [online] Available at: https://scan7.scan.coverity.com/doc/en/cov_checker_ref.html#static_checker_STRING_NULL [Accessed 6 Dec. 2022].</w:t>
      </w:r>
    </w:p>
    <w:p w14:paraId="338A98FD" w14:textId="77777777" w:rsidR="00DF78F4" w:rsidRDefault="00DF78F4" w:rsidP="002D743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16687B6E" w14:textId="77777777" w:rsidR="00DF78F4" w:rsidRDefault="002D7430" w:rsidP="00DF78F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</w:rPr>
        <w:t>‌</w:t>
      </w:r>
      <w:r w:rsidR="00DF78F4">
        <w:rPr>
          <w:rFonts w:ascii="Calibri" w:hAnsi="Calibri" w:cs="Calibri"/>
          <w:color w:val="000000"/>
          <w:sz w:val="27"/>
          <w:szCs w:val="27"/>
        </w:rPr>
        <w:t xml:space="preserve">pubs.opengroup.org. (n.d.). </w:t>
      </w:r>
      <w:proofErr w:type="spellStart"/>
      <w:r w:rsidR="00DF78F4">
        <w:rPr>
          <w:rFonts w:ascii="Calibri" w:hAnsi="Calibri" w:cs="Calibri"/>
          <w:i/>
          <w:iCs/>
          <w:color w:val="000000"/>
          <w:sz w:val="27"/>
          <w:szCs w:val="27"/>
        </w:rPr>
        <w:t>recvfrom</w:t>
      </w:r>
      <w:proofErr w:type="spellEnd"/>
      <w:r w:rsidR="00DF78F4">
        <w:rPr>
          <w:rFonts w:ascii="Calibri" w:hAnsi="Calibri" w:cs="Calibri"/>
          <w:color w:val="000000"/>
          <w:sz w:val="27"/>
          <w:szCs w:val="27"/>
        </w:rPr>
        <w:t>. [online] Available at: https://pubs.opengroup.org/onlinepubs/007904875/functions/recvfrom.html [Accessed 6 Dec. 2022].</w:t>
      </w:r>
    </w:p>
    <w:p w14:paraId="4153D632" w14:textId="77777777" w:rsidR="00DF78F4" w:rsidRDefault="00DF78F4" w:rsidP="00DF78F4">
      <w:pPr>
        <w:pStyle w:val="NormalWeb"/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‌</w:t>
      </w:r>
    </w:p>
    <w:p w14:paraId="7F75B037" w14:textId="484D0E96" w:rsidR="002D7430" w:rsidRDefault="002D7430" w:rsidP="002D7430">
      <w:pPr>
        <w:pStyle w:val="NormalWeb"/>
        <w:shd w:val="clear" w:color="auto" w:fill="FFFFFF"/>
        <w:rPr>
          <w:rFonts w:ascii="Calibri" w:hAnsi="Calibri" w:cs="Calibri"/>
          <w:color w:val="000000"/>
        </w:rPr>
      </w:pPr>
    </w:p>
    <w:p w14:paraId="009A8F1D" w14:textId="60F61D19" w:rsidR="00E9606D" w:rsidRDefault="00E9606D" w:rsidP="00E9606D">
      <w:pPr>
        <w:pStyle w:val="NormalWeb"/>
        <w:shd w:val="clear" w:color="auto" w:fill="FFFFFF"/>
        <w:rPr>
          <w:rFonts w:ascii="Calibri" w:hAnsi="Calibri" w:cs="Calibri"/>
          <w:color w:val="000000"/>
        </w:rPr>
      </w:pPr>
    </w:p>
    <w:p w14:paraId="6C048A7B" w14:textId="77777777" w:rsidR="00C32FC5" w:rsidRDefault="00C32FC5" w:rsidP="00CF6C70">
      <w:pPr>
        <w:rPr>
          <w:rStyle w:val="Heading1Char"/>
        </w:rPr>
      </w:pPr>
    </w:p>
    <w:p w14:paraId="4CD01AFB" w14:textId="468B8620" w:rsidR="0032522D" w:rsidRDefault="0032522D">
      <w:pPr>
        <w:rPr>
          <w:rStyle w:val="Heading1Char"/>
        </w:rPr>
      </w:pPr>
    </w:p>
    <w:p w14:paraId="512CE0C2" w14:textId="119CF0D7" w:rsidR="008310AF" w:rsidRPr="0043201C" w:rsidRDefault="0043201C" w:rsidP="00CF6C70">
      <w:bookmarkStart w:id="13" w:name="_Toc119932122"/>
      <w:r w:rsidRPr="0032522D">
        <w:rPr>
          <w:rStyle w:val="Heading1Char"/>
        </w:rPr>
        <w:t>Appendix</w:t>
      </w:r>
      <w:bookmarkEnd w:id="13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Heading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8310AF">
      <w:headerReference w:type="default" r:id="rId18"/>
      <w:footerReference w:type="default" r:id="rId19"/>
      <w:pgSz w:w="11906" w:h="16838"/>
      <w:pgMar w:top="1440" w:right="1440" w:bottom="1440" w:left="1440" w:header="426" w:footer="11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A53C2" w14:textId="77777777" w:rsidR="00631FFC" w:rsidRDefault="00631FFC" w:rsidP="009924FC">
      <w:pPr>
        <w:spacing w:after="0" w:line="240" w:lineRule="auto"/>
      </w:pPr>
      <w:r>
        <w:separator/>
      </w:r>
    </w:p>
  </w:endnote>
  <w:endnote w:type="continuationSeparator" w:id="0">
    <w:p w14:paraId="713765D0" w14:textId="77777777" w:rsidR="00631FFC" w:rsidRDefault="00631FFC" w:rsidP="009924FC">
      <w:pPr>
        <w:spacing w:after="0" w:line="240" w:lineRule="auto"/>
      </w:pPr>
      <w:r>
        <w:continuationSeparator/>
      </w:r>
    </w:p>
  </w:endnote>
  <w:endnote w:type="continuationNotice" w:id="1">
    <w:p w14:paraId="292950AF" w14:textId="77777777" w:rsidR="00320ACF" w:rsidRDefault="00320A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7100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A04E03" w14:textId="11BE8DC2" w:rsidR="008310AF" w:rsidRDefault="007F601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310AF">
          <w:fldChar w:fldCharType="begin"/>
        </w:r>
        <w:r w:rsidR="008310AF">
          <w:instrText xml:space="preserve"> PAGE   \* MERGEFORMAT </w:instrText>
        </w:r>
        <w:r w:rsidR="008310AF">
          <w:fldChar w:fldCharType="separate"/>
        </w:r>
        <w:r w:rsidR="008310AF">
          <w:rPr>
            <w:noProof/>
          </w:rPr>
          <w:t>2</w:t>
        </w:r>
        <w:r w:rsidR="008310AF">
          <w:rPr>
            <w:noProof/>
          </w:rPr>
          <w:fldChar w:fldCharType="end"/>
        </w:r>
        <w:r w:rsidR="008310AF">
          <w:t xml:space="preserve"> | </w:t>
        </w:r>
        <w:r w:rsidR="008310AF">
          <w:rPr>
            <w:color w:val="7F7F7F" w:themeColor="background1" w:themeShade="7F"/>
            <w:spacing w:val="60"/>
          </w:rPr>
          <w:t>Page</w:t>
        </w:r>
      </w:p>
    </w:sdtContent>
  </w:sdt>
  <w:p w14:paraId="2D40B2A1" w14:textId="7EACE7EE" w:rsidR="008310AF" w:rsidRDefault="00831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A3D62" w14:textId="77777777" w:rsidR="00631FFC" w:rsidRDefault="00631FFC" w:rsidP="009924FC">
      <w:pPr>
        <w:spacing w:after="0" w:line="240" w:lineRule="auto"/>
      </w:pPr>
      <w:r>
        <w:separator/>
      </w:r>
    </w:p>
  </w:footnote>
  <w:footnote w:type="continuationSeparator" w:id="0">
    <w:p w14:paraId="2E3AB852" w14:textId="77777777" w:rsidR="00631FFC" w:rsidRDefault="00631FFC" w:rsidP="009924FC">
      <w:pPr>
        <w:spacing w:after="0" w:line="240" w:lineRule="auto"/>
      </w:pPr>
      <w:r>
        <w:continuationSeparator/>
      </w:r>
    </w:p>
  </w:footnote>
  <w:footnote w:type="continuationNotice" w:id="1">
    <w:p w14:paraId="19350626" w14:textId="77777777" w:rsidR="00320ACF" w:rsidRDefault="00320A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09E44730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="00F51FB2">
      <w:t>Vulnerability Assessment</w:t>
    </w:r>
    <w:r>
      <w:t xml:space="preserve"> </w:t>
    </w:r>
    <w:r w:rsidRPr="007F601A">
      <w:t>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>Trimester 3 |</w:t>
    </w:r>
    <w:r w:rsidRPr="007F601A">
      <w:rPr>
        <w:b/>
        <w:bCs/>
      </w:rPr>
      <w:t xml:space="preserve"> 2022</w:t>
    </w:r>
    <w:r w:rsidRPr="007F601A">
      <w:br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uNaAArW3B8sAAAA"/>
  </w:docVars>
  <w:rsids>
    <w:rsidRoot w:val="009924FC"/>
    <w:rsid w:val="000279D0"/>
    <w:rsid w:val="00037390"/>
    <w:rsid w:val="0005242F"/>
    <w:rsid w:val="000827E3"/>
    <w:rsid w:val="000A419C"/>
    <w:rsid w:val="000D4805"/>
    <w:rsid w:val="000F7D66"/>
    <w:rsid w:val="00133E28"/>
    <w:rsid w:val="001442DD"/>
    <w:rsid w:val="00167B89"/>
    <w:rsid w:val="00181071"/>
    <w:rsid w:val="001D25CC"/>
    <w:rsid w:val="001F6036"/>
    <w:rsid w:val="001F6A51"/>
    <w:rsid w:val="001F79E7"/>
    <w:rsid w:val="002079A7"/>
    <w:rsid w:val="00246751"/>
    <w:rsid w:val="002638DE"/>
    <w:rsid w:val="00271952"/>
    <w:rsid w:val="002B0F49"/>
    <w:rsid w:val="002D7430"/>
    <w:rsid w:val="002F108C"/>
    <w:rsid w:val="002F7A24"/>
    <w:rsid w:val="00320ACF"/>
    <w:rsid w:val="0032522D"/>
    <w:rsid w:val="00325F1C"/>
    <w:rsid w:val="00350AA0"/>
    <w:rsid w:val="00382F8C"/>
    <w:rsid w:val="00383676"/>
    <w:rsid w:val="003B161E"/>
    <w:rsid w:val="003D5B2C"/>
    <w:rsid w:val="004246CD"/>
    <w:rsid w:val="0043201C"/>
    <w:rsid w:val="00474F21"/>
    <w:rsid w:val="004C7135"/>
    <w:rsid w:val="00560CC6"/>
    <w:rsid w:val="005B67ED"/>
    <w:rsid w:val="005B7A79"/>
    <w:rsid w:val="00615F8E"/>
    <w:rsid w:val="00616F54"/>
    <w:rsid w:val="00631FFC"/>
    <w:rsid w:val="00632831"/>
    <w:rsid w:val="006748DB"/>
    <w:rsid w:val="00714745"/>
    <w:rsid w:val="00715987"/>
    <w:rsid w:val="00761626"/>
    <w:rsid w:val="007B390E"/>
    <w:rsid w:val="007F601A"/>
    <w:rsid w:val="008310AF"/>
    <w:rsid w:val="00835CBB"/>
    <w:rsid w:val="008C57E8"/>
    <w:rsid w:val="008C6FED"/>
    <w:rsid w:val="008F7642"/>
    <w:rsid w:val="00951A59"/>
    <w:rsid w:val="00952126"/>
    <w:rsid w:val="009730E9"/>
    <w:rsid w:val="009924FC"/>
    <w:rsid w:val="00A1635A"/>
    <w:rsid w:val="00A34EAD"/>
    <w:rsid w:val="00A436C8"/>
    <w:rsid w:val="00A63421"/>
    <w:rsid w:val="00AB15D9"/>
    <w:rsid w:val="00AF6BD8"/>
    <w:rsid w:val="00B13EBD"/>
    <w:rsid w:val="00B479CA"/>
    <w:rsid w:val="00B72E82"/>
    <w:rsid w:val="00B9422D"/>
    <w:rsid w:val="00BE11B0"/>
    <w:rsid w:val="00BE226E"/>
    <w:rsid w:val="00C32FC5"/>
    <w:rsid w:val="00C66B95"/>
    <w:rsid w:val="00CC2F8C"/>
    <w:rsid w:val="00CC404E"/>
    <w:rsid w:val="00CF6C70"/>
    <w:rsid w:val="00D1232A"/>
    <w:rsid w:val="00D676D3"/>
    <w:rsid w:val="00DE58D4"/>
    <w:rsid w:val="00DF78F4"/>
    <w:rsid w:val="00E261B5"/>
    <w:rsid w:val="00E9606D"/>
    <w:rsid w:val="00EE7C5F"/>
    <w:rsid w:val="00F23A10"/>
    <w:rsid w:val="00F267DF"/>
    <w:rsid w:val="00F51FB2"/>
    <w:rsid w:val="00F64C27"/>
    <w:rsid w:val="00F84C83"/>
    <w:rsid w:val="00F86438"/>
    <w:rsid w:val="00FE5FC2"/>
    <w:rsid w:val="22452843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3D8C4B8B-F7DC-4443-9FAD-68333904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FB2"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F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F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51F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1F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F51FB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E96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hyperlink" Target="https://www.deakin.edu.au/__data/assets/pdf_file/0009/2236752/Deakin-guide-to-APA7.pdf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4.xml><?xml version="1.0" encoding="utf-8"?>
<ds:datastoreItem xmlns:ds="http://schemas.openxmlformats.org/officeDocument/2006/customXml" ds:itemID="{096AD432-20D1-4BA3-925B-3DC01F6F98EE}"/>
</file>

<file path=customXml/itemProps5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992</Words>
  <Characters>5656</Characters>
  <Application>Microsoft Office Word</Application>
  <DocSecurity>0</DocSecurity>
  <Lines>47</Lines>
  <Paragraphs>13</Paragraphs>
  <ScaleCrop>false</ScaleCrop>
  <Company/>
  <LinksUpToDate>false</LinksUpToDate>
  <CharactersWithSpaces>6635</CharactersWithSpaces>
  <SharedDoc>false</SharedDoc>
  <HLinks>
    <vt:vector size="108" baseType="variant">
      <vt:variant>
        <vt:i4>6619230</vt:i4>
      </vt:variant>
      <vt:variant>
        <vt:i4>102</vt:i4>
      </vt:variant>
      <vt:variant>
        <vt:i4>0</vt:i4>
      </vt:variant>
      <vt:variant>
        <vt:i4>5</vt:i4>
      </vt:variant>
      <vt:variant>
        <vt:lpwstr>https://www.deakin.edu.au/__data/assets/pdf_file/0009/2236752/Deakin-guide-to-APA7.pdf</vt:lpwstr>
      </vt:variant>
      <vt:variant>
        <vt:lpwstr/>
      </vt:variant>
      <vt:variant>
        <vt:i4>2031674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_Toc119932122</vt:lpwstr>
      </vt:variant>
      <vt:variant>
        <vt:i4>2031674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_Toc119932121</vt:lpwstr>
      </vt:variant>
      <vt:variant>
        <vt:i4>2031674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_Toc119932120</vt:lpwstr>
      </vt:variant>
      <vt:variant>
        <vt:i4>1835066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_Toc119932119</vt:lpwstr>
      </vt:variant>
      <vt:variant>
        <vt:i4>1835066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_Toc119932118</vt:lpwstr>
      </vt:variant>
      <vt:variant>
        <vt:i4>1835066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_Toc119932117</vt:lpwstr>
      </vt:variant>
      <vt:variant>
        <vt:i4>1835066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_Toc119932116</vt:lpwstr>
      </vt:variant>
      <vt:variant>
        <vt:i4>1835066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_Toc119932115</vt:lpwstr>
      </vt:variant>
      <vt:variant>
        <vt:i4>1835066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_Toc119932114</vt:lpwstr>
      </vt:variant>
      <vt:variant>
        <vt:i4>1835066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_Toc119932113</vt:lpwstr>
      </vt:variant>
      <vt:variant>
        <vt:i4>1835066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_Toc119932112</vt:lpwstr>
      </vt:variant>
      <vt:variant>
        <vt:i4>1835066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_Toc119932111</vt:lpwstr>
      </vt:variant>
      <vt:variant>
        <vt:i4>1835066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_Toc119932110</vt:lpwstr>
      </vt:variant>
      <vt:variant>
        <vt:i4>1900602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_Toc119932109</vt:lpwstr>
      </vt:variant>
      <vt:variant>
        <vt:i4>1900602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_Toc119932108</vt:lpwstr>
      </vt:variant>
      <vt:variant>
        <vt:i4>1900602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_Toc119932107</vt:lpwstr>
      </vt:variant>
      <vt:variant>
        <vt:i4>196691</vt:i4>
      </vt:variant>
      <vt:variant>
        <vt:i4>0</vt:i4>
      </vt:variant>
      <vt:variant>
        <vt:i4>0</vt:i4>
      </vt:variant>
      <vt:variant>
        <vt:i4>5</vt:i4>
      </vt:variant>
      <vt:variant>
        <vt:lpwstr>https://appsource.microsoft.com/en-us/product/office/WA104382008?tab=Overview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Vulnerability Assessment Report</dc:title>
  <dc:subject>Hardhard Enterprises</dc:subject>
  <dc:creator>Luke Collins</dc:creator>
  <cp:keywords/>
  <dc:description/>
  <cp:lastModifiedBy>TRISTEN CLIFTON</cp:lastModifiedBy>
  <cp:revision>74</cp:revision>
  <dcterms:created xsi:type="dcterms:W3CDTF">2022-11-20T02:38:00Z</dcterms:created>
  <dcterms:modified xsi:type="dcterms:W3CDTF">2022-12-06T03:21:00Z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</Properties>
</file>