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84"/>
        <w:gridCol w:w="1385"/>
        <w:gridCol w:w="1790"/>
        <w:gridCol w:w="4457"/>
      </w:tblGrid>
      <w:tr w:rsidR="008310AF" w:rsidRPr="00C55BBE" w14:paraId="3ADBD142" w14:textId="77777777" w:rsidTr="008B5287">
        <w:tc>
          <w:tcPr>
            <w:tcW w:w="1384"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5"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790"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45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8B5287">
        <w:tc>
          <w:tcPr>
            <w:tcW w:w="1384" w:type="dxa"/>
          </w:tcPr>
          <w:p w14:paraId="1DF7A546" w14:textId="62802DD4" w:rsidR="008310AF" w:rsidRDefault="009A15EC" w:rsidP="008310AF">
            <w:pPr>
              <w:jc w:val="center"/>
            </w:pPr>
            <w:r>
              <w:t>5/05/23</w:t>
            </w:r>
          </w:p>
        </w:tc>
        <w:tc>
          <w:tcPr>
            <w:tcW w:w="1385" w:type="dxa"/>
          </w:tcPr>
          <w:p w14:paraId="408C2F2B" w14:textId="116CB452" w:rsidR="008310AF" w:rsidRDefault="440B95C8" w:rsidP="00632907">
            <w:pPr>
              <w:jc w:val="both"/>
            </w:pPr>
            <w:r>
              <w:t>V</w:t>
            </w:r>
            <w:r w:rsidR="006D4E2B">
              <w:t>1.0</w:t>
            </w:r>
          </w:p>
        </w:tc>
        <w:tc>
          <w:tcPr>
            <w:tcW w:w="1790" w:type="dxa"/>
          </w:tcPr>
          <w:p w14:paraId="5CFA5C10" w14:textId="01D3D48A" w:rsidR="008310AF" w:rsidRDefault="009A15EC" w:rsidP="00632907">
            <w:pPr>
              <w:jc w:val="both"/>
            </w:pPr>
            <w:r>
              <w:t>Damon Willmott</w:t>
            </w:r>
          </w:p>
        </w:tc>
        <w:tc>
          <w:tcPr>
            <w:tcW w:w="4457" w:type="dxa"/>
          </w:tcPr>
          <w:p w14:paraId="0BAAAAAE" w14:textId="070A40CF" w:rsidR="008310AF" w:rsidRDefault="009A15EC" w:rsidP="00632907">
            <w:pPr>
              <w:jc w:val="both"/>
            </w:pPr>
            <w:r>
              <w:t>Write Up</w:t>
            </w:r>
          </w:p>
        </w:tc>
      </w:tr>
      <w:tr w:rsidR="008310AF" w14:paraId="7CAAB99E" w14:textId="77777777" w:rsidTr="008B5287">
        <w:tc>
          <w:tcPr>
            <w:tcW w:w="1384" w:type="dxa"/>
          </w:tcPr>
          <w:p w14:paraId="3A953D6B" w14:textId="0C36EA52" w:rsidR="008310AF" w:rsidRDefault="009A15EC" w:rsidP="009A15EC">
            <w:pPr>
              <w:jc w:val="center"/>
            </w:pPr>
            <w:r>
              <w:t>7/05/23</w:t>
            </w:r>
          </w:p>
        </w:tc>
        <w:tc>
          <w:tcPr>
            <w:tcW w:w="1385" w:type="dxa"/>
          </w:tcPr>
          <w:p w14:paraId="0A61FB3B" w14:textId="7B02658A" w:rsidR="008310AF" w:rsidRDefault="006D4E2B" w:rsidP="00632907">
            <w:pPr>
              <w:jc w:val="both"/>
            </w:pPr>
            <w:r>
              <w:t>V1.1</w:t>
            </w:r>
          </w:p>
        </w:tc>
        <w:tc>
          <w:tcPr>
            <w:tcW w:w="1790" w:type="dxa"/>
          </w:tcPr>
          <w:p w14:paraId="6BEFB33D" w14:textId="24BD390A" w:rsidR="008310AF" w:rsidRDefault="009A15EC" w:rsidP="00632907">
            <w:pPr>
              <w:jc w:val="both"/>
            </w:pPr>
            <w:r>
              <w:t>Damon Willmott</w:t>
            </w:r>
          </w:p>
        </w:tc>
        <w:tc>
          <w:tcPr>
            <w:tcW w:w="4457" w:type="dxa"/>
          </w:tcPr>
          <w:p w14:paraId="65BC1CD3" w14:textId="4DC02ADE" w:rsidR="008310AF" w:rsidRDefault="009A15EC" w:rsidP="00632907">
            <w:pPr>
              <w:jc w:val="both"/>
            </w:pPr>
            <w:r>
              <w:t>Completed</w:t>
            </w: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6360D99D" w:rsidR="008310AF" w:rsidRDefault="008310AF" w:rsidP="008310AF">
      <w:pPr>
        <w:jc w:val="both"/>
        <w:rPr>
          <w:b/>
          <w:bCs/>
          <w:i/>
          <w:iCs/>
        </w:rPr>
      </w:pPr>
      <w:r>
        <w:t xml:space="preserve">This static code analysis is limited to the </w:t>
      </w:r>
      <w:r w:rsidR="009A15EC">
        <w:rPr>
          <w:b/>
          <w:bCs/>
          <w:i/>
          <w:iCs/>
        </w:rPr>
        <w:t>Out of bounds access</w:t>
      </w:r>
      <w:r>
        <w:t xml:space="preserve"> type defect identified in the following CIDs:</w:t>
      </w:r>
      <w:r>
        <w:br/>
      </w:r>
      <w:r w:rsidR="009A15EC">
        <w:rPr>
          <w:b/>
          <w:bCs/>
          <w:i/>
          <w:iCs/>
        </w:rPr>
        <w:t>CID 1520728</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9A15EC">
        <w:tc>
          <w:tcPr>
            <w:tcW w:w="1797"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219"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9A15EC">
        <w:tc>
          <w:tcPr>
            <w:tcW w:w="1797" w:type="dxa"/>
          </w:tcPr>
          <w:p w14:paraId="6DA67D21" w14:textId="77777777" w:rsidR="008310AF" w:rsidRDefault="008310AF" w:rsidP="00632907">
            <w:pPr>
              <w:jc w:val="both"/>
            </w:pPr>
            <w:r>
              <w:t>DTN</w:t>
            </w:r>
          </w:p>
        </w:tc>
        <w:tc>
          <w:tcPr>
            <w:tcW w:w="7219" w:type="dxa"/>
          </w:tcPr>
          <w:p w14:paraId="271B5AAB" w14:textId="77777777" w:rsidR="008310AF" w:rsidRDefault="008310AF" w:rsidP="00632907">
            <w:pPr>
              <w:jc w:val="both"/>
            </w:pPr>
            <w:r>
              <w:t>Delay/Disruption Tolerant Network</w:t>
            </w:r>
          </w:p>
        </w:tc>
      </w:tr>
      <w:tr w:rsidR="008310AF" w14:paraId="7794951E" w14:textId="77777777" w:rsidTr="009A15EC">
        <w:tc>
          <w:tcPr>
            <w:tcW w:w="1797" w:type="dxa"/>
          </w:tcPr>
          <w:p w14:paraId="37446E1D" w14:textId="77777777" w:rsidR="008310AF" w:rsidRDefault="008310AF" w:rsidP="00632907">
            <w:pPr>
              <w:jc w:val="both"/>
            </w:pPr>
            <w:r>
              <w:t>ION</w:t>
            </w:r>
          </w:p>
        </w:tc>
        <w:tc>
          <w:tcPr>
            <w:tcW w:w="7219" w:type="dxa"/>
          </w:tcPr>
          <w:p w14:paraId="57411A23" w14:textId="77777777" w:rsidR="008310AF" w:rsidRDefault="008310AF" w:rsidP="00632907">
            <w:pPr>
              <w:jc w:val="both"/>
            </w:pPr>
            <w:r>
              <w:t>Interplanetary Overlay Network</w:t>
            </w:r>
          </w:p>
        </w:tc>
      </w:tr>
      <w:tr w:rsidR="008074E1" w14:paraId="4CDA4D60" w14:textId="77777777" w:rsidTr="009A15EC">
        <w:tc>
          <w:tcPr>
            <w:tcW w:w="1797" w:type="dxa"/>
          </w:tcPr>
          <w:p w14:paraId="4282A908" w14:textId="54291DB4" w:rsidR="008074E1" w:rsidRDefault="008074E1" w:rsidP="00632907">
            <w:pPr>
              <w:jc w:val="both"/>
            </w:pPr>
            <w:r>
              <w:t>BPNM</w:t>
            </w:r>
          </w:p>
        </w:tc>
        <w:tc>
          <w:tcPr>
            <w:tcW w:w="7219" w:type="dxa"/>
          </w:tcPr>
          <w:p w14:paraId="299B7B6A" w14:textId="283838C8" w:rsidR="008074E1" w:rsidRDefault="008074E1" w:rsidP="00632907">
            <w:pPr>
              <w:jc w:val="both"/>
            </w:pPr>
            <w:r>
              <w:t>Bundle Protocol Naming Module</w:t>
            </w:r>
          </w:p>
        </w:tc>
      </w:tr>
      <w:tr w:rsidR="00665A07" w14:paraId="56C8950C" w14:textId="77777777" w:rsidTr="009A15EC">
        <w:tc>
          <w:tcPr>
            <w:tcW w:w="1797" w:type="dxa"/>
          </w:tcPr>
          <w:p w14:paraId="1A821ED4" w14:textId="30B7C01D" w:rsidR="00665A07" w:rsidRDefault="00665A07" w:rsidP="00632907">
            <w:pPr>
              <w:jc w:val="both"/>
            </w:pPr>
            <w:r>
              <w:t>PSM</w:t>
            </w:r>
          </w:p>
        </w:tc>
        <w:tc>
          <w:tcPr>
            <w:tcW w:w="7219" w:type="dxa"/>
          </w:tcPr>
          <w:p w14:paraId="0CE5610B" w14:textId="3CAA9FAF" w:rsidR="00665A07" w:rsidRDefault="00665A07" w:rsidP="00632907">
            <w:pPr>
              <w:jc w:val="both"/>
            </w:pPr>
            <w:r>
              <w:t>Personal Space Memory</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6A982F0E" w14:textId="032FFE37" w:rsidR="007F601A" w:rsidRPr="009A15EC" w:rsidRDefault="009A15EC" w:rsidP="0043201C">
      <w:pPr>
        <w:rPr>
          <w:rStyle w:val="SubtleEmphasis"/>
          <w:i w:val="0"/>
          <w:iCs w:val="0"/>
        </w:rPr>
      </w:pPr>
      <w:r>
        <w:rPr>
          <w:rStyle w:val="SubtleEmphasis"/>
          <w:i w:val="0"/>
          <w:iCs w:val="0"/>
        </w:rPr>
        <w:t xml:space="preserve">Coverity identifies CID-1520728 as a </w:t>
      </w:r>
      <w:r>
        <w:rPr>
          <w:rStyle w:val="SubtleEmphasis"/>
          <w:b/>
          <w:bCs/>
          <w:i w:val="0"/>
          <w:iCs w:val="0"/>
        </w:rPr>
        <w:t>High Impact</w:t>
      </w:r>
      <w:r>
        <w:rPr>
          <w:rStyle w:val="SubtleEmphasis"/>
          <w:i w:val="0"/>
          <w:iCs w:val="0"/>
        </w:rPr>
        <w:t xml:space="preserve"> quality </w:t>
      </w:r>
      <w:proofErr w:type="gramStart"/>
      <w:r>
        <w:rPr>
          <w:rStyle w:val="SubtleEmphasis"/>
          <w:i w:val="0"/>
          <w:iCs w:val="0"/>
        </w:rPr>
        <w:t>vulnerability, and</w:t>
      </w:r>
      <w:proofErr w:type="gramEnd"/>
      <w:r>
        <w:rPr>
          <w:rStyle w:val="SubtleEmphasis"/>
          <w:i w:val="0"/>
          <w:iCs w:val="0"/>
        </w:rPr>
        <w:t xml:space="preserve"> is labelled as an </w:t>
      </w:r>
      <w:r w:rsidRPr="008B4CED">
        <w:rPr>
          <w:rStyle w:val="SubtleEmphasis"/>
          <w:b/>
          <w:bCs/>
          <w:i w:val="0"/>
          <w:iCs w:val="0"/>
        </w:rPr>
        <w:t>Out of</w:t>
      </w:r>
      <w:r>
        <w:rPr>
          <w:rStyle w:val="SubtleEmphasis"/>
          <w:b/>
          <w:bCs/>
          <w:i w:val="0"/>
          <w:iCs w:val="0"/>
        </w:rPr>
        <w:t xml:space="preserve"> Bounds</w:t>
      </w:r>
      <w:r>
        <w:rPr>
          <w:rStyle w:val="SubtleEmphasis"/>
          <w:i w:val="0"/>
          <w:iCs w:val="0"/>
        </w:rPr>
        <w:t xml:space="preserve"> access error, also known as a buffer overflow error. This implies the that the code is trying to access memory outside of an allocated buffer. This usually occurs when the data is somehow given the ability to read and write data from a memory location outside of its intended boundaries/buffer.</w:t>
      </w:r>
    </w:p>
    <w:p w14:paraId="218AF9A3" w14:textId="5B4CB7BC" w:rsidR="008310AF" w:rsidRDefault="008310AF" w:rsidP="007F601A">
      <w:pPr>
        <w:pStyle w:val="Heading2"/>
        <w:spacing w:after="0" w:line="240" w:lineRule="auto"/>
      </w:pPr>
      <w:bookmarkStart w:id="9" w:name="_Toc119848730"/>
      <w:r>
        <w:t>Observations</w:t>
      </w:r>
      <w:bookmarkEnd w:id="9"/>
    </w:p>
    <w:p w14:paraId="29319E23" w14:textId="7BB919E6" w:rsidR="0043201C" w:rsidRPr="008B7273" w:rsidRDefault="008074E1" w:rsidP="0043201C">
      <w:pPr>
        <w:rPr>
          <w:rStyle w:val="SubtleEmphasis"/>
          <w:i w:val="0"/>
          <w:iCs w:val="0"/>
          <w:color w:val="auto"/>
          <w:lang w:val="en-US"/>
        </w:rPr>
      </w:pPr>
      <w:r w:rsidRPr="008B4CED">
        <w:rPr>
          <w:rStyle w:val="SubtleEmphasis"/>
          <w:i w:val="0"/>
          <w:iCs w:val="0"/>
        </w:rPr>
        <w:t xml:space="preserve">The issue </w:t>
      </w:r>
      <w:r>
        <w:rPr>
          <w:rStyle w:val="SubtleEmphasis"/>
          <w:i w:val="0"/>
          <w:iCs w:val="0"/>
        </w:rPr>
        <w:t xml:space="preserve">can be found in the </w:t>
      </w:r>
      <w:proofErr w:type="spellStart"/>
      <w:r w:rsidRPr="008074E1">
        <w:rPr>
          <w:rStyle w:val="ng-binding"/>
          <w:i/>
          <w:iCs/>
          <w:color w:val="2F5496" w:themeColor="accent1" w:themeShade="BF"/>
        </w:rPr>
        <w:t>bpnm_endpointNames_get</w:t>
      </w:r>
      <w:proofErr w:type="spellEnd"/>
      <w:r w:rsidRPr="008074E1">
        <w:rPr>
          <w:rStyle w:val="ng-binding"/>
          <w:color w:val="2F5496" w:themeColor="accent1" w:themeShade="BF"/>
        </w:rPr>
        <w:t xml:space="preserve"> </w:t>
      </w:r>
      <w:r>
        <w:rPr>
          <w:rStyle w:val="SubtleEmphasis"/>
          <w:i w:val="0"/>
          <w:iCs w:val="0"/>
        </w:rPr>
        <w:t>function in the /bpv7/library/</w:t>
      </w:r>
      <w:proofErr w:type="spellStart"/>
      <w:r>
        <w:rPr>
          <w:rStyle w:val="SubtleEmphasis"/>
          <w:i w:val="0"/>
          <w:iCs w:val="0"/>
        </w:rPr>
        <w:t>libbpnm.c</w:t>
      </w:r>
      <w:proofErr w:type="spellEnd"/>
      <w:r>
        <w:rPr>
          <w:rStyle w:val="SubtleEmphasis"/>
          <w:i w:val="0"/>
          <w:iCs w:val="0"/>
        </w:rPr>
        <w:t xml:space="preserve"> file directory of Bundle Protocol 7. Whilst there is little to no documentation indicating what this function does, it can be deduced it might play a role within NASA ION’s Bundle Protocol Naming Module (BPNM), where it may retrieve the names of endpoints associated with the BPNM</w:t>
      </w:r>
      <w:r w:rsidR="00085ADC">
        <w:rPr>
          <w:rStyle w:val="SubtleEmphasis"/>
          <w:i w:val="0"/>
          <w:iCs w:val="0"/>
        </w:rPr>
        <w:t>, which could be related to the network addresses or identifies used for communication and routing within the Bundle Protocol Network</w:t>
      </w:r>
      <w:r>
        <w:rPr>
          <w:rStyle w:val="SubtleEmphasis"/>
          <w:i w:val="0"/>
          <w:iCs w:val="0"/>
        </w:rPr>
        <w:t>. As with many of the other out-of-bounds access errors in Bundle Protocol 7, a value is being passed without being properly validated, and in this case the value being passed (</w:t>
      </w:r>
      <w:r w:rsidRPr="00DC17E8">
        <w:rPr>
          <w:rStyle w:val="SubtleEmphasis"/>
          <w:i w:val="0"/>
          <w:iCs w:val="0"/>
        </w:rPr>
        <w:t>18446744073709551615</w:t>
      </w:r>
      <w:r>
        <w:rPr>
          <w:rStyle w:val="SubtleEmphasis"/>
          <w:i w:val="0"/>
          <w:iCs w:val="0"/>
        </w:rPr>
        <w:t>) is larger than the specifications of the buffer and is too large to be handled by an element index, which is causing the overflow of the allocated memory.</w:t>
      </w:r>
      <w:r w:rsidR="00EE1693">
        <w:rPr>
          <w:rStyle w:val="SubtleEmphasis"/>
          <w:i w:val="0"/>
          <w:iCs w:val="0"/>
        </w:rPr>
        <w:br/>
      </w:r>
      <w:r w:rsidR="00EE1693">
        <w:rPr>
          <w:rStyle w:val="SubtleEmphasis"/>
          <w:i w:val="0"/>
          <w:iCs w:val="0"/>
        </w:rPr>
        <w:br/>
        <w:t xml:space="preserve">This CID error is very similar to other such Out of Bounds access errors identified within Bundle Protocol 7. Within the validation of the code, the </w:t>
      </w:r>
      <w:proofErr w:type="spellStart"/>
      <w:r w:rsidR="00EE1693">
        <w:rPr>
          <w:rStyle w:val="SubtleEmphasis"/>
          <w:i w:val="0"/>
          <w:iCs w:val="0"/>
        </w:rPr>
        <w:t>valule</w:t>
      </w:r>
      <w:proofErr w:type="spellEnd"/>
      <w:r w:rsidR="00EE1693">
        <w:rPr>
          <w:rStyle w:val="SubtleEmphasis"/>
          <w:i w:val="0"/>
          <w:iCs w:val="0"/>
        </w:rPr>
        <w:t xml:space="preserve"> </w:t>
      </w:r>
      <w:proofErr w:type="spellStart"/>
      <w:r w:rsidR="00EE1693" w:rsidRPr="00EE1693">
        <w:rPr>
          <w:rStyle w:val="SubtleEmphasis"/>
          <w:color w:val="2F5496" w:themeColor="accent1" w:themeShade="BF"/>
        </w:rPr>
        <w:t>elt</w:t>
      </w:r>
      <w:proofErr w:type="spellEnd"/>
      <w:r w:rsidR="00EE1693" w:rsidRPr="00EE1693">
        <w:rPr>
          <w:rStyle w:val="SubtleEmphasis"/>
          <w:color w:val="2F5496" w:themeColor="accent1" w:themeShade="BF"/>
        </w:rPr>
        <w:t xml:space="preserve"> </w:t>
      </w:r>
      <w:r w:rsidR="00EE1693">
        <w:rPr>
          <w:rStyle w:val="SubtleEmphasis"/>
          <w:i w:val="0"/>
          <w:iCs w:val="0"/>
          <w:color w:val="auto"/>
        </w:rPr>
        <w:t xml:space="preserve">(which is parsed to the element index </w:t>
      </w:r>
      <w:proofErr w:type="spellStart"/>
      <w:r w:rsidR="00EE1693" w:rsidRPr="00EE1693">
        <w:rPr>
          <w:rStyle w:val="SubtleEmphasis"/>
          <w:color w:val="2F5496" w:themeColor="accent1" w:themeShade="BF"/>
        </w:rPr>
        <w:t>schemeElt</w:t>
      </w:r>
      <w:proofErr w:type="spellEnd"/>
      <w:r w:rsidR="00EE1693">
        <w:rPr>
          <w:rStyle w:val="SubtleEmphasis"/>
          <w:i w:val="0"/>
          <w:iCs w:val="0"/>
          <w:color w:val="auto"/>
        </w:rPr>
        <w:t xml:space="preserve"> in this </w:t>
      </w:r>
      <w:proofErr w:type="gramStart"/>
      <w:r w:rsidR="00EE1693">
        <w:rPr>
          <w:rStyle w:val="SubtleEmphasis"/>
          <w:i w:val="0"/>
          <w:iCs w:val="0"/>
          <w:color w:val="auto"/>
        </w:rPr>
        <w:t>particular CID</w:t>
      </w:r>
      <w:proofErr w:type="gramEnd"/>
      <w:r w:rsidR="00665A07">
        <w:rPr>
          <w:rStyle w:val="SubtleEmphasis"/>
          <w:i w:val="0"/>
          <w:iCs w:val="0"/>
          <w:color w:val="auto"/>
        </w:rPr>
        <w:t>) refers to the</w:t>
      </w:r>
      <w:r w:rsidR="00EE1693">
        <w:rPr>
          <w:rStyle w:val="SubtleEmphasis"/>
          <w:i w:val="0"/>
          <w:iCs w:val="0"/>
          <w:color w:val="auto"/>
        </w:rPr>
        <w:t xml:space="preserve"> </w:t>
      </w:r>
      <w:proofErr w:type="spellStart"/>
      <w:r w:rsidR="00EE1693">
        <w:rPr>
          <w:rStyle w:val="SubtleEmphasis"/>
          <w:i w:val="0"/>
          <w:iCs w:val="0"/>
          <w:color w:val="auto"/>
        </w:rPr>
        <w:t>PSMAddress</w:t>
      </w:r>
      <w:proofErr w:type="spellEnd"/>
      <w:r w:rsidR="00665A07">
        <w:rPr>
          <w:rStyle w:val="SubtleEmphasis"/>
          <w:i w:val="0"/>
          <w:iCs w:val="0"/>
          <w:color w:val="auto"/>
        </w:rPr>
        <w:t xml:space="preserve">, which specifies the personal space memory that is defined within the code, and </w:t>
      </w:r>
      <w:proofErr w:type="spellStart"/>
      <w:r w:rsidR="00665A07">
        <w:rPr>
          <w:rStyle w:val="SubtleEmphasis"/>
          <w:color w:val="2F5496" w:themeColor="accent1" w:themeShade="BF"/>
        </w:rPr>
        <w:t>elt</w:t>
      </w:r>
      <w:proofErr w:type="spellEnd"/>
      <w:r w:rsidR="00665A07">
        <w:rPr>
          <w:rStyle w:val="SubtleEmphasis"/>
          <w:color w:val="2F5496" w:themeColor="accent1" w:themeShade="BF"/>
        </w:rPr>
        <w:t xml:space="preserve"> </w:t>
      </w:r>
      <w:r w:rsidR="00665A07">
        <w:rPr>
          <w:rStyle w:val="SubtleEmphasis"/>
          <w:i w:val="0"/>
          <w:iCs w:val="0"/>
          <w:color w:val="auto"/>
        </w:rPr>
        <w:t xml:space="preserve">is used to specify the specific memory that is being addressed. Within the function </w:t>
      </w:r>
      <w:proofErr w:type="spellStart"/>
      <w:r w:rsidR="00665A07" w:rsidRPr="00665A07">
        <w:rPr>
          <w:rStyle w:val="SubtleEmphasis"/>
          <w:color w:val="2F5496" w:themeColor="accent1" w:themeShade="BF"/>
        </w:rPr>
        <w:t>sm_list_first</w:t>
      </w:r>
      <w:proofErr w:type="spellEnd"/>
      <w:r w:rsidR="00665A07" w:rsidRPr="00665A07">
        <w:rPr>
          <w:rStyle w:val="SubtleEmphasis"/>
          <w:i w:val="0"/>
          <w:iCs w:val="0"/>
          <w:color w:val="2F5496" w:themeColor="accent1" w:themeShade="BF"/>
        </w:rPr>
        <w:t xml:space="preserve"> </w:t>
      </w:r>
      <w:r w:rsidR="00665A07">
        <w:rPr>
          <w:rStyle w:val="SubtleEmphasis"/>
          <w:i w:val="0"/>
          <w:iCs w:val="0"/>
          <w:color w:val="auto"/>
        </w:rPr>
        <w:t xml:space="preserve">there is a value called </w:t>
      </w:r>
      <w:proofErr w:type="spellStart"/>
      <w:r w:rsidR="00665A07" w:rsidRPr="00665A07">
        <w:rPr>
          <w:rStyle w:val="SubtleEmphasis"/>
          <w:color w:val="2F5496" w:themeColor="accent1" w:themeShade="BF"/>
        </w:rPr>
        <w:t>eltbuffer</w:t>
      </w:r>
      <w:proofErr w:type="spellEnd"/>
      <w:r w:rsidR="00665A07">
        <w:rPr>
          <w:rStyle w:val="SubtleEmphasis"/>
          <w:i w:val="0"/>
          <w:iCs w:val="0"/>
          <w:color w:val="auto"/>
        </w:rPr>
        <w:t xml:space="preserve">, </w:t>
      </w:r>
      <w:r w:rsidR="00665A07" w:rsidRPr="00665A07">
        <w:rPr>
          <w:rStyle w:val="SubtleEmphasis"/>
          <w:i w:val="0"/>
          <w:iCs w:val="0"/>
          <w:color w:val="auto"/>
        </w:rPr>
        <w:t>which</w:t>
      </w:r>
      <w:r w:rsidR="00665A07">
        <w:rPr>
          <w:rStyle w:val="SubtleEmphasis"/>
          <w:i w:val="0"/>
          <w:iCs w:val="0"/>
          <w:color w:val="auto"/>
        </w:rPr>
        <w:t xml:space="preserve"> utilises the parameters </w:t>
      </w:r>
      <w:proofErr w:type="spellStart"/>
      <w:r w:rsidR="00665A07" w:rsidRPr="00665A07">
        <w:rPr>
          <w:rStyle w:val="SubtleEmphasis"/>
          <w:color w:val="2F5496" w:themeColor="accent1" w:themeShade="BF"/>
        </w:rPr>
        <w:t>elt</w:t>
      </w:r>
      <w:proofErr w:type="spellEnd"/>
      <w:r w:rsidR="00665A07" w:rsidRPr="00665A07">
        <w:rPr>
          <w:rStyle w:val="SubtleEmphasis"/>
          <w:i w:val="0"/>
          <w:iCs w:val="0"/>
          <w:color w:val="2F5496" w:themeColor="accent1" w:themeShade="BF"/>
        </w:rPr>
        <w:t xml:space="preserve"> </w:t>
      </w:r>
      <w:r w:rsidR="00665A07">
        <w:rPr>
          <w:rStyle w:val="SubtleEmphasis"/>
          <w:i w:val="0"/>
          <w:iCs w:val="0"/>
          <w:color w:val="auto"/>
        </w:rPr>
        <w:t xml:space="preserve">and </w:t>
      </w:r>
      <w:r w:rsidR="00665A07" w:rsidRPr="00665A07">
        <w:rPr>
          <w:rStyle w:val="SubtleEmphasis"/>
          <w:color w:val="2F5496" w:themeColor="accent1" w:themeShade="BF"/>
        </w:rPr>
        <w:t>partition</w:t>
      </w:r>
      <w:r w:rsidR="00665A07" w:rsidRPr="00665A07">
        <w:rPr>
          <w:rStyle w:val="SubtleEmphasis"/>
          <w:color w:val="auto"/>
        </w:rPr>
        <w:t xml:space="preserve">, </w:t>
      </w:r>
      <w:r w:rsidR="00665A07" w:rsidRPr="00665A07">
        <w:rPr>
          <w:rStyle w:val="SubtleEmphasis"/>
          <w:i w:val="0"/>
          <w:iCs w:val="0"/>
          <w:color w:val="auto"/>
        </w:rPr>
        <w:t>which is what validates whether the value is within the defined limits of the buffer.</w:t>
      </w:r>
      <w:r w:rsidR="00AF03A8">
        <w:rPr>
          <w:rStyle w:val="SubtleEmphasis"/>
          <w:i w:val="0"/>
          <w:iCs w:val="0"/>
          <w:color w:val="auto"/>
        </w:rPr>
        <w:t xml:space="preserve"> </w:t>
      </w:r>
      <w:r w:rsidR="008B7273">
        <w:rPr>
          <w:rStyle w:val="SubtleEmphasis"/>
          <w:i w:val="0"/>
          <w:iCs w:val="0"/>
          <w:color w:val="auto"/>
        </w:rPr>
        <w:t xml:space="preserve">However, because the value of </w:t>
      </w:r>
      <w:proofErr w:type="spellStart"/>
      <w:r w:rsidR="008B7273">
        <w:rPr>
          <w:rStyle w:val="SubtleEmphasis"/>
          <w:i w:val="0"/>
          <w:iCs w:val="0"/>
          <w:color w:val="auto"/>
        </w:rPr>
        <w:t>elt</w:t>
      </w:r>
      <w:proofErr w:type="spellEnd"/>
      <w:r w:rsidR="008B7273">
        <w:rPr>
          <w:rStyle w:val="SubtleEmphasis"/>
          <w:i w:val="0"/>
          <w:iCs w:val="0"/>
          <w:color w:val="auto"/>
        </w:rPr>
        <w:t xml:space="preserve"> is so large (</w:t>
      </w:r>
      <w:r w:rsidR="008B7273" w:rsidRPr="00DC17E8">
        <w:rPr>
          <w:rStyle w:val="SubtleEmphasis"/>
          <w:i w:val="0"/>
          <w:iCs w:val="0"/>
        </w:rPr>
        <w:t>18446744073709551615</w:t>
      </w:r>
      <w:r w:rsidR="008B7273">
        <w:rPr>
          <w:rStyle w:val="SubtleEmphasis"/>
          <w:i w:val="0"/>
          <w:iCs w:val="0"/>
        </w:rPr>
        <w:t>),</w:t>
      </w:r>
      <w:r w:rsidR="008B7273">
        <w:rPr>
          <w:rStyle w:val="SubtleEmphasis"/>
          <w:i w:val="0"/>
          <w:iCs w:val="0"/>
          <w:color w:val="auto"/>
        </w:rPr>
        <w:t xml:space="preserve"> </w:t>
      </w:r>
      <w:r w:rsidR="000D69F7">
        <w:rPr>
          <w:rStyle w:val="SubtleEmphasis"/>
          <w:i w:val="0"/>
          <w:iCs w:val="0"/>
          <w:color w:val="auto"/>
        </w:rPr>
        <w:t>the</w:t>
      </w:r>
      <w:r w:rsidR="00AF03A8">
        <w:rPr>
          <w:rStyle w:val="SubtleEmphasis"/>
          <w:i w:val="0"/>
          <w:iCs w:val="0"/>
          <w:color w:val="auto"/>
        </w:rPr>
        <w:t xml:space="preserve"> validation error occurs because th</w:t>
      </w:r>
      <w:r w:rsidR="000D69F7">
        <w:rPr>
          <w:rStyle w:val="SubtleEmphasis"/>
          <w:i w:val="0"/>
          <w:iCs w:val="0"/>
          <w:color w:val="auto"/>
        </w:rPr>
        <w:t>e program is trying to access memory outside the allocated buffer</w:t>
      </w:r>
      <w:r w:rsidR="008B7273">
        <w:rPr>
          <w:rStyle w:val="SubtleEmphasis"/>
          <w:i w:val="0"/>
          <w:iCs w:val="0"/>
          <w:color w:val="auto"/>
        </w:rPr>
        <w:t xml:space="preserve">, which is specified in </w:t>
      </w:r>
      <w:proofErr w:type="spellStart"/>
      <w:r w:rsidR="008B7273" w:rsidRPr="008B7273">
        <w:rPr>
          <w:rStyle w:val="SubtleEmphasis"/>
          <w:color w:val="2F5496" w:themeColor="accent1" w:themeShade="BF"/>
        </w:rPr>
        <w:t>sm_list_data</w:t>
      </w:r>
      <w:proofErr w:type="spellEnd"/>
      <w:r w:rsidR="008B7273">
        <w:rPr>
          <w:rStyle w:val="SubtleEmphasis"/>
          <w:color w:val="2F5496" w:themeColor="accent1" w:themeShade="BF"/>
        </w:rPr>
        <w:t xml:space="preserve">, </w:t>
      </w:r>
      <w:r w:rsidR="008B7273">
        <w:rPr>
          <w:rStyle w:val="SubtleEmphasis"/>
          <w:i w:val="0"/>
          <w:iCs w:val="0"/>
          <w:color w:val="auto"/>
        </w:rPr>
        <w:t>causing the out-of-bounds access error</w:t>
      </w:r>
    </w:p>
    <w:p w14:paraId="53E049B3" w14:textId="2A0D74E5" w:rsidR="007F601A" w:rsidRDefault="00AF03A8" w:rsidP="007F601A">
      <w:pPr>
        <w:pStyle w:val="Heading2"/>
        <w:spacing w:after="0" w:line="240" w:lineRule="auto"/>
      </w:pPr>
      <w:bookmarkStart w:id="10" w:name="_Toc119848731"/>
      <w:r w:rsidRPr="009116E6">
        <w:rPr>
          <w:rStyle w:val="SubtleEmphasis"/>
          <w:i w:val="0"/>
          <w:iCs w:val="0"/>
          <w:noProof/>
          <w:color w:val="2F5496" w:themeColor="accent1" w:themeShade="BF"/>
        </w:rPr>
        <w:drawing>
          <wp:anchor distT="0" distB="0" distL="114300" distR="114300" simplePos="0" relativeHeight="251659265" behindDoc="0" locked="0" layoutInCell="1" allowOverlap="1" wp14:anchorId="72837927" wp14:editId="59F2FBB8">
            <wp:simplePos x="0" y="0"/>
            <wp:positionH relativeFrom="margin">
              <wp:align>center</wp:align>
            </wp:positionH>
            <wp:positionV relativeFrom="paragraph">
              <wp:posOffset>268605</wp:posOffset>
            </wp:positionV>
            <wp:extent cx="5172075" cy="125603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2075" cy="1256030"/>
                    </a:xfrm>
                    <a:prstGeom prst="rect">
                      <a:avLst/>
                    </a:prstGeom>
                  </pic:spPr>
                </pic:pic>
              </a:graphicData>
            </a:graphic>
            <wp14:sizeRelH relativeFrom="margin">
              <wp14:pctWidth>0</wp14:pctWidth>
            </wp14:sizeRelH>
            <wp14:sizeRelV relativeFrom="margin">
              <wp14:pctHeight>0</wp14:pctHeight>
            </wp14:sizeRelV>
          </wp:anchor>
        </w:drawing>
      </w:r>
      <w:r w:rsidR="008310AF">
        <w:t>Supporting Evidence</w:t>
      </w:r>
      <w:bookmarkEnd w:id="10"/>
      <w:r w:rsidR="008310AF">
        <w:tab/>
      </w:r>
    </w:p>
    <w:p w14:paraId="3E1F7C6B" w14:textId="0CE6AE8E" w:rsidR="0043201C" w:rsidRDefault="006A0F24" w:rsidP="009116E6">
      <w:pPr>
        <w:spacing w:line="240" w:lineRule="auto"/>
        <w:jc w:val="center"/>
        <w:rPr>
          <w:rStyle w:val="SubtleEmphasis"/>
          <w:i w:val="0"/>
          <w:iCs w:val="0"/>
          <w:color w:val="2F5496" w:themeColor="accent1" w:themeShade="BF"/>
          <w:sz w:val="16"/>
          <w:szCs w:val="16"/>
          <w:lang w:val="en-US"/>
        </w:rPr>
      </w:pPr>
      <w:r w:rsidRPr="00665A07">
        <w:rPr>
          <w:rStyle w:val="SubtleEmphasis"/>
          <w:i w:val="0"/>
          <w:iCs w:val="0"/>
          <w:noProof/>
          <w:color w:val="2F5496" w:themeColor="accent1" w:themeShade="BF"/>
          <w:sz w:val="16"/>
          <w:szCs w:val="16"/>
          <w:lang w:val="en-US"/>
        </w:rPr>
        <w:drawing>
          <wp:anchor distT="0" distB="0" distL="114300" distR="114300" simplePos="0" relativeHeight="251660289" behindDoc="0" locked="0" layoutInCell="1" allowOverlap="1" wp14:anchorId="6B567D84" wp14:editId="223AF40D">
            <wp:simplePos x="0" y="0"/>
            <wp:positionH relativeFrom="margin">
              <wp:posOffset>1277620</wp:posOffset>
            </wp:positionH>
            <wp:positionV relativeFrom="paragraph">
              <wp:posOffset>1549400</wp:posOffset>
            </wp:positionV>
            <wp:extent cx="3049905" cy="1828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9905" cy="1828800"/>
                    </a:xfrm>
                    <a:prstGeom prst="rect">
                      <a:avLst/>
                    </a:prstGeom>
                  </pic:spPr>
                </pic:pic>
              </a:graphicData>
            </a:graphic>
            <wp14:sizeRelH relativeFrom="margin">
              <wp14:pctWidth>0</wp14:pctWidth>
            </wp14:sizeRelH>
            <wp14:sizeRelV relativeFrom="margin">
              <wp14:pctHeight>0</wp14:pctHeight>
            </wp14:sizeRelV>
          </wp:anchor>
        </w:drawing>
      </w:r>
      <w:r w:rsidR="009116E6">
        <w:rPr>
          <w:rStyle w:val="SubtleEmphasis"/>
          <w:i w:val="0"/>
          <w:iCs w:val="0"/>
          <w:color w:val="2F5496" w:themeColor="accent1" w:themeShade="BF"/>
          <w:sz w:val="16"/>
          <w:szCs w:val="16"/>
          <w:lang w:val="en-US"/>
        </w:rPr>
        <w:t>Fig. 1. Coverity static analysis results</w:t>
      </w:r>
    </w:p>
    <w:p w14:paraId="400D629C" w14:textId="5A6918BB" w:rsidR="00AF03A8" w:rsidRPr="00EC3B3A" w:rsidRDefault="00AF03A8" w:rsidP="00EC3B3A">
      <w:pPr>
        <w:spacing w:line="240" w:lineRule="auto"/>
        <w:jc w:val="center"/>
        <w:rPr>
          <w:color w:val="2F5496" w:themeColor="accent1" w:themeShade="BF"/>
          <w:sz w:val="16"/>
          <w:szCs w:val="16"/>
          <w:lang w:val="en-US"/>
        </w:rPr>
      </w:pPr>
      <w:r>
        <w:rPr>
          <w:rStyle w:val="SubtleEmphasis"/>
          <w:i w:val="0"/>
          <w:iCs w:val="0"/>
          <w:color w:val="2F5496" w:themeColor="accent1" w:themeShade="BF"/>
          <w:sz w:val="16"/>
          <w:szCs w:val="16"/>
          <w:lang w:val="en-US"/>
        </w:rPr>
        <w:t xml:space="preserve">Fig. 2. </w:t>
      </w:r>
      <w:proofErr w:type="spellStart"/>
      <w:r>
        <w:rPr>
          <w:rStyle w:val="SubtleEmphasis"/>
          <w:i w:val="0"/>
          <w:iCs w:val="0"/>
          <w:color w:val="2F5496" w:themeColor="accent1" w:themeShade="BF"/>
          <w:sz w:val="16"/>
          <w:szCs w:val="16"/>
          <w:lang w:val="en-US"/>
        </w:rPr>
        <w:t>sm_list_first</w:t>
      </w:r>
      <w:proofErr w:type="spellEnd"/>
      <w:r>
        <w:rPr>
          <w:rStyle w:val="SubtleEmphasis"/>
          <w:i w:val="0"/>
          <w:iCs w:val="0"/>
          <w:color w:val="2F5496" w:themeColor="accent1" w:themeShade="BF"/>
          <w:sz w:val="16"/>
          <w:szCs w:val="16"/>
          <w:lang w:val="en-US"/>
        </w:rPr>
        <w:t xml:space="preserve"> function</w:t>
      </w:r>
      <w:bookmarkStart w:id="11" w:name="_Toc119848732"/>
    </w:p>
    <w:p w14:paraId="40FECA14" w14:textId="43FF9BEB" w:rsidR="007F601A" w:rsidRDefault="0043201C" w:rsidP="007F601A">
      <w:pPr>
        <w:pStyle w:val="Heading1"/>
        <w:spacing w:line="240" w:lineRule="auto"/>
      </w:pPr>
      <w:r>
        <w:lastRenderedPageBreak/>
        <w:t>Conclusions and Recommendations</w:t>
      </w:r>
      <w:bookmarkEnd w:id="11"/>
    </w:p>
    <w:p w14:paraId="4FBA4D11" w14:textId="6DA62A2A" w:rsidR="00C14191" w:rsidRDefault="00C14191" w:rsidP="007F601A">
      <w:pPr>
        <w:rPr>
          <w:rStyle w:val="SubtleEmphasis"/>
          <w:i w:val="0"/>
          <w:iCs w:val="0"/>
        </w:rPr>
      </w:pPr>
    </w:p>
    <w:p w14:paraId="55693EDC" w14:textId="205522A5" w:rsidR="0043201C" w:rsidRPr="00C14191" w:rsidRDefault="009A15EC" w:rsidP="007F601A">
      <w:pPr>
        <w:rPr>
          <w:rFonts w:asciiTheme="majorHAnsi" w:eastAsiaTheme="majorEastAsia" w:hAnsiTheme="majorHAnsi" w:cstheme="majorBidi"/>
          <w:color w:val="2F5496" w:themeColor="accent1" w:themeShade="BF"/>
          <w:sz w:val="32"/>
          <w:szCs w:val="32"/>
        </w:rPr>
      </w:pPr>
      <w:r w:rsidRPr="00C14191">
        <w:rPr>
          <w:rStyle w:val="SubtleEmphasis"/>
        </w:rPr>
        <w:t xml:space="preserve">See </w:t>
      </w:r>
      <w:r w:rsidR="00C14191" w:rsidRPr="00C14191">
        <w:rPr>
          <w:rStyle w:val="SubtleEmphasis"/>
        </w:rPr>
        <w:t>SAR_152</w:t>
      </w:r>
      <w:r w:rsidR="00C14191">
        <w:t>0702 by Damon Willmott</w:t>
      </w:r>
      <w:r w:rsidR="0043201C" w:rsidRPr="00C14191">
        <w:br w:type="page"/>
      </w:r>
    </w:p>
    <w:p w14:paraId="463E913A" w14:textId="77777777" w:rsidR="00EE1693" w:rsidRDefault="00CF6C70" w:rsidP="00EE1693">
      <w:pPr>
        <w:rPr>
          <w:rStyle w:val="Heading1Char"/>
        </w:rPr>
      </w:pPr>
      <w:bookmarkStart w:id="12" w:name="_Toc119848733"/>
      <w:r w:rsidRPr="0032522D">
        <w:rPr>
          <w:rStyle w:val="Heading1Char"/>
        </w:rPr>
        <w:lastRenderedPageBreak/>
        <w:t>References</w:t>
      </w:r>
      <w:bookmarkEnd w:id="12"/>
    </w:p>
    <w:p w14:paraId="73BED450" w14:textId="69563283" w:rsidR="00EE1693" w:rsidRDefault="00EE1693" w:rsidP="00EE1693">
      <w:pPr>
        <w:rPr>
          <w:rStyle w:val="Heading1Char"/>
          <w:rFonts w:asciiTheme="minorHAnsi" w:hAnsiTheme="minorHAnsi" w:cstheme="minorHAnsi"/>
          <w:color w:val="auto"/>
          <w:sz w:val="22"/>
          <w:szCs w:val="22"/>
        </w:rPr>
      </w:pPr>
      <w:r>
        <w:rPr>
          <w:rStyle w:val="Heading1Char"/>
          <w:rFonts w:asciiTheme="minorHAnsi" w:hAnsiTheme="minorHAnsi" w:cstheme="minorHAnsi"/>
          <w:color w:val="auto"/>
          <w:sz w:val="22"/>
          <w:szCs w:val="22"/>
        </w:rPr>
        <w:t xml:space="preserve">Common Weakness Enumeration (n.d.) </w:t>
      </w:r>
      <w:r w:rsidRPr="007331E4">
        <w:rPr>
          <w:rStyle w:val="Heading1Char"/>
          <w:rFonts w:asciiTheme="minorHAnsi" w:hAnsiTheme="minorHAnsi" w:cstheme="minorHAnsi"/>
          <w:i/>
          <w:iCs/>
          <w:color w:val="auto"/>
          <w:sz w:val="22"/>
          <w:szCs w:val="22"/>
        </w:rPr>
        <w:t>CWE-119: Improper Restriction of Operations within the Bounds of a Memory Buffer</w:t>
      </w:r>
      <w:r>
        <w:rPr>
          <w:rStyle w:val="Heading1Char"/>
          <w:rFonts w:asciiTheme="minorHAnsi" w:hAnsiTheme="minorHAnsi" w:cstheme="minorHAnsi"/>
          <w:color w:val="auto"/>
          <w:sz w:val="22"/>
          <w:szCs w:val="22"/>
        </w:rPr>
        <w:t xml:space="preserve">, </w:t>
      </w:r>
      <w:hyperlink r:id="rId15" w:history="1">
        <w:r w:rsidRPr="00307B3F">
          <w:rPr>
            <w:rStyle w:val="Hyperlink"/>
            <w:rFonts w:eastAsiaTheme="majorEastAsia" w:cstheme="minorHAnsi"/>
          </w:rPr>
          <w:t>https://cwe.mitre.org/data/definitions/119.html</w:t>
        </w:r>
      </w:hyperlink>
    </w:p>
    <w:p w14:paraId="1E6B3354" w14:textId="7AE3EEFB" w:rsidR="0032522D" w:rsidRDefault="00CF6C70" w:rsidP="00CF6C70">
      <w:pPr>
        <w:rPr>
          <w:rStyle w:val="Heading1Char"/>
        </w:rPr>
      </w:pP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A939B" w14:textId="77777777" w:rsidR="00802E7F" w:rsidRDefault="00802E7F" w:rsidP="009924FC">
      <w:pPr>
        <w:spacing w:after="0" w:line="240" w:lineRule="auto"/>
      </w:pPr>
      <w:r>
        <w:separator/>
      </w:r>
    </w:p>
  </w:endnote>
  <w:endnote w:type="continuationSeparator" w:id="0">
    <w:p w14:paraId="7C6CDC6E" w14:textId="77777777" w:rsidR="00802E7F" w:rsidRDefault="00802E7F" w:rsidP="009924FC">
      <w:pPr>
        <w:spacing w:after="0" w:line="240" w:lineRule="auto"/>
      </w:pPr>
      <w:r>
        <w:continuationSeparator/>
      </w:r>
    </w:p>
  </w:endnote>
  <w:endnote w:type="continuationNotice" w:id="1">
    <w:p w14:paraId="0A9433BC" w14:textId="77777777" w:rsidR="00802E7F" w:rsidRDefault="00802E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0A4CD" w14:textId="77777777" w:rsidR="00802E7F" w:rsidRDefault="00802E7F" w:rsidP="009924FC">
      <w:pPr>
        <w:spacing w:after="0" w:line="240" w:lineRule="auto"/>
      </w:pPr>
      <w:r>
        <w:separator/>
      </w:r>
    </w:p>
  </w:footnote>
  <w:footnote w:type="continuationSeparator" w:id="0">
    <w:p w14:paraId="08812AA7" w14:textId="77777777" w:rsidR="00802E7F" w:rsidRDefault="00802E7F" w:rsidP="009924FC">
      <w:pPr>
        <w:spacing w:after="0" w:line="240" w:lineRule="auto"/>
      </w:pPr>
      <w:r>
        <w:continuationSeparator/>
      </w:r>
    </w:p>
  </w:footnote>
  <w:footnote w:type="continuationNotice" w:id="1">
    <w:p w14:paraId="6F36BB7A" w14:textId="77777777" w:rsidR="00802E7F" w:rsidRDefault="00802E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85ADC"/>
    <w:rsid w:val="000A419C"/>
    <w:rsid w:val="000D69F7"/>
    <w:rsid w:val="001D53A5"/>
    <w:rsid w:val="002079A7"/>
    <w:rsid w:val="00271952"/>
    <w:rsid w:val="0032522D"/>
    <w:rsid w:val="003934F3"/>
    <w:rsid w:val="003D744F"/>
    <w:rsid w:val="003E26D0"/>
    <w:rsid w:val="0043201C"/>
    <w:rsid w:val="00435289"/>
    <w:rsid w:val="00560CC6"/>
    <w:rsid w:val="005B1F36"/>
    <w:rsid w:val="00615F8E"/>
    <w:rsid w:val="00632907"/>
    <w:rsid w:val="00665A07"/>
    <w:rsid w:val="006719CD"/>
    <w:rsid w:val="00690363"/>
    <w:rsid w:val="006A0F24"/>
    <w:rsid w:val="006D4E2B"/>
    <w:rsid w:val="00714745"/>
    <w:rsid w:val="00797A72"/>
    <w:rsid w:val="007F601A"/>
    <w:rsid w:val="00802E7F"/>
    <w:rsid w:val="008074E1"/>
    <w:rsid w:val="008310AF"/>
    <w:rsid w:val="008B5287"/>
    <w:rsid w:val="008B7273"/>
    <w:rsid w:val="009116E6"/>
    <w:rsid w:val="009924FC"/>
    <w:rsid w:val="009A15EC"/>
    <w:rsid w:val="00AB15D9"/>
    <w:rsid w:val="00AF03A8"/>
    <w:rsid w:val="00B13EBD"/>
    <w:rsid w:val="00C14191"/>
    <w:rsid w:val="00C31A32"/>
    <w:rsid w:val="00CD7B22"/>
    <w:rsid w:val="00CF6C70"/>
    <w:rsid w:val="00D42633"/>
    <w:rsid w:val="00DB13F7"/>
    <w:rsid w:val="00DD0173"/>
    <w:rsid w:val="00DF50C2"/>
    <w:rsid w:val="00E261B5"/>
    <w:rsid w:val="00EC3B3A"/>
    <w:rsid w:val="00EE1693"/>
    <w:rsid w:val="00F121FD"/>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character" w:customStyle="1" w:styleId="ng-binding">
    <w:name w:val="ng-binding"/>
    <w:basedOn w:val="DefaultParagraphFont"/>
    <w:rsid w:val="00807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we.mitre.org/data/definitions/119.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DAMON WILLMOTT</cp:lastModifiedBy>
  <cp:revision>16</cp:revision>
  <dcterms:created xsi:type="dcterms:W3CDTF">2023-05-28T03:33:00Z</dcterms:created>
  <dcterms:modified xsi:type="dcterms:W3CDTF">2023-05-28T08:19:00Z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