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0"/>
        <w:gridCol w:w="1385"/>
        <w:gridCol w:w="1784"/>
        <w:gridCol w:w="4457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29CC5EA1" w:rsidR="008310AF" w:rsidRDefault="00F82D32" w:rsidP="008310AF">
            <w:pPr>
              <w:jc w:val="center"/>
            </w:pPr>
            <w:r>
              <w:t>6/5</w:t>
            </w:r>
            <w:r w:rsidR="0083315C">
              <w:t>/</w:t>
            </w:r>
            <w:r>
              <w:t>20</w:t>
            </w:r>
            <w:r w:rsidR="0083315C">
              <w:t>23</w:t>
            </w:r>
          </w:p>
        </w:tc>
        <w:tc>
          <w:tcPr>
            <w:tcW w:w="1417" w:type="dxa"/>
          </w:tcPr>
          <w:p w14:paraId="408C2F2B" w14:textId="3B48D09A" w:rsidR="008310AF" w:rsidRDefault="0083315C" w:rsidP="00632907">
            <w:pPr>
              <w:jc w:val="both"/>
            </w:pPr>
            <w:r>
              <w:t>1.0</w:t>
            </w:r>
          </w:p>
        </w:tc>
        <w:tc>
          <w:tcPr>
            <w:tcW w:w="1843" w:type="dxa"/>
          </w:tcPr>
          <w:p w14:paraId="5CFA5C10" w14:textId="4A2F5969" w:rsidR="008310AF" w:rsidRDefault="0083315C" w:rsidP="00632907">
            <w:pPr>
              <w:jc w:val="both"/>
            </w:pPr>
            <w:r>
              <w:t>Dean Scanlon</w:t>
            </w:r>
          </w:p>
        </w:tc>
        <w:tc>
          <w:tcPr>
            <w:tcW w:w="4677" w:type="dxa"/>
          </w:tcPr>
          <w:p w14:paraId="0BAAAAAE" w14:textId="1BE5E1C3" w:rsidR="008310AF" w:rsidRDefault="0083315C" w:rsidP="00632907">
            <w:pPr>
              <w:jc w:val="both"/>
            </w:pPr>
            <w:r>
              <w:t>Initial document.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5F6C71AD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00E229D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1AE57AD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498EDD38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3836D205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D8B3995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534287CC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23F94058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524C6E7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4B46477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5B2EAB1D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5B41E979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1513ED">
        <w:rPr>
          <w:b/>
          <w:bCs/>
          <w:i/>
          <w:iCs/>
        </w:rPr>
        <w:t xml:space="preserve">Out-of-bounds access </w:t>
      </w:r>
      <w:r>
        <w:t>type defect identified in the following CIDs:</w:t>
      </w:r>
      <w:r>
        <w:br/>
      </w:r>
      <w:r w:rsidR="0083315C">
        <w:rPr>
          <w:b/>
          <w:bCs/>
          <w:i/>
          <w:iCs/>
        </w:rPr>
        <w:t>1520</w:t>
      </w:r>
      <w:r w:rsidR="005E4972">
        <w:rPr>
          <w:b/>
          <w:bCs/>
          <w:i/>
          <w:iCs/>
        </w:rPr>
        <w:t xml:space="preserve">747 and </w:t>
      </w:r>
      <w:proofErr w:type="gramStart"/>
      <w:r w:rsidR="005E4972">
        <w:rPr>
          <w:b/>
          <w:bCs/>
          <w:i/>
          <w:iCs/>
        </w:rPr>
        <w:t>1520738</w:t>
      </w:r>
      <w:proofErr w:type="gramEnd"/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007644EB" w14:textId="271D9228" w:rsidR="009538F8" w:rsidRDefault="00FF579C" w:rsidP="009538F8">
      <w:pPr>
        <w:rPr>
          <w:lang w:val="en-US"/>
        </w:rPr>
      </w:pPr>
      <w:r>
        <w:rPr>
          <w:lang w:val="en-US"/>
        </w:rPr>
        <w:t>These combined issues occur</w:t>
      </w:r>
      <w:r w:rsidR="009538F8">
        <w:rPr>
          <w:lang w:val="en-US"/>
        </w:rPr>
        <w:t xml:space="preserve"> in the </w:t>
      </w:r>
      <w:proofErr w:type="spellStart"/>
      <w:r>
        <w:rPr>
          <w:i/>
          <w:iCs/>
          <w:lang w:val="en-US"/>
        </w:rPr>
        <w:t>libcgr.c</w:t>
      </w:r>
      <w:proofErr w:type="spellEnd"/>
      <w:r w:rsidR="009538F8">
        <w:rPr>
          <w:lang w:val="en-US"/>
        </w:rPr>
        <w:t xml:space="preserve"> code segment within the </w:t>
      </w:r>
      <w:proofErr w:type="spellStart"/>
      <w:r>
        <w:rPr>
          <w:i/>
          <w:iCs/>
          <w:lang w:val="en-US"/>
        </w:rPr>
        <w:t>cgr</w:t>
      </w:r>
      <w:proofErr w:type="spellEnd"/>
      <w:r w:rsidR="009538F8">
        <w:rPr>
          <w:lang w:val="en-US"/>
        </w:rPr>
        <w:t xml:space="preserve"> directory of Bundle Protocol 7. Coverity Static Analysis Tool was able to detect a </w:t>
      </w:r>
      <w:r w:rsidR="009538F8" w:rsidRPr="009538F8">
        <w:rPr>
          <w:b/>
          <w:bCs/>
          <w:sz w:val="20"/>
          <w:szCs w:val="20"/>
          <w:lang w:val="en-US"/>
        </w:rPr>
        <w:t>High Impact Quality</w:t>
      </w:r>
      <w:r w:rsidR="009538F8">
        <w:rPr>
          <w:lang w:val="en-US"/>
        </w:rPr>
        <w:t xml:space="preserve"> vulnerability relating to </w:t>
      </w:r>
      <w:r w:rsidR="009538F8" w:rsidRPr="009538F8">
        <w:rPr>
          <w:b/>
          <w:bCs/>
          <w:sz w:val="20"/>
          <w:szCs w:val="20"/>
          <w:lang w:val="en-US"/>
        </w:rPr>
        <w:t>Memory – corruptions</w:t>
      </w:r>
      <w:r w:rsidR="009538F8">
        <w:rPr>
          <w:lang w:val="en-US"/>
        </w:rPr>
        <w:t>.</w:t>
      </w:r>
      <w:r>
        <w:rPr>
          <w:lang w:val="en-US"/>
        </w:rPr>
        <w:t xml:space="preserve"> CID1520747 occurs within the </w:t>
      </w:r>
      <w:proofErr w:type="spellStart"/>
      <w:r>
        <w:rPr>
          <w:lang w:val="en-US"/>
        </w:rPr>
        <w:t>disabledRoute</w:t>
      </w:r>
      <w:proofErr w:type="spellEnd"/>
      <w:r>
        <w:rPr>
          <w:lang w:val="en-US"/>
        </w:rPr>
        <w:t xml:space="preserve"> function and CID1520738 within the </w:t>
      </w:r>
      <w:proofErr w:type="spellStart"/>
      <w:r>
        <w:rPr>
          <w:lang w:val="en-US"/>
        </w:rPr>
        <w:t>edgelsExcluded</w:t>
      </w:r>
      <w:proofErr w:type="spellEnd"/>
      <w:r>
        <w:rPr>
          <w:lang w:val="en-US"/>
        </w:rPr>
        <w:t xml:space="preserve"> function.</w:t>
      </w:r>
    </w:p>
    <w:p w14:paraId="5E7081A0" w14:textId="64980EA3" w:rsidR="00FF579C" w:rsidRDefault="00AE7F4D" w:rsidP="009538F8">
      <w:pPr>
        <w:rPr>
          <w:lang w:val="en-US"/>
        </w:rPr>
      </w:pPr>
      <w:r>
        <w:rPr>
          <w:lang w:val="en-US"/>
        </w:rPr>
        <w:t xml:space="preserve">The value of the </w:t>
      </w:r>
      <w:r w:rsidR="00CB5194">
        <w:rPr>
          <w:lang w:val="en-US"/>
        </w:rPr>
        <w:t>element index</w:t>
      </w:r>
      <w:r>
        <w:rPr>
          <w:lang w:val="en-US"/>
        </w:rPr>
        <w:t xml:space="preserve"> </w:t>
      </w:r>
      <w:proofErr w:type="spellStart"/>
      <w:r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elt</w:t>
      </w:r>
      <w:proofErr w:type="spellEnd"/>
      <w:r>
        <w:rPr>
          <w:lang w:val="en-US"/>
        </w:rPr>
        <w:t xml:space="preserve"> </w:t>
      </w:r>
      <w:r w:rsidR="00CB5194">
        <w:rPr>
          <w:lang w:val="en-US"/>
        </w:rPr>
        <w:t xml:space="preserve">can potentially be passed a negative value. If this occurs, there is the possibility that it is interpreted as unsigned in which case the software may respond in unpredictable ways </w:t>
      </w:r>
      <w:r w:rsidR="00B01298">
        <w:rPr>
          <w:lang w:val="en-US"/>
        </w:rPr>
        <w:t>that are</w:t>
      </w:r>
      <w:r w:rsidR="00CB5194">
        <w:rPr>
          <w:lang w:val="en-US"/>
        </w:rPr>
        <w:t xml:space="preserve"> not well defined in the c language. </w:t>
      </w:r>
    </w:p>
    <w:p w14:paraId="3F7374B9" w14:textId="77777777" w:rsidR="00F026E0" w:rsidRDefault="00F026E0" w:rsidP="007F601A">
      <w:pPr>
        <w:pStyle w:val="Heading2"/>
        <w:spacing w:after="0" w:line="240" w:lineRule="auto"/>
      </w:pPr>
      <w:bookmarkStart w:id="9" w:name="_Toc119848730"/>
      <w:bookmarkStart w:id="10" w:name="_Hlk133930536"/>
    </w:p>
    <w:p w14:paraId="19FEEC7D" w14:textId="77777777" w:rsidR="00F026E0" w:rsidRDefault="00F026E0" w:rsidP="007F601A">
      <w:pPr>
        <w:pStyle w:val="Heading2"/>
        <w:spacing w:after="0" w:line="240" w:lineRule="auto"/>
      </w:pPr>
    </w:p>
    <w:p w14:paraId="218AF9A3" w14:textId="4B51BE50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bookmarkEnd w:id="10"/>
    <w:p w14:paraId="48F772A0" w14:textId="33AE07CA" w:rsidR="00CB5194" w:rsidRDefault="00CB5194" w:rsidP="00886E80">
      <w:pPr>
        <w:rPr>
          <w:lang w:val="en-US"/>
        </w:rPr>
      </w:pPr>
      <w:r w:rsidRPr="00CB5194">
        <w:rPr>
          <w:lang w:val="en-US"/>
        </w:rPr>
        <w:t>In th</w:t>
      </w:r>
      <w:r w:rsidR="00BC6F2B">
        <w:rPr>
          <w:lang w:val="en-US"/>
        </w:rPr>
        <w:t>ese</w:t>
      </w:r>
      <w:r w:rsidRPr="00CB5194">
        <w:rPr>
          <w:lang w:val="en-US"/>
        </w:rPr>
        <w:t xml:space="preserve"> CID</w:t>
      </w:r>
      <w:r w:rsidR="00BC6F2B">
        <w:rPr>
          <w:lang w:val="en-US"/>
        </w:rPr>
        <w:t>s</w:t>
      </w:r>
      <w:r w:rsidRPr="00CB5194">
        <w:rPr>
          <w:lang w:val="en-US"/>
        </w:rPr>
        <w:t xml:space="preserve"> and many others within the NASA ION DTN protocol, Coverity has flagged th</w:t>
      </w:r>
      <w:r>
        <w:rPr>
          <w:lang w:val="en-US"/>
        </w:rPr>
        <w:t>at th</w:t>
      </w:r>
      <w:r w:rsidR="00BC6F2B">
        <w:rPr>
          <w:lang w:val="en-US"/>
        </w:rPr>
        <w:t xml:space="preserve">e assignment of the </w:t>
      </w:r>
      <w:proofErr w:type="spellStart"/>
      <w:r w:rsidR="00BC6F2B">
        <w:rPr>
          <w:lang w:val="en-US"/>
        </w:rPr>
        <w:t>elt</w:t>
      </w:r>
      <w:proofErr w:type="spellEnd"/>
      <w:r w:rsidR="00BC6F2B">
        <w:rPr>
          <w:lang w:val="en-US"/>
        </w:rPr>
        <w:t xml:space="preserve"> element index variable as a negative number</w:t>
      </w:r>
      <w:r>
        <w:rPr>
          <w:lang w:val="en-US"/>
        </w:rPr>
        <w:t xml:space="preserve"> may return</w:t>
      </w:r>
      <w:r w:rsidR="00BC6F2B">
        <w:rPr>
          <w:lang w:val="en-US"/>
        </w:rPr>
        <w:t xml:space="preserve"> ‘</w:t>
      </w:r>
      <w:r w:rsidR="00BC6F2B" w:rsidRPr="00BC6F2B">
        <w:rPr>
          <w:lang w:val="en-US"/>
        </w:rPr>
        <w:t>18446744073709551615</w:t>
      </w:r>
      <w:r w:rsidR="00BC6F2B">
        <w:rPr>
          <w:lang w:val="en-US"/>
        </w:rPr>
        <w:t xml:space="preserve">’ which would be outside the boundaries of the </w:t>
      </w:r>
      <w:r w:rsidR="006174F0">
        <w:rPr>
          <w:lang w:val="en-US"/>
        </w:rPr>
        <w:t>partition</w:t>
      </w:r>
      <w:r w:rsidR="00BC6F2B">
        <w:rPr>
          <w:lang w:val="en-US"/>
        </w:rPr>
        <w:t xml:space="preserve">-&gt;space memory buffer. </w:t>
      </w:r>
      <w:r w:rsidR="003C0F33">
        <w:rPr>
          <w:lang w:val="en-US"/>
        </w:rPr>
        <w:t xml:space="preserve">This element index is a </w:t>
      </w:r>
      <w:proofErr w:type="gramStart"/>
      <w:r w:rsidR="003C0F33">
        <w:rPr>
          <w:lang w:val="en-US"/>
        </w:rPr>
        <w:t>64 bit</w:t>
      </w:r>
      <w:proofErr w:type="gramEnd"/>
      <w:r w:rsidR="003C0F33">
        <w:rPr>
          <w:lang w:val="en-US"/>
        </w:rPr>
        <w:t xml:space="preserve"> data </w:t>
      </w:r>
      <w:proofErr w:type="spellStart"/>
      <w:r w:rsidR="003C0F33">
        <w:rPr>
          <w:lang w:val="en-US"/>
        </w:rPr>
        <w:t>tpe</w:t>
      </w:r>
      <w:proofErr w:type="spellEnd"/>
      <w:r w:rsidR="003C0F33">
        <w:rPr>
          <w:lang w:val="en-US"/>
        </w:rPr>
        <w:t xml:space="preserve">, and </w:t>
      </w:r>
      <w:r w:rsidR="003C0F33" w:rsidRPr="003C0F33">
        <w:rPr>
          <w:lang w:val="en-US"/>
        </w:rPr>
        <w:t>as such the largest</w:t>
      </w:r>
      <w:r w:rsidR="009B6BF2">
        <w:rPr>
          <w:lang w:val="en-US"/>
        </w:rPr>
        <w:t xml:space="preserve"> numerical</w:t>
      </w:r>
      <w:r w:rsidR="003C0F33" w:rsidRPr="003C0F33">
        <w:rPr>
          <w:lang w:val="en-US"/>
        </w:rPr>
        <w:t xml:space="preserve"> value it can hold is 18446744073709551615. As specified in C standard (2011 6.3.1.3p2), when a </w:t>
      </w:r>
      <w:r w:rsidR="003C0F33">
        <w:rPr>
          <w:lang w:val="en-US"/>
        </w:rPr>
        <w:t>variable</w:t>
      </w:r>
      <w:r w:rsidR="003C0F33" w:rsidRPr="003C0F33">
        <w:rPr>
          <w:lang w:val="en-US"/>
        </w:rPr>
        <w:t xml:space="preserve"> assumes the value of -1 and is interpreted as an unsigned integer, the value is converted by repeatedly adding or subtracting one more than the maximum value that can be represented by the type, therefore </w:t>
      </w:r>
      <w:proofErr w:type="spellStart"/>
      <w:r w:rsidR="003C0F33"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elt</w:t>
      </w:r>
      <w:proofErr w:type="spellEnd"/>
      <w:r w:rsidR="003C0F33" w:rsidRPr="00E211E1">
        <w:rPr>
          <w:color w:val="2F5496" w:themeColor="accent1" w:themeShade="BF"/>
          <w:lang w:val="en-US"/>
        </w:rPr>
        <w:t xml:space="preserve"> </w:t>
      </w:r>
      <w:r w:rsidR="003C0F33" w:rsidRPr="003C0F33">
        <w:rPr>
          <w:lang w:val="en-US"/>
        </w:rPr>
        <w:t>is assigned as the large number</w:t>
      </w:r>
      <w:r w:rsidR="009B6BF2">
        <w:rPr>
          <w:lang w:val="en-US"/>
        </w:rPr>
        <w:t xml:space="preserve"> as the computation is </w:t>
      </w:r>
      <w:r w:rsidR="00B01298">
        <w:rPr>
          <w:lang w:val="en-US"/>
        </w:rPr>
        <w:t>(</w:t>
      </w:r>
      <w:r w:rsidR="009B6BF2">
        <w:rPr>
          <w:lang w:val="en-US"/>
        </w:rPr>
        <w:t xml:space="preserve">-1 + </w:t>
      </w:r>
      <w:r w:rsidR="009B6BF2" w:rsidRPr="009B6BF2">
        <w:rPr>
          <w:lang w:val="en-US"/>
        </w:rPr>
        <w:t>1844674407370955161</w:t>
      </w:r>
      <w:r w:rsidR="009B6BF2">
        <w:rPr>
          <w:lang w:val="en-US"/>
        </w:rPr>
        <w:t>6</w:t>
      </w:r>
      <w:r w:rsidR="00B01298">
        <w:rPr>
          <w:lang w:val="en-US"/>
        </w:rPr>
        <w:t>)</w:t>
      </w:r>
      <w:r w:rsidR="009B6BF2">
        <w:rPr>
          <w:lang w:val="en-US"/>
        </w:rPr>
        <w:t xml:space="preserve">. </w:t>
      </w:r>
      <w:r w:rsidR="00DE367F">
        <w:rPr>
          <w:lang w:val="en-US"/>
        </w:rPr>
        <w:t>Examples are shown in Fig.1 and Fig.2.</w:t>
      </w:r>
    </w:p>
    <w:p w14:paraId="12959619" w14:textId="77777777" w:rsidR="00B52E44" w:rsidRDefault="00B52E44" w:rsidP="00886E80">
      <w:pPr>
        <w:rPr>
          <w:lang w:val="en-US"/>
        </w:rPr>
      </w:pPr>
    </w:p>
    <w:p w14:paraId="6775068E" w14:textId="4902FF70" w:rsidR="00DE367F" w:rsidRDefault="00DE367F" w:rsidP="00886E80">
      <w:pPr>
        <w:rPr>
          <w:lang w:val="en-US"/>
        </w:rPr>
      </w:pPr>
      <w:r w:rsidRPr="00DE367F">
        <w:rPr>
          <w:lang w:val="en-US"/>
        </w:rPr>
        <w:drawing>
          <wp:inline distT="0" distB="0" distL="0" distR="0" wp14:anchorId="130E3831" wp14:editId="3B9A1028">
            <wp:extent cx="3628339" cy="602579"/>
            <wp:effectExtent l="0" t="0" r="0" b="7620"/>
            <wp:docPr id="74132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24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051" cy="6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E6F0" w14:textId="1AD3F93E" w:rsidR="00DE367F" w:rsidRDefault="00DE367F" w:rsidP="00886E80">
      <w:pPr>
        <w:rPr>
          <w:i/>
          <w:iCs/>
          <w:color w:val="8EAADB" w:themeColor="accent1" w:themeTint="99"/>
          <w:sz w:val="16"/>
          <w:szCs w:val="16"/>
          <w:lang w:val="en-US"/>
        </w:rPr>
      </w:pPr>
      <w:bookmarkStart w:id="11" w:name="_Hlk133934470"/>
      <w:r w:rsidRPr="00B52E44">
        <w:rPr>
          <w:i/>
          <w:iCs/>
          <w:color w:val="8EAADB" w:themeColor="accent1" w:themeTint="99"/>
          <w:sz w:val="16"/>
          <w:szCs w:val="16"/>
          <w:lang w:val="en-US"/>
        </w:rPr>
        <w:t>Fig.1. CID</w:t>
      </w:r>
      <w:r w:rsidR="00B52E44" w:rsidRPr="00B52E44">
        <w:rPr>
          <w:i/>
          <w:iCs/>
          <w:color w:val="8EAADB" w:themeColor="accent1" w:themeTint="99"/>
          <w:sz w:val="16"/>
          <w:szCs w:val="16"/>
          <w:lang w:val="en-US"/>
        </w:rPr>
        <w:t>1520738</w:t>
      </w:r>
      <w:r w:rsidR="00B52E44" w:rsidRPr="00B52E44">
        <w:rPr>
          <w:i/>
          <w:iCs/>
          <w:color w:val="8EAADB" w:themeColor="accent1" w:themeTint="99"/>
          <w:sz w:val="16"/>
          <w:szCs w:val="16"/>
          <w:lang w:val="en-US"/>
        </w:rPr>
        <w:t xml:space="preserve"> Out-of-bounds access issue</w:t>
      </w:r>
    </w:p>
    <w:bookmarkEnd w:id="11"/>
    <w:p w14:paraId="55E46555" w14:textId="77777777" w:rsidR="00B52E44" w:rsidRPr="00B52E44" w:rsidRDefault="00B52E44" w:rsidP="00886E80">
      <w:pPr>
        <w:rPr>
          <w:i/>
          <w:iCs/>
          <w:color w:val="8EAADB" w:themeColor="accent1" w:themeTint="99"/>
          <w:sz w:val="16"/>
          <w:szCs w:val="16"/>
          <w:lang w:val="en-US"/>
        </w:rPr>
      </w:pPr>
    </w:p>
    <w:p w14:paraId="6F7C11CB" w14:textId="11381596" w:rsidR="00B52E44" w:rsidRDefault="00B52E44" w:rsidP="00886E80">
      <w:pPr>
        <w:rPr>
          <w:lang w:val="en-US"/>
        </w:rPr>
      </w:pPr>
      <w:r w:rsidRPr="00B52E44">
        <w:rPr>
          <w:lang w:val="en-US"/>
        </w:rPr>
        <w:drawing>
          <wp:inline distT="0" distB="0" distL="0" distR="0" wp14:anchorId="2FA0C647" wp14:editId="65634C4B">
            <wp:extent cx="3650285" cy="503097"/>
            <wp:effectExtent l="0" t="0" r="7620" b="0"/>
            <wp:docPr id="1106767755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67755" name="Picture 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373" cy="5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30FB" w14:textId="615D7D08" w:rsidR="00B52E44" w:rsidRDefault="00B52E44" w:rsidP="00886E80">
      <w:pPr>
        <w:rPr>
          <w:i/>
          <w:iCs/>
          <w:color w:val="8EAADB" w:themeColor="accent1" w:themeTint="99"/>
          <w:sz w:val="16"/>
          <w:szCs w:val="16"/>
          <w:lang w:val="en-US"/>
        </w:rPr>
      </w:pPr>
      <w:r w:rsidRPr="00B52E44">
        <w:rPr>
          <w:i/>
          <w:iCs/>
          <w:color w:val="8EAADB" w:themeColor="accent1" w:themeTint="99"/>
          <w:sz w:val="16"/>
          <w:szCs w:val="16"/>
          <w:lang w:val="en-US"/>
        </w:rPr>
        <w:t>Fig.2. CID1520747 Out-of-bounds access issue</w:t>
      </w:r>
    </w:p>
    <w:p w14:paraId="28D018B3" w14:textId="77777777" w:rsidR="00B52E44" w:rsidRPr="00B52E44" w:rsidRDefault="00B52E44" w:rsidP="00886E80">
      <w:pPr>
        <w:rPr>
          <w:i/>
          <w:iCs/>
          <w:color w:val="8EAADB" w:themeColor="accent1" w:themeTint="99"/>
          <w:sz w:val="16"/>
          <w:szCs w:val="16"/>
          <w:lang w:val="en-US"/>
        </w:rPr>
      </w:pPr>
    </w:p>
    <w:p w14:paraId="4861F668" w14:textId="75BA6FAB" w:rsidR="00CB5194" w:rsidRDefault="00CB5194" w:rsidP="00886E80">
      <w:pPr>
        <w:rPr>
          <w:lang w:val="en-US"/>
        </w:rPr>
      </w:pPr>
      <w:r>
        <w:rPr>
          <w:lang w:val="en-US"/>
        </w:rPr>
        <w:t xml:space="preserve">Both </w:t>
      </w:r>
      <w:r w:rsidR="003C0F33">
        <w:rPr>
          <w:lang w:val="en-US"/>
        </w:rPr>
        <w:t>CID</w:t>
      </w:r>
      <w:r>
        <w:rPr>
          <w:lang w:val="en-US"/>
        </w:rPr>
        <w:t xml:space="preserve">s exist within the same library </w:t>
      </w:r>
      <w:r w:rsidR="009B6BF2">
        <w:rPr>
          <w:lang w:val="en-US"/>
        </w:rPr>
        <w:t>and are susceptible to the same vulnerability, with the large erroneous number pointing to an element</w:t>
      </w:r>
      <w:r w:rsidR="006174F0">
        <w:rPr>
          <w:lang w:val="en-US"/>
        </w:rPr>
        <w:t xml:space="preserve"> in the linked list </w:t>
      </w:r>
      <w:proofErr w:type="spellStart"/>
      <w:r w:rsidR="006174F0"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sm_list</w:t>
      </w:r>
      <w:r w:rsidR="00B823F9"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_data</w:t>
      </w:r>
      <w:proofErr w:type="spellEnd"/>
      <w:r w:rsidR="006174F0" w:rsidRPr="00E211E1">
        <w:rPr>
          <w:color w:val="2F5496" w:themeColor="accent1" w:themeShade="BF"/>
          <w:lang w:val="en-US"/>
        </w:rPr>
        <w:t xml:space="preserve"> </w:t>
      </w:r>
      <w:r w:rsidR="006174F0">
        <w:rPr>
          <w:lang w:val="en-US"/>
        </w:rPr>
        <w:t xml:space="preserve">which contains the addresses </w:t>
      </w:r>
      <w:r w:rsidR="00B823F9">
        <w:rPr>
          <w:lang w:val="en-US"/>
        </w:rPr>
        <w:t xml:space="preserve">SMs (state machines) which correspond to bundles in storage. The number of elements in this linked list is </w:t>
      </w:r>
      <w:proofErr w:type="spellStart"/>
      <w:r w:rsidR="00B823F9">
        <w:rPr>
          <w:lang w:val="en-US"/>
        </w:rPr>
        <w:t>dependant</w:t>
      </w:r>
      <w:proofErr w:type="spellEnd"/>
      <w:r w:rsidR="00B823F9">
        <w:rPr>
          <w:lang w:val="en-US"/>
        </w:rPr>
        <w:t xml:space="preserve"> on the number of bundles that are currently stored in the system. When such a large index is pointed to in this protocol</w:t>
      </w:r>
      <w:r w:rsidR="00B01298">
        <w:rPr>
          <w:lang w:val="en-US"/>
        </w:rPr>
        <w:t xml:space="preserve">, </w:t>
      </w:r>
      <w:r w:rsidR="00B823F9">
        <w:rPr>
          <w:lang w:val="en-US"/>
        </w:rPr>
        <w:t>Coverity flags a potential error as the</w:t>
      </w:r>
      <w:r w:rsidR="009B6BF2">
        <w:rPr>
          <w:lang w:val="en-US"/>
        </w:rPr>
        <w:t xml:space="preserve"> </w:t>
      </w:r>
      <w:r w:rsidR="006174F0">
        <w:rPr>
          <w:lang w:val="en-US"/>
        </w:rPr>
        <w:t xml:space="preserve">buffer </w:t>
      </w:r>
      <w:r w:rsidR="006174F0"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partition</w:t>
      </w:r>
      <w:r w:rsidR="009B6BF2"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-&gt;space</w:t>
      </w:r>
      <w:r w:rsidR="006174F0" w:rsidRPr="00E211E1">
        <w:rPr>
          <w:color w:val="2F5496" w:themeColor="accent1" w:themeShade="BF"/>
          <w:lang w:val="en-US"/>
        </w:rPr>
        <w:t xml:space="preserve"> </w:t>
      </w:r>
      <w:r w:rsidR="006174F0">
        <w:rPr>
          <w:lang w:val="en-US"/>
        </w:rPr>
        <w:t xml:space="preserve">is </w:t>
      </w:r>
      <w:r w:rsidR="00B823F9">
        <w:rPr>
          <w:lang w:val="en-US"/>
        </w:rPr>
        <w:t>not allocated enough memory to handle such a large number</w:t>
      </w:r>
      <w:r w:rsidR="00B01298">
        <w:rPr>
          <w:lang w:val="en-US"/>
        </w:rPr>
        <w:t>. This</w:t>
      </w:r>
      <w:r w:rsidR="00B823F9">
        <w:rPr>
          <w:lang w:val="en-US"/>
        </w:rPr>
        <w:t xml:space="preserve"> results</w:t>
      </w:r>
      <w:r w:rsidR="006174F0">
        <w:rPr>
          <w:lang w:val="en-US"/>
        </w:rPr>
        <w:t xml:space="preserve"> in a</w:t>
      </w:r>
      <w:r w:rsidR="00B01298">
        <w:rPr>
          <w:lang w:val="en-US"/>
        </w:rPr>
        <w:t xml:space="preserve"> memory buffer overflow/</w:t>
      </w:r>
      <w:r w:rsidR="006174F0">
        <w:rPr>
          <w:lang w:val="en-US"/>
        </w:rPr>
        <w:t>Out-of-Bounds access issue</w:t>
      </w:r>
      <w:r w:rsidR="00B01298">
        <w:rPr>
          <w:lang w:val="en-US"/>
        </w:rPr>
        <w:t>.</w:t>
      </w:r>
    </w:p>
    <w:p w14:paraId="6F0423CC" w14:textId="77777777" w:rsidR="00B52E44" w:rsidRDefault="00B52E44" w:rsidP="00886E80">
      <w:pPr>
        <w:rPr>
          <w:lang w:val="en-US"/>
        </w:rPr>
      </w:pPr>
    </w:p>
    <w:p w14:paraId="6D863E3F" w14:textId="174F34A0" w:rsidR="00B52E44" w:rsidRPr="00B52E44" w:rsidRDefault="00B52E44" w:rsidP="00B52E44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>Issue recurrence throughout Bundle Protocol 7 in ION DTN</w:t>
      </w:r>
    </w:p>
    <w:p w14:paraId="181306C3" w14:textId="4CA14BFF" w:rsidR="00736F2C" w:rsidRDefault="00736F2C" w:rsidP="00886E80">
      <w:pPr>
        <w:rPr>
          <w:lang w:val="en-US"/>
        </w:rPr>
      </w:pPr>
      <w:r>
        <w:rPr>
          <w:lang w:val="en-US"/>
        </w:rPr>
        <w:t xml:space="preserve">Bundle Protocol 7 within </w:t>
      </w:r>
      <w:r w:rsidR="00B52E44" w:rsidRPr="00B52E44">
        <w:rPr>
          <w:lang w:val="en-US"/>
        </w:rPr>
        <w:t>NASA Interplanetary Overlay Network (ION) project</w:t>
      </w:r>
      <w:r>
        <w:rPr>
          <w:lang w:val="en-US"/>
        </w:rPr>
        <w:t xml:space="preserve"> contains</w:t>
      </w:r>
      <w:r w:rsidR="00B52E44">
        <w:rPr>
          <w:lang w:val="en-US"/>
        </w:rPr>
        <w:t xml:space="preserve"> no less tha</w:t>
      </w:r>
      <w:r>
        <w:rPr>
          <w:lang w:val="en-US"/>
        </w:rPr>
        <w:t>n</w:t>
      </w:r>
      <w:r w:rsidR="00B52E44">
        <w:rPr>
          <w:lang w:val="en-US"/>
        </w:rPr>
        <w:t xml:space="preserve"> </w:t>
      </w:r>
      <w:r w:rsidR="00B52E44">
        <w:rPr>
          <w:b/>
          <w:bCs/>
          <w:i/>
          <w:iCs/>
          <w:lang w:val="en-US"/>
        </w:rPr>
        <w:t>91</w:t>
      </w:r>
      <w:r w:rsidR="00B52E44">
        <w:rPr>
          <w:lang w:val="en-US"/>
        </w:rPr>
        <w:t xml:space="preserve"> instances in which this issue occurs</w:t>
      </w:r>
      <w:r>
        <w:rPr>
          <w:lang w:val="en-US"/>
        </w:rPr>
        <w:t>, as identified by Coverity Static Analysis tool.</w:t>
      </w:r>
      <w:r w:rsidR="007938E5">
        <w:rPr>
          <w:lang w:val="en-US"/>
        </w:rPr>
        <w:t xml:space="preserve"> Fig.3 </w:t>
      </w:r>
      <w:r w:rsidR="008E6CA1">
        <w:rPr>
          <w:lang w:val="en-US"/>
        </w:rPr>
        <w:t>demonstrates the frequency of recurrences of this issue. Note: list is non-inclusive.</w:t>
      </w:r>
    </w:p>
    <w:p w14:paraId="78C18B44" w14:textId="77777777" w:rsidR="00DD1768" w:rsidRDefault="00DD1768" w:rsidP="00886E80">
      <w:pPr>
        <w:rPr>
          <w:lang w:val="en-US"/>
        </w:rPr>
      </w:pPr>
    </w:p>
    <w:p w14:paraId="6895D99B" w14:textId="79275B48" w:rsidR="00DD1768" w:rsidRDefault="008E6CA1" w:rsidP="00886E80">
      <w:pPr>
        <w:rPr>
          <w:lang w:val="en-US"/>
        </w:rPr>
      </w:pPr>
      <w:r w:rsidRPr="008E6CA1">
        <w:rPr>
          <w:lang w:val="en-US"/>
        </w:rPr>
        <w:drawing>
          <wp:inline distT="0" distB="0" distL="0" distR="0" wp14:anchorId="3A7F7F83" wp14:editId="2F31BE0E">
            <wp:extent cx="5731510" cy="1141730"/>
            <wp:effectExtent l="0" t="0" r="2540" b="1270"/>
            <wp:docPr id="15888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1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39D" w14:textId="387E1588" w:rsidR="00DD1768" w:rsidRDefault="00DD1768" w:rsidP="00DD1768">
      <w:pPr>
        <w:rPr>
          <w:i/>
          <w:iCs/>
          <w:color w:val="8EAADB" w:themeColor="accent1" w:themeTint="99"/>
          <w:sz w:val="16"/>
          <w:szCs w:val="16"/>
          <w:lang w:val="en-US"/>
        </w:rPr>
      </w:pPr>
      <w:r w:rsidRPr="00B52E44">
        <w:rPr>
          <w:i/>
          <w:iCs/>
          <w:color w:val="8EAADB" w:themeColor="accent1" w:themeTint="99"/>
          <w:sz w:val="16"/>
          <w:szCs w:val="16"/>
          <w:lang w:val="en-US"/>
        </w:rPr>
        <w:t xml:space="preserve">Fig.1. </w:t>
      </w:r>
      <w:r>
        <w:rPr>
          <w:i/>
          <w:iCs/>
          <w:color w:val="8EAADB" w:themeColor="accent1" w:themeTint="99"/>
          <w:sz w:val="16"/>
          <w:szCs w:val="16"/>
          <w:lang w:val="en-US"/>
        </w:rPr>
        <w:t>Non-inclusive list of instances of issue as flagged by Coverity Static Analysis Tool.</w:t>
      </w:r>
    </w:p>
    <w:p w14:paraId="0DFE6E1A" w14:textId="77777777" w:rsidR="00DD1768" w:rsidRDefault="00DD1768" w:rsidP="00886E80">
      <w:pPr>
        <w:rPr>
          <w:lang w:val="en-US"/>
        </w:rPr>
      </w:pPr>
    </w:p>
    <w:p w14:paraId="765DF486" w14:textId="27BAB2DA" w:rsidR="00D77942" w:rsidRDefault="00B52E44" w:rsidP="007938E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elt</w:t>
      </w:r>
      <w:proofErr w:type="spellEnd"/>
      <w:r w:rsidRPr="00E211E1">
        <w:rPr>
          <w:color w:val="2F5496" w:themeColor="accent1" w:themeShade="BF"/>
          <w:lang w:val="en-US"/>
        </w:rPr>
        <w:t xml:space="preserve"> </w:t>
      </w:r>
      <w:r>
        <w:rPr>
          <w:lang w:val="en-US"/>
        </w:rPr>
        <w:t>function</w:t>
      </w:r>
      <w:r w:rsidR="00736F2C">
        <w:rPr>
          <w:lang w:val="en-US"/>
        </w:rPr>
        <w:t xml:space="preserve"> is used to retrieve an element at a specific index from linked list </w:t>
      </w:r>
      <w:proofErr w:type="spellStart"/>
      <w:r w:rsidR="00736F2C"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sm_list</w:t>
      </w:r>
      <w:r w:rsidR="00DD0B98"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_data</w:t>
      </w:r>
      <w:proofErr w:type="spellEnd"/>
      <w:r w:rsidR="00736F2C" w:rsidRPr="00E211E1">
        <w:rPr>
          <w:color w:val="2F5496" w:themeColor="accent1" w:themeShade="BF"/>
          <w:lang w:val="en-US"/>
        </w:rPr>
        <w:t xml:space="preserve"> </w:t>
      </w:r>
      <w:r w:rsidR="00736F2C">
        <w:rPr>
          <w:lang w:val="en-US"/>
        </w:rPr>
        <w:t xml:space="preserve">in CID1520747 and CID1520738 which are being </w:t>
      </w:r>
      <w:proofErr w:type="spellStart"/>
      <w:r w:rsidR="00736F2C">
        <w:rPr>
          <w:lang w:val="en-US"/>
        </w:rPr>
        <w:t>analysed</w:t>
      </w:r>
      <w:proofErr w:type="spellEnd"/>
      <w:r w:rsidR="00736F2C">
        <w:rPr>
          <w:lang w:val="en-US"/>
        </w:rPr>
        <w:t xml:space="preserve"> </w:t>
      </w:r>
      <w:r w:rsidR="00DD0B98">
        <w:rPr>
          <w:lang w:val="en-US"/>
        </w:rPr>
        <w:t>in this report</w:t>
      </w:r>
      <w:r w:rsidR="00736F2C">
        <w:rPr>
          <w:lang w:val="en-US"/>
        </w:rPr>
        <w:t xml:space="preserve">, however the </w:t>
      </w:r>
      <w:proofErr w:type="spellStart"/>
      <w:r w:rsidR="00736F2C"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elt</w:t>
      </w:r>
      <w:proofErr w:type="spellEnd"/>
      <w:r w:rsidR="00736F2C">
        <w:rPr>
          <w:lang w:val="en-US"/>
        </w:rPr>
        <w:t xml:space="preserve"> function is used to access elements in several linked lists</w:t>
      </w:r>
      <w:r w:rsidR="00D77942">
        <w:rPr>
          <w:lang w:val="en-US"/>
        </w:rPr>
        <w:t xml:space="preserve"> throughout the code</w:t>
      </w:r>
      <w:r w:rsidR="00736F2C">
        <w:rPr>
          <w:lang w:val="en-US"/>
        </w:rPr>
        <w:t xml:space="preserve"> such as</w:t>
      </w:r>
      <w:r w:rsidR="00D77942">
        <w:rPr>
          <w:lang w:val="en-US"/>
        </w:rPr>
        <w:t>:</w:t>
      </w:r>
    </w:p>
    <w:p w14:paraId="7403D78B" w14:textId="6F6BE7DA" w:rsidR="00D77942" w:rsidRDefault="00736F2C" w:rsidP="007938E5">
      <w:pPr>
        <w:rPr>
          <w:lang w:val="en-US"/>
        </w:rPr>
      </w:pPr>
      <w:proofErr w:type="spellStart"/>
      <w:r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bundle_list</w:t>
      </w:r>
      <w:proofErr w:type="spellEnd"/>
      <w:r w:rsidRPr="00E211E1">
        <w:rPr>
          <w:color w:val="2F5496" w:themeColor="accent1" w:themeShade="BF"/>
          <w:lang w:val="en-US"/>
        </w:rPr>
        <w:t xml:space="preserve"> </w:t>
      </w:r>
      <w:r w:rsidR="00D77942">
        <w:rPr>
          <w:color w:val="2F5496" w:themeColor="accent1" w:themeShade="BF"/>
          <w:lang w:val="en-US"/>
        </w:rPr>
        <w:t xml:space="preserve">- </w:t>
      </w:r>
      <w:r>
        <w:rPr>
          <w:lang w:val="en-US"/>
        </w:rPr>
        <w:t xml:space="preserve">linked list containing bundles that are ready for transmission and is used extensively throughout Bundle Protocol 7 to manage </w:t>
      </w:r>
      <w:proofErr w:type="gramStart"/>
      <w:r>
        <w:rPr>
          <w:lang w:val="en-US"/>
        </w:rPr>
        <w:t>bundles</w:t>
      </w:r>
      <w:proofErr w:type="gramEnd"/>
    </w:p>
    <w:p w14:paraId="3674DD3F" w14:textId="1A3935A6" w:rsidR="00B15400" w:rsidRDefault="00736F2C" w:rsidP="007938E5">
      <w:pPr>
        <w:rPr>
          <w:lang w:val="en-US"/>
        </w:rPr>
      </w:pPr>
      <w:proofErr w:type="spellStart"/>
      <w:r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xmit_blocks</w:t>
      </w:r>
      <w:proofErr w:type="spellEnd"/>
      <w:r w:rsidRPr="00E211E1">
        <w:rPr>
          <w:color w:val="2F5496" w:themeColor="accent1" w:themeShade="BF"/>
          <w:lang w:val="en-US"/>
        </w:rPr>
        <w:t xml:space="preserve"> </w:t>
      </w:r>
      <w:r w:rsidR="00D77942">
        <w:rPr>
          <w:lang w:val="en-US"/>
        </w:rPr>
        <w:t>-</w:t>
      </w:r>
      <w:r>
        <w:rPr>
          <w:lang w:val="en-US"/>
        </w:rPr>
        <w:t xml:space="preserve"> contains transmission blocks that are used to </w:t>
      </w:r>
      <w:r w:rsidR="00B823F9">
        <w:rPr>
          <w:lang w:val="en-US"/>
        </w:rPr>
        <w:t xml:space="preserve">store outgoing transmission blocks for bundles. </w:t>
      </w:r>
    </w:p>
    <w:p w14:paraId="01C77559" w14:textId="2A06D35B" w:rsidR="00D77942" w:rsidRDefault="00D77942" w:rsidP="007938E5">
      <w:pPr>
        <w:rPr>
          <w:lang w:val="en-US"/>
        </w:rPr>
      </w:pPr>
      <w:proofErr w:type="spellStart"/>
      <w:r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sm_list_data</w:t>
      </w:r>
      <w:proofErr w:type="spellEnd"/>
      <w:r>
        <w:rPr>
          <w:lang w:val="en-US"/>
        </w:rPr>
        <w:t xml:space="preserve"> – contains information about each bundle such as destination node, priority</w:t>
      </w:r>
      <w:r w:rsidR="00203FAD">
        <w:rPr>
          <w:lang w:val="en-US"/>
        </w:rPr>
        <w:t xml:space="preserve">, destination node and transmission </w:t>
      </w:r>
      <w:proofErr w:type="gramStart"/>
      <w:r w:rsidR="00203FAD">
        <w:rPr>
          <w:lang w:val="en-US"/>
        </w:rPr>
        <w:t>status</w:t>
      </w:r>
      <w:proofErr w:type="gramEnd"/>
    </w:p>
    <w:p w14:paraId="0E986BD2" w14:textId="7A23048E" w:rsidR="00B15400" w:rsidRDefault="00203FAD" w:rsidP="00BF2272">
      <w:pPr>
        <w:rPr>
          <w:noProof/>
          <w:lang w:val="en-US"/>
        </w:rPr>
      </w:pPr>
      <w:r>
        <w:rPr>
          <w:lang w:val="en-US"/>
        </w:rPr>
        <w:t xml:space="preserve">Given the frequency of occurrences of this issue in the DTN protocol and the potential for it to cause problems, efforts should be made to correct the issue as a priority. The use of </w:t>
      </w:r>
      <w:proofErr w:type="spellStart"/>
      <w:r w:rsidRPr="00E211E1">
        <w:rPr>
          <w:rFonts w:ascii="Consolas" w:hAnsi="Consolas"/>
          <w:color w:val="2F5496" w:themeColor="accent1" w:themeShade="BF"/>
          <w:sz w:val="18"/>
          <w:szCs w:val="18"/>
          <w:lang w:val="en-US"/>
        </w:rPr>
        <w:t>elt</w:t>
      </w:r>
      <w:proofErr w:type="spellEnd"/>
      <w:r>
        <w:rPr>
          <w:rFonts w:ascii="Consolas" w:hAnsi="Consolas"/>
          <w:color w:val="2F5496" w:themeColor="accent1" w:themeShade="BF"/>
          <w:sz w:val="18"/>
          <w:szCs w:val="18"/>
          <w:lang w:val="en-US"/>
        </w:rPr>
        <w:t xml:space="preserve"> </w:t>
      </w:r>
      <w:r>
        <w:rPr>
          <w:lang w:val="en-US"/>
        </w:rPr>
        <w:t xml:space="preserve">is recurring and central to the management of bundle transmission so any errors within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application should be addressed.</w:t>
      </w:r>
    </w:p>
    <w:p w14:paraId="5D08D2EE" w14:textId="77777777" w:rsidR="00B15400" w:rsidRDefault="00B15400" w:rsidP="00BF2272">
      <w:pPr>
        <w:rPr>
          <w:lang w:val="en-US"/>
        </w:rPr>
      </w:pPr>
    </w:p>
    <w:p w14:paraId="768403F0" w14:textId="7CA9083F" w:rsidR="0091465E" w:rsidRDefault="0091465E" w:rsidP="00BF2272">
      <w:pPr>
        <w:rPr>
          <w:rFonts w:asciiTheme="majorHAnsi" w:hAnsiTheme="majorHAnsi" w:cstheme="majorHAnsi"/>
          <w:color w:val="2F5496" w:themeColor="accent1" w:themeShade="BF"/>
          <w:sz w:val="26"/>
          <w:szCs w:val="26"/>
          <w:lang w:val="en-US"/>
        </w:rPr>
      </w:pPr>
      <w:r w:rsidRPr="002D1D65">
        <w:rPr>
          <w:rFonts w:asciiTheme="majorHAnsi" w:hAnsiTheme="majorHAnsi" w:cstheme="majorHAnsi"/>
          <w:color w:val="2F5496" w:themeColor="accent1" w:themeShade="BF"/>
          <w:sz w:val="26"/>
          <w:szCs w:val="26"/>
          <w:lang w:val="en-US"/>
        </w:rPr>
        <w:t>Out-of-bounds access errors</w:t>
      </w:r>
    </w:p>
    <w:p w14:paraId="069B3F55" w14:textId="1B486CB1" w:rsidR="007938E5" w:rsidRDefault="007938E5" w:rsidP="007938E5">
      <w:pPr>
        <w:rPr>
          <w:rFonts w:cstheme="minorHAnsi"/>
          <w:lang w:val="en-US"/>
        </w:rPr>
      </w:pPr>
      <w:bookmarkStart w:id="12" w:name="_Toc119848731"/>
      <w:r w:rsidRPr="007938E5">
        <w:rPr>
          <w:rFonts w:cstheme="minorHAnsi"/>
          <w:lang w:val="en-US"/>
        </w:rPr>
        <w:t xml:space="preserve">Out-of-bounds access errors can be considered a vulnerability in that </w:t>
      </w:r>
      <w:r>
        <w:rPr>
          <w:rFonts w:cstheme="minorHAnsi"/>
          <w:lang w:val="en-US"/>
        </w:rPr>
        <w:t xml:space="preserve">they can result in system crashes or unauthorized access to private information as documented in </w:t>
      </w:r>
      <w:r w:rsidRPr="007938E5">
        <w:rPr>
          <w:rFonts w:cstheme="minorHAnsi"/>
          <w:lang w:val="en-US"/>
        </w:rPr>
        <w:t>CWE-119 (CWE – CWE-119: Improper Restriction of Operations within the Bounds of a Memory Buffer).</w:t>
      </w:r>
      <w:r>
        <w:rPr>
          <w:rFonts w:cstheme="minorHAnsi"/>
          <w:lang w:val="en-US"/>
        </w:rPr>
        <w:t xml:space="preserve"> In a worst-case scenario, attackers could potentially exploit buffer overflow vulnerabilities such as the one present in ION DTN BPv7 to change execution paths and execute code that can be tailored to </w:t>
      </w:r>
      <w:r w:rsidRPr="007938E5">
        <w:rPr>
          <w:rFonts w:cstheme="minorHAnsi"/>
          <w:lang w:val="en-US"/>
        </w:rPr>
        <w:t>damage applications, crash systems or expose private information.</w:t>
      </w:r>
      <w:r>
        <w:rPr>
          <w:rFonts w:cstheme="minorHAnsi"/>
          <w:lang w:val="en-US"/>
        </w:rPr>
        <w:t xml:space="preserve"> A best-case scenario for such code errors is a crash of the system which could negatively affect NASA projects </w:t>
      </w:r>
      <w:r w:rsidR="00B01298">
        <w:rPr>
          <w:rFonts w:cstheme="minorHAnsi"/>
          <w:lang w:val="en-US"/>
        </w:rPr>
        <w:t>that</w:t>
      </w:r>
      <w:r>
        <w:rPr>
          <w:rFonts w:cstheme="minorHAnsi"/>
          <w:lang w:val="en-US"/>
        </w:rPr>
        <w:t xml:space="preserve"> use the protocol.</w:t>
      </w:r>
    </w:p>
    <w:p w14:paraId="04C0E54E" w14:textId="23A31569" w:rsidR="007938E5" w:rsidRPr="007938E5" w:rsidRDefault="007938E5" w:rsidP="007938E5">
      <w:pPr>
        <w:rPr>
          <w:rFonts w:cstheme="minorHAnsi"/>
          <w:lang w:val="en-US"/>
        </w:rPr>
      </w:pPr>
    </w:p>
    <w:p w14:paraId="35BB4F30" w14:textId="77777777" w:rsidR="00203FAD" w:rsidRDefault="00203FAD" w:rsidP="007F601A">
      <w:pPr>
        <w:pStyle w:val="Heading1"/>
        <w:spacing w:line="240" w:lineRule="auto"/>
      </w:pPr>
      <w:bookmarkStart w:id="13" w:name="_Toc119848732"/>
      <w:bookmarkEnd w:id="12"/>
    </w:p>
    <w:p w14:paraId="5570FAF2" w14:textId="77777777" w:rsidR="00203FAD" w:rsidRDefault="00203FAD" w:rsidP="007F601A">
      <w:pPr>
        <w:pStyle w:val="Heading1"/>
        <w:spacing w:line="240" w:lineRule="auto"/>
      </w:pPr>
    </w:p>
    <w:p w14:paraId="40FECA14" w14:textId="6DD9BE93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3"/>
    </w:p>
    <w:p w14:paraId="16F8289E" w14:textId="546664A3" w:rsidR="00795FF2" w:rsidRPr="00DD1768" w:rsidRDefault="00B15400" w:rsidP="0091465E">
      <w:pPr>
        <w:jc w:val="both"/>
        <w:rPr>
          <w:rStyle w:val="SubtleEmphasis"/>
          <w:i w:val="0"/>
          <w:iCs w:val="0"/>
          <w:color w:val="auto"/>
        </w:rPr>
      </w:pPr>
      <w:r w:rsidRPr="00DD1768">
        <w:rPr>
          <w:rStyle w:val="SubtleEmphasis"/>
          <w:i w:val="0"/>
          <w:iCs w:val="0"/>
          <w:color w:val="auto"/>
        </w:rPr>
        <w:t xml:space="preserve">The C language does not automatically validate the locations to which memory buffers are assigned and lacks a ‘garbage collection’ type memory management scheme as in Java or Python. As such, efforts need to be made to validate the values being passed to the </w:t>
      </w:r>
      <w:proofErr w:type="spellStart"/>
      <w:r w:rsidRPr="00E211E1">
        <w:rPr>
          <w:rStyle w:val="SubtleEmphasis"/>
          <w:rFonts w:ascii="Consolas" w:hAnsi="Consolas"/>
          <w:i w:val="0"/>
          <w:iCs w:val="0"/>
          <w:color w:val="2F5496" w:themeColor="accent1" w:themeShade="BF"/>
          <w:sz w:val="18"/>
          <w:szCs w:val="18"/>
        </w:rPr>
        <w:t>elt</w:t>
      </w:r>
      <w:proofErr w:type="spellEnd"/>
      <w:r w:rsidRPr="00DD1768">
        <w:rPr>
          <w:rStyle w:val="SubtleEmphasis"/>
          <w:rFonts w:ascii="Consolas" w:hAnsi="Consolas"/>
          <w:i w:val="0"/>
          <w:iCs w:val="0"/>
          <w:color w:val="auto"/>
          <w:sz w:val="20"/>
          <w:szCs w:val="20"/>
        </w:rPr>
        <w:t xml:space="preserve"> </w:t>
      </w:r>
      <w:r w:rsidRPr="00DD1768">
        <w:rPr>
          <w:rStyle w:val="SubtleEmphasis"/>
          <w:i w:val="0"/>
          <w:iCs w:val="0"/>
          <w:color w:val="auto"/>
        </w:rPr>
        <w:t>variable.</w:t>
      </w:r>
      <w:r w:rsidR="004B5845" w:rsidRPr="00DD1768">
        <w:rPr>
          <w:rStyle w:val="SubtleEmphasis"/>
          <w:i w:val="0"/>
          <w:iCs w:val="0"/>
          <w:color w:val="auto"/>
        </w:rPr>
        <w:t xml:space="preserve"> A function should be included in the code which validates the </w:t>
      </w:r>
      <w:proofErr w:type="spellStart"/>
      <w:r w:rsidR="004B5845" w:rsidRPr="00E211E1">
        <w:rPr>
          <w:rStyle w:val="SubtleEmphasis"/>
          <w:rFonts w:ascii="Consolas" w:hAnsi="Consolas"/>
          <w:i w:val="0"/>
          <w:iCs w:val="0"/>
          <w:color w:val="2F5496" w:themeColor="accent1" w:themeShade="BF"/>
          <w:sz w:val="18"/>
          <w:szCs w:val="18"/>
        </w:rPr>
        <w:t>elt</w:t>
      </w:r>
      <w:proofErr w:type="spellEnd"/>
      <w:r w:rsidR="004B5845" w:rsidRPr="00DD1768">
        <w:rPr>
          <w:rStyle w:val="SubtleEmphasis"/>
          <w:i w:val="0"/>
          <w:iCs w:val="0"/>
          <w:color w:val="auto"/>
        </w:rPr>
        <w:t xml:space="preserve"> </w:t>
      </w:r>
      <w:r w:rsidR="008E6CA1" w:rsidRPr="00DD1768">
        <w:rPr>
          <w:rStyle w:val="SubtleEmphasis"/>
          <w:i w:val="0"/>
          <w:iCs w:val="0"/>
          <w:color w:val="auto"/>
        </w:rPr>
        <w:t>function returns</w:t>
      </w:r>
      <w:r w:rsidR="004B5845" w:rsidRPr="00DD1768">
        <w:rPr>
          <w:rStyle w:val="SubtleEmphasis"/>
          <w:i w:val="0"/>
          <w:iCs w:val="0"/>
          <w:color w:val="auto"/>
        </w:rPr>
        <w:t xml:space="preserve"> 1 or no greater than the number of elements in the linked list</w:t>
      </w:r>
      <w:r w:rsidR="008E6CA1" w:rsidRPr="00DD1768">
        <w:rPr>
          <w:rStyle w:val="SubtleEmphasis"/>
          <w:i w:val="0"/>
          <w:iCs w:val="0"/>
          <w:color w:val="auto"/>
        </w:rPr>
        <w:t xml:space="preserve"> </w:t>
      </w:r>
      <w:proofErr w:type="spellStart"/>
      <w:r w:rsidR="008E6CA1" w:rsidRPr="00E211E1">
        <w:rPr>
          <w:rStyle w:val="SubtleEmphasis"/>
          <w:rFonts w:ascii="Consolas" w:hAnsi="Consolas"/>
          <w:i w:val="0"/>
          <w:iCs w:val="0"/>
          <w:color w:val="2F5496" w:themeColor="accent1" w:themeShade="BF"/>
          <w:sz w:val="18"/>
          <w:szCs w:val="18"/>
        </w:rPr>
        <w:t>sm_list_data</w:t>
      </w:r>
      <w:proofErr w:type="spellEnd"/>
      <w:r w:rsidR="004B5845" w:rsidRPr="00DD1768">
        <w:rPr>
          <w:rStyle w:val="SubtleEmphasis"/>
          <w:i w:val="0"/>
          <w:iCs w:val="0"/>
          <w:color w:val="auto"/>
        </w:rPr>
        <w:t xml:space="preserve">. </w:t>
      </w:r>
      <w:r w:rsidR="00795FF2" w:rsidRPr="00DD1768">
        <w:rPr>
          <w:rStyle w:val="SubtleEmphasis"/>
          <w:i w:val="0"/>
          <w:iCs w:val="0"/>
          <w:color w:val="auto"/>
        </w:rPr>
        <w:t>This would avoid</w:t>
      </w:r>
      <w:r w:rsidR="00795FF2" w:rsidRPr="00E211E1">
        <w:rPr>
          <w:rStyle w:val="SubtleEmphasis"/>
          <w:rFonts w:ascii="Consolas" w:hAnsi="Consolas"/>
          <w:i w:val="0"/>
          <w:iCs w:val="0"/>
          <w:color w:val="2F5496" w:themeColor="accent1" w:themeShade="BF"/>
          <w:sz w:val="18"/>
          <w:szCs w:val="18"/>
        </w:rPr>
        <w:t xml:space="preserve"> </w:t>
      </w:r>
      <w:proofErr w:type="spellStart"/>
      <w:r w:rsidR="00795FF2" w:rsidRPr="00E211E1">
        <w:rPr>
          <w:rStyle w:val="SubtleEmphasis"/>
          <w:rFonts w:ascii="Consolas" w:hAnsi="Consolas"/>
          <w:i w:val="0"/>
          <w:iCs w:val="0"/>
          <w:color w:val="2F5496" w:themeColor="accent1" w:themeShade="BF"/>
          <w:sz w:val="18"/>
          <w:szCs w:val="18"/>
        </w:rPr>
        <w:t>elt</w:t>
      </w:r>
      <w:proofErr w:type="spellEnd"/>
      <w:r w:rsidR="00795FF2" w:rsidRPr="00E211E1">
        <w:rPr>
          <w:rStyle w:val="SubtleEmphasis"/>
          <w:i w:val="0"/>
          <w:iCs w:val="0"/>
          <w:color w:val="2F5496" w:themeColor="accent1" w:themeShade="BF"/>
        </w:rPr>
        <w:t xml:space="preserve"> </w:t>
      </w:r>
      <w:r w:rsidR="00795FF2" w:rsidRPr="00DD1768">
        <w:rPr>
          <w:rStyle w:val="SubtleEmphasis"/>
          <w:i w:val="0"/>
          <w:iCs w:val="0"/>
          <w:color w:val="auto"/>
        </w:rPr>
        <w:t>taking a negative value and as a result being interpreted as an unsigned integer.</w:t>
      </w:r>
    </w:p>
    <w:p w14:paraId="6DC24080" w14:textId="0DD47BA6" w:rsidR="00DD1768" w:rsidRDefault="008E6CA1" w:rsidP="0091465E">
      <w:pPr>
        <w:jc w:val="both"/>
        <w:rPr>
          <w:rStyle w:val="SubtleEmphasis"/>
          <w:i w:val="0"/>
          <w:iCs w:val="0"/>
          <w:color w:val="auto"/>
        </w:rPr>
      </w:pPr>
      <w:r w:rsidRPr="00DD1768">
        <w:rPr>
          <w:rStyle w:val="SubtleEmphasis"/>
          <w:i w:val="0"/>
          <w:iCs w:val="0"/>
          <w:color w:val="auto"/>
        </w:rPr>
        <w:t xml:space="preserve">An example, albeit out of context, of a function that could be used to validate the values of </w:t>
      </w:r>
      <w:proofErr w:type="spellStart"/>
      <w:r w:rsidRPr="00E7310F">
        <w:rPr>
          <w:rStyle w:val="SubtleEmphasis"/>
          <w:rFonts w:ascii="Consolas" w:hAnsi="Consolas"/>
          <w:i w:val="0"/>
          <w:iCs w:val="0"/>
          <w:color w:val="2F5496" w:themeColor="accent1" w:themeShade="BF"/>
          <w:sz w:val="18"/>
          <w:szCs w:val="18"/>
        </w:rPr>
        <w:t>elt</w:t>
      </w:r>
      <w:proofErr w:type="spellEnd"/>
      <w:r w:rsidRPr="00E7310F">
        <w:rPr>
          <w:rStyle w:val="SubtleEmphasis"/>
          <w:i w:val="0"/>
          <w:iCs w:val="0"/>
          <w:color w:val="2F5496" w:themeColor="accent1" w:themeShade="BF"/>
        </w:rPr>
        <w:t xml:space="preserve"> </w:t>
      </w:r>
      <w:r w:rsidRPr="00DD1768">
        <w:rPr>
          <w:rStyle w:val="SubtleEmphasis"/>
          <w:i w:val="0"/>
          <w:iCs w:val="0"/>
          <w:color w:val="auto"/>
        </w:rPr>
        <w:t>is shown in Fig.4</w:t>
      </w:r>
      <w:r w:rsidR="00A700CC">
        <w:rPr>
          <w:rStyle w:val="SubtleEmphasis"/>
          <w:i w:val="0"/>
          <w:iCs w:val="0"/>
          <w:color w:val="auto"/>
        </w:rPr>
        <w:t>.</w:t>
      </w:r>
    </w:p>
    <w:p w14:paraId="100CA832" w14:textId="77777777" w:rsidR="00DD1768" w:rsidRDefault="00DD1768" w:rsidP="0091465E">
      <w:pPr>
        <w:jc w:val="both"/>
        <w:rPr>
          <w:rStyle w:val="SubtleEmphasis"/>
          <w:i w:val="0"/>
          <w:iCs w:val="0"/>
          <w:color w:val="auto"/>
        </w:rPr>
      </w:pPr>
    </w:p>
    <w:p w14:paraId="776AC49E" w14:textId="50315813" w:rsidR="008E6CA1" w:rsidRDefault="00DD1768" w:rsidP="0091465E">
      <w:pPr>
        <w:jc w:val="both"/>
        <w:rPr>
          <w:rStyle w:val="SubtleEmphasis"/>
          <w:i w:val="0"/>
          <w:iCs w:val="0"/>
          <w:color w:val="auto"/>
        </w:rPr>
      </w:pPr>
      <w:r w:rsidRPr="008C2023">
        <w:rPr>
          <w:rStyle w:val="SubtleEmphasis"/>
          <w:i w:val="0"/>
          <w:iCs w:val="0"/>
          <w:noProof/>
          <w:color w:val="000000" w:themeColor="text1"/>
        </w:rPr>
        <w:drawing>
          <wp:inline distT="0" distB="0" distL="0" distR="0" wp14:anchorId="28B2242A" wp14:editId="55221834">
            <wp:extent cx="3301999" cy="996950"/>
            <wp:effectExtent l="0" t="0" r="0" b="0"/>
            <wp:docPr id="2123370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7008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282" cy="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D7EB" w14:textId="77777777" w:rsidR="00A700CC" w:rsidRPr="00DD1768" w:rsidRDefault="00A700CC" w:rsidP="0091465E">
      <w:pPr>
        <w:jc w:val="both"/>
        <w:rPr>
          <w:rStyle w:val="SubtleEmphasis"/>
          <w:i w:val="0"/>
          <w:iCs w:val="0"/>
          <w:color w:val="auto"/>
        </w:rPr>
      </w:pPr>
    </w:p>
    <w:p w14:paraId="44FDAD80" w14:textId="25DFC063" w:rsidR="00795FF2" w:rsidRPr="00DD1768" w:rsidRDefault="00795FF2" w:rsidP="0091465E">
      <w:pPr>
        <w:jc w:val="both"/>
        <w:rPr>
          <w:rStyle w:val="SubtleEmphasis"/>
          <w:i w:val="0"/>
          <w:iCs w:val="0"/>
          <w:color w:val="auto"/>
        </w:rPr>
      </w:pPr>
      <w:r w:rsidRPr="00DD1768">
        <w:rPr>
          <w:rStyle w:val="SubtleEmphasis"/>
          <w:i w:val="0"/>
          <w:iCs w:val="0"/>
          <w:color w:val="auto"/>
        </w:rPr>
        <w:t xml:space="preserve">Alternatively, consideration could be made for the NASA DTN protocol to be written in another programming language such as Python or Java. </w:t>
      </w:r>
    </w:p>
    <w:p w14:paraId="4841362D" w14:textId="773AEC90" w:rsidR="008C2023" w:rsidRDefault="008C2023" w:rsidP="0091465E">
      <w:pPr>
        <w:jc w:val="both"/>
        <w:rPr>
          <w:rStyle w:val="SubtleEmphasis"/>
          <w:i w:val="0"/>
          <w:iCs w:val="0"/>
          <w:color w:val="000000" w:themeColor="text1"/>
        </w:rPr>
      </w:pPr>
    </w:p>
    <w:p w14:paraId="55693EDC" w14:textId="13E46757" w:rsidR="0043201C" w:rsidRPr="00C8515D" w:rsidRDefault="0043201C" w:rsidP="00C8515D">
      <w:pPr>
        <w:jc w:val="both"/>
        <w:rPr>
          <w:color w:val="404040" w:themeColor="text1" w:themeTint="BF"/>
        </w:rPr>
      </w:pPr>
      <w:r>
        <w:br w:type="page"/>
      </w:r>
    </w:p>
    <w:p w14:paraId="38ADAC0A" w14:textId="4BB60A20" w:rsidR="00E04A97" w:rsidRPr="00E04A97" w:rsidRDefault="00CF6C70" w:rsidP="00E04A97">
      <w:pPr>
        <w:rPr>
          <w:i/>
          <w:iCs/>
          <w:color w:val="404040" w:themeColor="text1" w:themeTint="BF"/>
        </w:rPr>
      </w:pPr>
      <w:bookmarkStart w:id="14" w:name="_Toc119848733"/>
      <w:r w:rsidRPr="0032522D">
        <w:rPr>
          <w:rStyle w:val="Heading1Char"/>
        </w:rPr>
        <w:lastRenderedPageBreak/>
        <w:t>References</w:t>
      </w:r>
      <w:bookmarkEnd w:id="14"/>
    </w:p>
    <w:p w14:paraId="20E8736C" w14:textId="77777777" w:rsidR="00E04A97" w:rsidRPr="00B01298" w:rsidRDefault="00E04A97" w:rsidP="00CF6C70">
      <w:pPr>
        <w:rPr>
          <w:color w:val="000000" w:themeColor="text1"/>
        </w:rPr>
      </w:pPr>
      <w:r w:rsidRPr="00B01298">
        <w:rPr>
          <w:color w:val="000000" w:themeColor="text1"/>
        </w:rPr>
        <w:t xml:space="preserve">CWE-119: Improper Restriction of Operations within the Bounds of a Memory Buffer (2023 January) </w:t>
      </w:r>
      <w:r w:rsidRPr="00B01298">
        <w:rPr>
          <w:i/>
          <w:iCs/>
          <w:color w:val="000000" w:themeColor="text1"/>
        </w:rPr>
        <w:t xml:space="preserve">Common Weakness Enumeration </w:t>
      </w:r>
      <w:hyperlink r:id="rId17" w:history="1">
        <w:r w:rsidRPr="00B01298">
          <w:rPr>
            <w:rStyle w:val="Hyperlink"/>
            <w:color w:val="000000" w:themeColor="text1"/>
          </w:rPr>
          <w:t>https://cwe.mitre.org/data/definitions/119.html</w:t>
        </w:r>
      </w:hyperlink>
    </w:p>
    <w:p w14:paraId="395FFA8B" w14:textId="6E7F3385" w:rsidR="00795FF2" w:rsidRPr="00B01298" w:rsidRDefault="00CF6C70" w:rsidP="00CF6C70">
      <w:pPr>
        <w:rPr>
          <w:rStyle w:val="Heading1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B01298">
        <w:rPr>
          <w:color w:val="000000" w:themeColor="text1"/>
        </w:rPr>
        <w:br/>
      </w:r>
      <w:bookmarkStart w:id="15" w:name="_Toc119848734"/>
      <w:r w:rsidR="003C22FE" w:rsidRPr="00B01298">
        <w:rPr>
          <w:rStyle w:val="Heading1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ISO/IEC 9899:201x. (2011 April) </w:t>
      </w:r>
      <w:r w:rsidR="003C22FE" w:rsidRPr="00B01298">
        <w:rPr>
          <w:rStyle w:val="Heading1Char"/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 xml:space="preserve">International Standard: Programming languages </w:t>
      </w:r>
      <w:r w:rsidR="0068748F" w:rsidRPr="00B01298">
        <w:rPr>
          <w:rStyle w:val="Heading1Char"/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–</w:t>
      </w:r>
      <w:r w:rsidR="003C22FE" w:rsidRPr="00B01298">
        <w:rPr>
          <w:rStyle w:val="Heading1Char"/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 xml:space="preserve"> C</w:t>
      </w:r>
      <w:r w:rsidR="0068748F" w:rsidRPr="00B01298">
        <w:rPr>
          <w:rStyle w:val="Heading1Char"/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 xml:space="preserve"> </w:t>
      </w:r>
      <w:hyperlink r:id="rId18" w:history="1">
        <w:r w:rsidR="0068748F" w:rsidRPr="00B01298">
          <w:rPr>
            <w:rStyle w:val="Hyperlink"/>
            <w:color w:val="000000" w:themeColor="text1"/>
          </w:rPr>
          <w:t>https://www.open-std.org/jtc1/sc22/wg14/www/docs/n1570.pdf</w:t>
        </w:r>
      </w:hyperlink>
      <w:r w:rsidR="0068748F" w:rsidRPr="00B01298">
        <w:rPr>
          <w:color w:val="000000" w:themeColor="text1"/>
        </w:rPr>
        <w:t xml:space="preserve"> (6.3.1.3p2)</w:t>
      </w:r>
    </w:p>
    <w:p w14:paraId="512CE0C2" w14:textId="3EA775D3" w:rsidR="008310AF" w:rsidRPr="00795FF2" w:rsidRDefault="0043201C" w:rsidP="00CF6C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2522D">
        <w:rPr>
          <w:rStyle w:val="Heading1Char"/>
        </w:rPr>
        <w:t>Appendix</w:t>
      </w:r>
      <w:bookmarkEnd w:id="15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CFD4" w14:textId="77777777" w:rsidR="00871D1B" w:rsidRDefault="00871D1B" w:rsidP="009924FC">
      <w:pPr>
        <w:spacing w:after="0" w:line="240" w:lineRule="auto"/>
      </w:pPr>
      <w:r>
        <w:separator/>
      </w:r>
    </w:p>
  </w:endnote>
  <w:endnote w:type="continuationSeparator" w:id="0">
    <w:p w14:paraId="2285B9AC" w14:textId="77777777" w:rsidR="00871D1B" w:rsidRDefault="00871D1B" w:rsidP="009924FC">
      <w:pPr>
        <w:spacing w:after="0" w:line="240" w:lineRule="auto"/>
      </w:pPr>
      <w:r>
        <w:continuationSeparator/>
      </w:r>
    </w:p>
  </w:endnote>
  <w:endnote w:type="continuationNotice" w:id="1">
    <w:p w14:paraId="0E7A8E14" w14:textId="77777777" w:rsidR="00871D1B" w:rsidRDefault="00871D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0E51" w14:textId="77777777" w:rsidR="00871D1B" w:rsidRDefault="00871D1B" w:rsidP="009924FC">
      <w:pPr>
        <w:spacing w:after="0" w:line="240" w:lineRule="auto"/>
      </w:pPr>
      <w:r>
        <w:separator/>
      </w:r>
    </w:p>
  </w:footnote>
  <w:footnote w:type="continuationSeparator" w:id="0">
    <w:p w14:paraId="5E3EE213" w14:textId="77777777" w:rsidR="00871D1B" w:rsidRDefault="00871D1B" w:rsidP="009924FC">
      <w:pPr>
        <w:spacing w:after="0" w:line="240" w:lineRule="auto"/>
      </w:pPr>
      <w:r>
        <w:continuationSeparator/>
      </w:r>
    </w:p>
  </w:footnote>
  <w:footnote w:type="continuationNotice" w:id="1">
    <w:p w14:paraId="516AE533" w14:textId="77777777" w:rsidR="00871D1B" w:rsidRDefault="00871D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46E4"/>
    <w:rsid w:val="00023C9A"/>
    <w:rsid w:val="000A419C"/>
    <w:rsid w:val="000D4059"/>
    <w:rsid w:val="00143A90"/>
    <w:rsid w:val="001513ED"/>
    <w:rsid w:val="0015412D"/>
    <w:rsid w:val="0016438D"/>
    <w:rsid w:val="001B7BFE"/>
    <w:rsid w:val="00203FAD"/>
    <w:rsid w:val="002079A7"/>
    <w:rsid w:val="0024678A"/>
    <w:rsid w:val="00264F8A"/>
    <w:rsid w:val="002700C8"/>
    <w:rsid w:val="00271952"/>
    <w:rsid w:val="00277D22"/>
    <w:rsid w:val="00291603"/>
    <w:rsid w:val="002D1D65"/>
    <w:rsid w:val="002E17AD"/>
    <w:rsid w:val="002E4393"/>
    <w:rsid w:val="0032522D"/>
    <w:rsid w:val="003934F3"/>
    <w:rsid w:val="003C0F33"/>
    <w:rsid w:val="003C22FE"/>
    <w:rsid w:val="003E26D0"/>
    <w:rsid w:val="00406E2C"/>
    <w:rsid w:val="0043201C"/>
    <w:rsid w:val="00435289"/>
    <w:rsid w:val="00451B99"/>
    <w:rsid w:val="004B5845"/>
    <w:rsid w:val="0056099A"/>
    <w:rsid w:val="00560CC6"/>
    <w:rsid w:val="00560E1B"/>
    <w:rsid w:val="0059562E"/>
    <w:rsid w:val="00596D5D"/>
    <w:rsid w:val="005A1612"/>
    <w:rsid w:val="005B1F36"/>
    <w:rsid w:val="005E4972"/>
    <w:rsid w:val="00615F8E"/>
    <w:rsid w:val="006174F0"/>
    <w:rsid w:val="00632907"/>
    <w:rsid w:val="0068748F"/>
    <w:rsid w:val="00690363"/>
    <w:rsid w:val="006B1731"/>
    <w:rsid w:val="006F00D0"/>
    <w:rsid w:val="007127F2"/>
    <w:rsid w:val="00714745"/>
    <w:rsid w:val="00735B8A"/>
    <w:rsid w:val="00736F2C"/>
    <w:rsid w:val="00741E83"/>
    <w:rsid w:val="00751824"/>
    <w:rsid w:val="007938E5"/>
    <w:rsid w:val="00795FF2"/>
    <w:rsid w:val="00797A72"/>
    <w:rsid w:val="007A510E"/>
    <w:rsid w:val="007F601A"/>
    <w:rsid w:val="008310AF"/>
    <w:rsid w:val="0083315C"/>
    <w:rsid w:val="00871D1B"/>
    <w:rsid w:val="00886E80"/>
    <w:rsid w:val="008C2023"/>
    <w:rsid w:val="008D4B4E"/>
    <w:rsid w:val="008E6CA1"/>
    <w:rsid w:val="009030EC"/>
    <w:rsid w:val="0091465E"/>
    <w:rsid w:val="009538F8"/>
    <w:rsid w:val="00991543"/>
    <w:rsid w:val="009924FC"/>
    <w:rsid w:val="009B1A6E"/>
    <w:rsid w:val="009B6BF2"/>
    <w:rsid w:val="00A700CC"/>
    <w:rsid w:val="00A8155D"/>
    <w:rsid w:val="00AB15D9"/>
    <w:rsid w:val="00AE7F4D"/>
    <w:rsid w:val="00B01298"/>
    <w:rsid w:val="00B13EBD"/>
    <w:rsid w:val="00B15400"/>
    <w:rsid w:val="00B52E44"/>
    <w:rsid w:val="00B823F9"/>
    <w:rsid w:val="00B87FAE"/>
    <w:rsid w:val="00BC1B6C"/>
    <w:rsid w:val="00BC6F2B"/>
    <w:rsid w:val="00BF2272"/>
    <w:rsid w:val="00C009F3"/>
    <w:rsid w:val="00C21096"/>
    <w:rsid w:val="00C31A32"/>
    <w:rsid w:val="00C735C5"/>
    <w:rsid w:val="00C8515D"/>
    <w:rsid w:val="00CA7AF5"/>
    <w:rsid w:val="00CB5194"/>
    <w:rsid w:val="00CC06B2"/>
    <w:rsid w:val="00CF6C70"/>
    <w:rsid w:val="00D178E7"/>
    <w:rsid w:val="00D40C66"/>
    <w:rsid w:val="00D42633"/>
    <w:rsid w:val="00D7768C"/>
    <w:rsid w:val="00D77942"/>
    <w:rsid w:val="00D904DA"/>
    <w:rsid w:val="00DB13F7"/>
    <w:rsid w:val="00DB3D1C"/>
    <w:rsid w:val="00DD0173"/>
    <w:rsid w:val="00DD0B98"/>
    <w:rsid w:val="00DD1768"/>
    <w:rsid w:val="00DE367F"/>
    <w:rsid w:val="00E04A97"/>
    <w:rsid w:val="00E211E1"/>
    <w:rsid w:val="00E261B5"/>
    <w:rsid w:val="00E7310F"/>
    <w:rsid w:val="00E9435D"/>
    <w:rsid w:val="00ED474C"/>
    <w:rsid w:val="00EE2715"/>
    <w:rsid w:val="00F026E0"/>
    <w:rsid w:val="00F121FD"/>
    <w:rsid w:val="00F23A10"/>
    <w:rsid w:val="00F64C27"/>
    <w:rsid w:val="00F82D32"/>
    <w:rsid w:val="00FB574D"/>
    <w:rsid w:val="00FE5FC2"/>
    <w:rsid w:val="00FF579C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44"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styleId="FollowedHyperlink">
    <w:name w:val="FollowedHyperlink"/>
    <w:basedOn w:val="DefaultParagraphFont"/>
    <w:uiPriority w:val="99"/>
    <w:semiHidden/>
    <w:unhideWhenUsed/>
    <w:rsid w:val="003C2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www.open-std.org/jtc1/sc22/wg14/www/docs/n1570.pdf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yperlink" Target="https://cwe.mitre.org/data/definitions/119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8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DEAN SCANLON</cp:lastModifiedBy>
  <cp:revision>22</cp:revision>
  <cp:lastPrinted>2023-04-19T06:45:00Z</cp:lastPrinted>
  <dcterms:created xsi:type="dcterms:W3CDTF">2023-04-25T00:48:00Z</dcterms:created>
  <dcterms:modified xsi:type="dcterms:W3CDTF">2023-05-05T21:58:00Z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