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0756A795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64426887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05BEF0B0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1183774723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1581831237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79"/>
        <w:gridCol w:w="1808"/>
        <w:gridCol w:w="4426"/>
      </w:tblGrid>
      <w:tr w:rsidRPr="00C55BBE" w:rsidR="008310AF" w:rsidTr="22452843" w14:paraId="3ADBD142" w14:textId="77777777">
        <w:tc>
          <w:tcPr>
            <w:tcW w:w="1413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22452843" w14:paraId="2D629906" w14:textId="77777777">
        <w:tc>
          <w:tcPr>
            <w:tcW w:w="1413" w:type="dxa"/>
          </w:tcPr>
          <w:p w:rsidR="008310AF" w:rsidP="008310AF" w:rsidRDefault="002617E9" w14:paraId="1DF7A546" w14:textId="23A7290E">
            <w:pPr>
              <w:jc w:val="center"/>
            </w:pPr>
            <w:r>
              <w:t>28/08/2023</w:t>
            </w:r>
          </w:p>
        </w:tc>
        <w:tc>
          <w:tcPr>
            <w:tcW w:w="1417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:rsidR="008310AF" w:rsidP="00632907" w:rsidRDefault="002617E9" w14:paraId="5CFA5C10" w14:textId="74E14121">
            <w:pPr>
              <w:jc w:val="both"/>
            </w:pPr>
            <w:r>
              <w:t xml:space="preserve">Anthony </w:t>
            </w:r>
            <w:proofErr w:type="spellStart"/>
            <w:r>
              <w:t>Scantsonihas</w:t>
            </w:r>
            <w:proofErr w:type="spellEnd"/>
          </w:p>
        </w:tc>
        <w:tc>
          <w:tcPr>
            <w:tcW w:w="4677" w:type="dxa"/>
          </w:tcPr>
          <w:p w:rsidR="008310AF" w:rsidP="00632907" w:rsidRDefault="002617E9" w14:paraId="0BAAAAAE" w14:textId="286D18D0">
            <w:pPr>
              <w:jc w:val="both"/>
            </w:pPr>
            <w:r>
              <w:t>Beginning of investigation</w:t>
            </w:r>
          </w:p>
        </w:tc>
      </w:tr>
      <w:tr w:rsidR="008310AF" w:rsidTr="22452843" w14:paraId="7CAAB99E" w14:textId="77777777">
        <w:tc>
          <w:tcPr>
            <w:tcW w:w="1413" w:type="dxa"/>
          </w:tcPr>
          <w:p w:rsidR="008310AF" w:rsidP="00632907" w:rsidRDefault="002617E9" w14:paraId="3A953D6B" w14:textId="3336AB69">
            <w:pPr>
              <w:jc w:val="both"/>
            </w:pPr>
            <w:r>
              <w:t>30/08/2023</w:t>
            </w:r>
          </w:p>
        </w:tc>
        <w:tc>
          <w:tcPr>
            <w:tcW w:w="1417" w:type="dxa"/>
          </w:tcPr>
          <w:p w:rsidR="008310AF" w:rsidP="00632907" w:rsidRDefault="002617E9" w14:paraId="0A61FB3B" w14:textId="23539260">
            <w:pPr>
              <w:jc w:val="both"/>
            </w:pPr>
            <w:r>
              <w:t>V0.2</w:t>
            </w:r>
          </w:p>
        </w:tc>
        <w:tc>
          <w:tcPr>
            <w:tcW w:w="1843" w:type="dxa"/>
          </w:tcPr>
          <w:p w:rsidR="008310AF" w:rsidP="00632907" w:rsidRDefault="002617E9" w14:paraId="6BEFB33D" w14:textId="41A2B16B">
            <w:pPr>
              <w:jc w:val="both"/>
            </w:pPr>
            <w:r>
              <w:t xml:space="preserve">Anthony </w:t>
            </w:r>
            <w:proofErr w:type="spellStart"/>
            <w:r>
              <w:t>Scantsonihas</w:t>
            </w:r>
            <w:proofErr w:type="spellEnd"/>
          </w:p>
        </w:tc>
        <w:tc>
          <w:tcPr>
            <w:tcW w:w="4677" w:type="dxa"/>
          </w:tcPr>
          <w:p w:rsidR="008310AF" w:rsidP="00632907" w:rsidRDefault="002617E9" w14:paraId="65BC1CD3" w14:textId="44396099">
            <w:pPr>
              <w:jc w:val="both"/>
            </w:pPr>
            <w:r>
              <w:t>Researched the flagged code</w:t>
            </w:r>
          </w:p>
        </w:tc>
      </w:tr>
      <w:tr w:rsidR="008310AF" w:rsidTr="22452843" w14:paraId="246C7945" w14:textId="77777777">
        <w:tc>
          <w:tcPr>
            <w:tcW w:w="1413" w:type="dxa"/>
          </w:tcPr>
          <w:p w:rsidR="008310AF" w:rsidP="00632907" w:rsidRDefault="002617E9" w14:paraId="3C9FE2FA" w14:textId="4EAC1B67">
            <w:pPr>
              <w:jc w:val="both"/>
            </w:pPr>
            <w:r>
              <w:t>01/09/2023</w:t>
            </w:r>
          </w:p>
        </w:tc>
        <w:tc>
          <w:tcPr>
            <w:tcW w:w="1417" w:type="dxa"/>
          </w:tcPr>
          <w:p w:rsidR="008310AF" w:rsidP="00632907" w:rsidRDefault="002617E9" w14:paraId="5CD35EF8" w14:textId="39F1FA5B">
            <w:pPr>
              <w:jc w:val="both"/>
            </w:pPr>
            <w:r>
              <w:t>V0.3</w:t>
            </w:r>
          </w:p>
        </w:tc>
        <w:tc>
          <w:tcPr>
            <w:tcW w:w="1843" w:type="dxa"/>
          </w:tcPr>
          <w:p w:rsidR="008310AF" w:rsidP="00632907" w:rsidRDefault="002617E9" w14:paraId="33EF3B3E" w14:textId="53732971">
            <w:pPr>
              <w:jc w:val="both"/>
            </w:pPr>
            <w:r>
              <w:t xml:space="preserve">Anthony </w:t>
            </w:r>
            <w:proofErr w:type="spellStart"/>
            <w:r>
              <w:t>Scantsonihas</w:t>
            </w:r>
            <w:proofErr w:type="spellEnd"/>
          </w:p>
        </w:tc>
        <w:tc>
          <w:tcPr>
            <w:tcW w:w="4677" w:type="dxa"/>
          </w:tcPr>
          <w:p w:rsidR="008310AF" w:rsidP="00632907" w:rsidRDefault="002617E9" w14:paraId="7BC0899E" w14:textId="61715CA0">
            <w:pPr>
              <w:jc w:val="both"/>
            </w:pPr>
            <w:r>
              <w:t xml:space="preserve">Began report write up </w:t>
            </w:r>
          </w:p>
        </w:tc>
      </w:tr>
      <w:tr w:rsidR="002617E9" w:rsidTr="22452843" w14:paraId="23296E3D" w14:textId="77777777">
        <w:tc>
          <w:tcPr>
            <w:tcW w:w="1413" w:type="dxa"/>
          </w:tcPr>
          <w:p w:rsidR="002617E9" w:rsidP="00632907" w:rsidRDefault="002617E9" w14:paraId="7798B30D" w14:textId="715E4151">
            <w:pPr>
              <w:jc w:val="both"/>
            </w:pPr>
            <w:r>
              <w:t>08/09/2023</w:t>
            </w:r>
          </w:p>
        </w:tc>
        <w:tc>
          <w:tcPr>
            <w:tcW w:w="1417" w:type="dxa"/>
          </w:tcPr>
          <w:p w:rsidR="002617E9" w:rsidP="00632907" w:rsidRDefault="002617E9" w14:paraId="3819E1F3" w14:textId="73DB82FE">
            <w:pPr>
              <w:jc w:val="both"/>
            </w:pPr>
            <w:r>
              <w:t>V1.0</w:t>
            </w:r>
          </w:p>
        </w:tc>
        <w:tc>
          <w:tcPr>
            <w:tcW w:w="1843" w:type="dxa"/>
          </w:tcPr>
          <w:p w:rsidR="002617E9" w:rsidP="00632907" w:rsidRDefault="002617E9" w14:paraId="53FDF43A" w14:textId="07845E95">
            <w:pPr>
              <w:jc w:val="both"/>
            </w:pPr>
            <w:r>
              <w:t xml:space="preserve">Anthony </w:t>
            </w:r>
            <w:proofErr w:type="spellStart"/>
            <w:r>
              <w:t>Scantsonihas</w:t>
            </w:r>
            <w:proofErr w:type="spellEnd"/>
          </w:p>
        </w:tc>
        <w:tc>
          <w:tcPr>
            <w:tcW w:w="4677" w:type="dxa"/>
          </w:tcPr>
          <w:p w:rsidR="002617E9" w:rsidP="00632907" w:rsidRDefault="002617E9" w14:paraId="508F43D0" w14:textId="3AE1CD48">
            <w:pPr>
              <w:jc w:val="both"/>
            </w:pPr>
            <w:r>
              <w:t>Finished report write up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4B4F2EA7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proofErr w:type="spellStart"/>
      <w:r w:rsidR="00563B31">
        <w:rPr>
          <w:b/>
          <w:bCs/>
          <w:i/>
          <w:iCs/>
        </w:rPr>
        <w:t>Strucurally</w:t>
      </w:r>
      <w:proofErr w:type="spellEnd"/>
      <w:r w:rsidR="00563B31">
        <w:rPr>
          <w:b/>
          <w:bCs/>
          <w:i/>
          <w:iCs/>
        </w:rPr>
        <w:t xml:space="preserve"> dead code</w:t>
      </w:r>
      <w:r>
        <w:t xml:space="preserve"> type defect identified in the following CIDs:</w:t>
      </w:r>
      <w:r>
        <w:br/>
      </w:r>
      <w:r w:rsidR="00563B31">
        <w:rPr>
          <w:b/>
          <w:bCs/>
          <w:i/>
          <w:iCs/>
        </w:rPr>
        <w:t>CID 1520626</w:t>
      </w:r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563B31" w14:paraId="1A298907" w14:textId="4B7DFEE3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:rsidR="008310AF" w:rsidP="00632907" w:rsidRDefault="00563B31" w14:paraId="467A7F06" w14:textId="1B608BF7">
            <w:pPr>
              <w:jc w:val="both"/>
            </w:pPr>
            <w:r>
              <w:t>Coverity Issue Identification Number</w:t>
            </w:r>
          </w:p>
        </w:tc>
      </w:tr>
      <w:tr w:rsidR="00563B31" w:rsidTr="00632907" w14:paraId="1ECD317A" w14:textId="77777777">
        <w:tc>
          <w:tcPr>
            <w:tcW w:w="1838" w:type="dxa"/>
          </w:tcPr>
          <w:p w:rsidR="00563B31" w:rsidP="00632907" w:rsidRDefault="00563B31" w14:paraId="27769130" w14:textId="5C613D39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563B31" w:rsidP="00632907" w:rsidRDefault="00563B31" w14:paraId="0AACB5F5" w14:textId="5B90341A">
            <w:pPr>
              <w:jc w:val="both"/>
            </w:pPr>
            <w:r>
              <w:t>Common Weakness Enumeration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563B31" w:rsidR="007F601A" w:rsidP="0043201C" w:rsidRDefault="00563B31" w14:paraId="6A982F0E" w14:textId="5231E337">
      <w:pPr>
        <w:rPr>
          <w:rStyle w:val="SubtleEmphasis"/>
          <w:i w:val="0"/>
          <w:iCs w:val="0"/>
          <w:color w:val="000000" w:themeColor="text1"/>
        </w:rPr>
      </w:pPr>
      <w:r w:rsidRPr="00563B31">
        <w:rPr>
          <w:rStyle w:val="SubtleEmphasis"/>
          <w:i w:val="0"/>
          <w:iCs w:val="0"/>
          <w:color w:val="000000" w:themeColor="text1"/>
        </w:rPr>
        <w:t>The Coverity system has flagged issues within the code base adm_bpsec_impl.c:1442. In the case of CID 1520626</w:t>
      </w:r>
      <w:r>
        <w:rPr>
          <w:rStyle w:val="SubtleEmphasis"/>
          <w:i w:val="0"/>
          <w:iCs w:val="0"/>
          <w:color w:val="000000" w:themeColor="text1"/>
        </w:rPr>
        <w:t xml:space="preserve"> the </w:t>
      </w:r>
      <w:r w:rsidR="00B6143C">
        <w:rPr>
          <w:rStyle w:val="SubtleEmphasis"/>
          <w:i w:val="0"/>
          <w:iCs w:val="0"/>
          <w:color w:val="000000" w:themeColor="text1"/>
        </w:rPr>
        <w:t>error that has been flagged is a Structurally dead code error which can be seen described under CWE-561. Essentially, the issue indicates that the code being flagged contains ‘dead code’ which can never be executed</w:t>
      </w:r>
      <w:r w:rsidR="000D4BF4">
        <w:rPr>
          <w:rStyle w:val="SubtleEmphasis"/>
          <w:i w:val="0"/>
          <w:iCs w:val="0"/>
          <w:color w:val="000000" w:themeColor="text1"/>
        </w:rPr>
        <w:t xml:space="preserve"> therefore rendering the code as irrelevant to the overall program.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6C6537" w:rsidP="120AE8E3" w:rsidRDefault="003B0CCA" w14:paraId="5CFDE2AE" w14:textId="5A4F5AD1">
      <w:pPr>
        <w:rPr>
          <w:rStyle w:val="SubtleEmphasis"/>
          <w:i w:val="0"/>
          <w:iCs w:val="0"/>
          <w:color w:val="000000" w:themeColor="text1"/>
        </w:rPr>
      </w:pPr>
      <w:r w:rsidRPr="120AE8E3" w:rsidR="003B0CCA">
        <w:rPr>
          <w:rStyle w:val="SubtleEmphasis"/>
          <w:i w:val="0"/>
          <w:iCs w:val="0"/>
          <w:color w:val="000000" w:themeColor="text1" w:themeTint="FF" w:themeShade="FF"/>
        </w:rPr>
        <w:t>The Coverity flag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 xml:space="preserve"> has 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>identified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 xml:space="preserve"> a multitude of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 xml:space="preserve"> 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 xml:space="preserve">errors all stemming from 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>different functions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 xml:space="preserve"> within the snippet of code. The purpose of these functions is to retrieve statistics derived from “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>BPsec</w:t>
      </w:r>
      <w:r w:rsidRPr="120AE8E3" w:rsidR="005C46D0">
        <w:rPr>
          <w:rStyle w:val="SubtleEmphasis"/>
          <w:i w:val="0"/>
          <w:iCs w:val="0"/>
          <w:color w:val="000000" w:themeColor="text1" w:themeTint="FF" w:themeShade="FF"/>
        </w:rPr>
        <w:t>” operations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, these statistics include the number of successfully transmitted and received blocks, the number of failed blocks as well as 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>additional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 metrics that are typically used for monitoring and debugging the 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>BPsec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 system’s performance. Several lines of the code snippet are flagged with “structurally dead code” meaning that those lines 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>contain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 unreachable statements and will never be executed. 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>The majority of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 these </w:t>
      </w:r>
      <w:r w:rsidRPr="120AE8E3" w:rsidR="006C6537">
        <w:rPr>
          <w:rStyle w:val="SubtleEmphasis"/>
          <w:i w:val="0"/>
          <w:iCs w:val="0"/>
          <w:color w:val="000000" w:themeColor="text1" w:themeTint="FF" w:themeShade="FF"/>
        </w:rPr>
        <w:t>issues originate from</w:t>
      </w:r>
      <w:r w:rsidRPr="120AE8E3" w:rsidR="00ED760B">
        <w:rPr>
          <w:rStyle w:val="SubtleEmphasis"/>
          <w:i w:val="0"/>
          <w:iCs w:val="0"/>
          <w:color w:val="000000" w:themeColor="text1" w:themeTint="FF" w:themeShade="FF"/>
        </w:rPr>
        <w:t xml:space="preserve"> ‘return’ and ‘result’ statements at the end of the different functions</w:t>
      </w:r>
      <w:r w:rsidRPr="120AE8E3" w:rsidR="006C6537">
        <w:rPr>
          <w:rStyle w:val="SubtleEmphasis"/>
          <w:i w:val="0"/>
          <w:iCs w:val="0"/>
          <w:color w:val="000000" w:themeColor="text1" w:themeTint="FF" w:themeShade="FF"/>
        </w:rPr>
        <w:t xml:space="preserve">. </w:t>
      </w:r>
      <w:r w:rsidRPr="120AE8E3" w:rsidR="001729C5">
        <w:rPr>
          <w:rStyle w:val="SubtleEmphasis"/>
          <w:i w:val="0"/>
          <w:iCs w:val="0"/>
          <w:color w:val="000000" w:themeColor="text1" w:themeTint="FF" w:themeShade="FF"/>
        </w:rPr>
        <w:t xml:space="preserve"> </w:t>
      </w:r>
    </w:p>
    <w:p w:rsidR="001729C5" w:rsidP="001729C5" w:rsidRDefault="001729C5" w14:paraId="1CA6CCBE" w14:textId="5FD44F24">
      <w:pPr>
        <w:jc w:val="center"/>
        <w:rPr>
          <w:rStyle w:val="SubtleEmphasis"/>
          <w:i w:val="0"/>
          <w:iCs w:val="0"/>
          <w:color w:val="000000" w:themeColor="text1"/>
        </w:rPr>
      </w:pPr>
      <w:r>
        <w:rPr>
          <w:noProof/>
        </w:rPr>
        <w:drawing>
          <wp:inline distT="0" distB="0" distL="0" distR="0" wp14:anchorId="6EECFC1B" wp14:editId="2EC05EFE">
            <wp:extent cx="5731510" cy="3818255"/>
            <wp:effectExtent l="0" t="0" r="2540" b="0"/>
            <wp:docPr id="548019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1931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37" w:rsidP="0043201C" w:rsidRDefault="006C6537" w14:paraId="219E8004" w14:textId="77777777">
      <w:pPr>
        <w:rPr>
          <w:rStyle w:val="SubtleEmphasis"/>
          <w:b/>
          <w:bCs/>
          <w:i w:val="0"/>
          <w:iCs w:val="0"/>
          <w:color w:val="000000" w:themeColor="text1"/>
        </w:rPr>
      </w:pPr>
      <w:r>
        <w:rPr>
          <w:rStyle w:val="SubtleEmphasis"/>
          <w:b/>
          <w:bCs/>
          <w:i w:val="0"/>
          <w:iCs w:val="0"/>
          <w:color w:val="000000" w:themeColor="text1"/>
        </w:rPr>
        <w:t xml:space="preserve">-Potential Vulnerabilities </w:t>
      </w:r>
    </w:p>
    <w:p w:rsidRPr="00D90450" w:rsidR="0043201C" w:rsidP="0043201C" w:rsidRDefault="00ED760B" w14:paraId="29319E23" w14:textId="6E652BB0">
      <w:pPr>
        <w:rPr>
          <w:rStyle w:val="SubtleEmphasis"/>
          <w:i w:val="0"/>
          <w:iCs w:val="0"/>
          <w:color w:val="000000" w:themeColor="text1"/>
          <w:lang w:val="en-US"/>
        </w:rPr>
      </w:pPr>
      <w:r>
        <w:rPr>
          <w:rStyle w:val="SubtleEmphasis"/>
          <w:i w:val="0"/>
          <w:iCs w:val="0"/>
          <w:color w:val="000000" w:themeColor="text1"/>
        </w:rPr>
        <w:t xml:space="preserve">  </w:t>
      </w:r>
      <w:r w:rsidR="006C6537">
        <w:rPr>
          <w:rStyle w:val="SubtleEmphasis"/>
          <w:i w:val="0"/>
          <w:iCs w:val="0"/>
          <w:color w:val="000000" w:themeColor="text1"/>
        </w:rPr>
        <w:t>Overall, from what can be seen from the flagged code snippet it is unlikely th</w:t>
      </w:r>
      <w:r w:rsidR="00A05D09">
        <w:rPr>
          <w:rStyle w:val="SubtleEmphasis"/>
          <w:i w:val="0"/>
          <w:iCs w:val="0"/>
          <w:color w:val="000000" w:themeColor="text1"/>
        </w:rPr>
        <w:t>ese</w:t>
      </w:r>
      <w:r w:rsidR="006C6537">
        <w:rPr>
          <w:rStyle w:val="SubtleEmphasis"/>
          <w:i w:val="0"/>
          <w:iCs w:val="0"/>
          <w:color w:val="000000" w:themeColor="text1"/>
        </w:rPr>
        <w:t xml:space="preserve"> </w:t>
      </w:r>
      <w:r w:rsidR="00A05D09">
        <w:rPr>
          <w:rStyle w:val="SubtleEmphasis"/>
          <w:i w:val="0"/>
          <w:iCs w:val="0"/>
          <w:color w:val="000000" w:themeColor="text1"/>
        </w:rPr>
        <w:t>errors</w:t>
      </w:r>
      <w:r w:rsidR="006C6537">
        <w:rPr>
          <w:rStyle w:val="SubtleEmphasis"/>
          <w:i w:val="0"/>
          <w:iCs w:val="0"/>
          <w:color w:val="000000" w:themeColor="text1"/>
        </w:rPr>
        <w:t xml:space="preserve"> alone will provide adversaries with the potential vulnerabilities to attack and exploit the larger program. </w:t>
      </w:r>
    </w:p>
    <w:p w:rsidR="001729C5" w:rsidP="007F601A" w:rsidRDefault="001729C5" w14:paraId="63CB0799" w14:textId="77777777">
      <w:pPr>
        <w:pStyle w:val="Heading2"/>
        <w:spacing w:after="0" w:line="240" w:lineRule="auto"/>
      </w:pPr>
      <w:bookmarkStart w:name="_Toc119848731" w:id="10"/>
    </w:p>
    <w:p w:rsidR="001729C5" w:rsidP="007F601A" w:rsidRDefault="001729C5" w14:paraId="42363CFF" w14:textId="77777777">
      <w:pPr>
        <w:pStyle w:val="Heading2"/>
        <w:spacing w:after="0" w:line="240" w:lineRule="auto"/>
      </w:pPr>
    </w:p>
    <w:p w:rsidR="007F601A" w:rsidP="007F601A" w:rsidRDefault="008310AF" w14:paraId="53E049B3" w14:textId="7EEF6D04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:rsidR="0043201C" w:rsidP="007F601A" w:rsidRDefault="001729C5" w14:paraId="3E1F7C6B" w14:textId="23E7017A">
      <w:pPr>
        <w:spacing w:line="240" w:lineRule="auto"/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Evidence of these issues can be seen within the screenshot below as there are multiple functions flagged with the structurally dead code error. </w:t>
      </w:r>
    </w:p>
    <w:p w:rsidRPr="001729C5" w:rsidR="001729C5" w:rsidP="001729C5" w:rsidRDefault="001729C5" w14:paraId="0CB0FA6B" w14:textId="5A7EB56F">
      <w:pPr>
        <w:spacing w:line="240" w:lineRule="auto"/>
        <w:jc w:val="center"/>
        <w:rPr>
          <w:rStyle w:val="SubtleEmphasis"/>
          <w:i w:val="0"/>
          <w:iCs w:val="0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A035CC8" wp14:editId="645D7B9A">
            <wp:extent cx="4672084" cy="4152905"/>
            <wp:effectExtent l="0" t="0" r="0" b="0"/>
            <wp:docPr id="179464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1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494" cy="41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1A" w:rsidP="007F601A" w:rsidRDefault="0043201C" w14:paraId="40FECA14" w14:textId="35CED6EF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  <w:r w:rsidR="001729C5">
        <w:t xml:space="preserve"> </w:t>
      </w:r>
    </w:p>
    <w:p w:rsidRPr="001729C5" w:rsidR="001729C5" w:rsidP="001729C5" w:rsidRDefault="001729C5" w14:paraId="4EB11EC1" w14:textId="53CA33F5">
      <w:r>
        <w:t xml:space="preserve">In conclusion of this investigation, the recommendation I would provide to resolve this issue </w:t>
      </w:r>
      <w:proofErr w:type="gramStart"/>
      <w:r>
        <w:t>would to</w:t>
      </w:r>
      <w:proofErr w:type="gramEnd"/>
      <w:r>
        <w:t xml:space="preserve"> remove all the unreachable code found within this code snippet. As this component of the program appears to be redundant and doing so should not </w:t>
      </w:r>
      <w:proofErr w:type="spellStart"/>
      <w:proofErr w:type="gramStart"/>
      <w:r>
        <w:t>effect</w:t>
      </w:r>
      <w:proofErr w:type="spellEnd"/>
      <w:proofErr w:type="gramEnd"/>
      <w:r>
        <w:t xml:space="preserve"> the overall function of the application.</w:t>
      </w:r>
    </w:p>
    <w:p w:rsidR="0043201C" w:rsidP="007F601A" w:rsidRDefault="0043201C" w14:paraId="55693EDC" w14:textId="3F83DE9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A7F43" w:rsidP="00CF6C70" w:rsidRDefault="00CF6C70" w14:paraId="4838B402" w14:textId="77777777">
      <w:pPr>
        <w:rPr>
          <w:rStyle w:val="SubtleEmphasis"/>
        </w:rPr>
      </w:pPr>
      <w:bookmarkStart w:name="_Toc119848733" w:id="12"/>
      <w:r w:rsidRPr="0032522D">
        <w:rPr>
          <w:rStyle w:val="Heading1Char"/>
        </w:rPr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w:history="1" r:id="rId15">
        <w:r w:rsidRPr="0032522D" w:rsid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 w:rsidR="005A7F43">
        <w:rPr>
          <w:rStyle w:val="SubtleEmphasis"/>
        </w:rPr>
        <w:t xml:space="preserve"> </w:t>
      </w:r>
    </w:p>
    <w:p w:rsidR="005A7F43" w:rsidP="00CF6C70" w:rsidRDefault="005A7F43" w14:paraId="0A1D68A6" w14:textId="431A919B">
      <w:r w:rsidRPr="00ED5321">
        <w:t>MITRE Corporation. (</w:t>
      </w:r>
      <w:r>
        <w:t xml:space="preserve">2006, </w:t>
      </w:r>
      <w:proofErr w:type="gramStart"/>
      <w:r>
        <w:t>July,</w:t>
      </w:r>
      <w:proofErr w:type="gramEnd"/>
      <w:r>
        <w:t xml:space="preserve"> 19</w:t>
      </w:r>
      <w:r w:rsidRPr="00ED5321">
        <w:t>). CWE - CWE-</w:t>
      </w:r>
      <w:r>
        <w:t>561</w:t>
      </w:r>
      <w:r w:rsidRPr="00ED5321">
        <w:t>:</w:t>
      </w:r>
      <w:r>
        <w:t xml:space="preserve"> Dead Code</w:t>
      </w:r>
      <w:r w:rsidRPr="00ED5321">
        <w:t xml:space="preserve">. </w:t>
      </w:r>
      <w:r>
        <w:t xml:space="preserve">from </w:t>
      </w:r>
    </w:p>
    <w:p w:rsidR="0032522D" w:rsidP="00CF6C70" w:rsidRDefault="005A7F43" w14:paraId="1E6B3354" w14:textId="7FC207F9">
      <w:pPr>
        <w:rPr>
          <w:rStyle w:val="Heading1Char"/>
        </w:rPr>
      </w:pPr>
      <w:hyperlink w:history="1" r:id="rId16">
        <w:r w:rsidRPr="00352FD7">
          <w:rPr>
            <w:rStyle w:val="Hyperlink"/>
          </w:rPr>
          <w:t>https://cwe.mitre.org/data/definitions/561.html</w:t>
        </w:r>
      </w:hyperlink>
      <w:r>
        <w:t xml:space="preserve"> </w:t>
      </w:r>
      <w:r w:rsidR="00CF6C70">
        <w:br/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3"/>
      <w:r w:rsidRPr="0032522D">
        <w:rPr>
          <w:rStyle w:val="Heading1Char"/>
        </w:rPr>
        <w:t>Appendix</w:t>
      </w:r>
      <w:bookmarkEnd w:id="13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3612" w:rsidP="009924FC" w:rsidRDefault="00413612" w14:paraId="37B3ABF5" w14:textId="77777777">
      <w:pPr>
        <w:spacing w:after="0" w:line="240" w:lineRule="auto"/>
      </w:pPr>
      <w:r>
        <w:separator/>
      </w:r>
    </w:p>
  </w:endnote>
  <w:endnote w:type="continuationSeparator" w:id="0">
    <w:p w:rsidR="00413612" w:rsidP="009924FC" w:rsidRDefault="00413612" w14:paraId="4F7410E8" w14:textId="77777777">
      <w:pPr>
        <w:spacing w:after="0" w:line="240" w:lineRule="auto"/>
      </w:pPr>
      <w:r>
        <w:continuationSeparator/>
      </w:r>
    </w:p>
  </w:endnote>
  <w:endnote w:type="continuationNotice" w:id="1">
    <w:p w:rsidR="00413612" w:rsidRDefault="00413612" w14:paraId="0DD9AE6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39D985C8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3612" w:rsidP="009924FC" w:rsidRDefault="00413612" w14:paraId="1819622F" w14:textId="77777777">
      <w:pPr>
        <w:spacing w:after="0" w:line="240" w:lineRule="auto"/>
      </w:pPr>
      <w:r>
        <w:separator/>
      </w:r>
    </w:p>
  </w:footnote>
  <w:footnote w:type="continuationSeparator" w:id="0">
    <w:p w:rsidR="00413612" w:rsidP="009924FC" w:rsidRDefault="00413612" w14:paraId="2B2DD854" w14:textId="77777777">
      <w:pPr>
        <w:spacing w:after="0" w:line="240" w:lineRule="auto"/>
      </w:pPr>
      <w:r>
        <w:continuationSeparator/>
      </w:r>
    </w:p>
  </w:footnote>
  <w:footnote w:type="continuationNotice" w:id="1">
    <w:p w:rsidR="00413612" w:rsidRDefault="00413612" w14:paraId="215A9D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3436232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A419C"/>
    <w:rsid w:val="000D4BF4"/>
    <w:rsid w:val="001729C5"/>
    <w:rsid w:val="002079A7"/>
    <w:rsid w:val="002617E9"/>
    <w:rsid w:val="00271952"/>
    <w:rsid w:val="0032522D"/>
    <w:rsid w:val="003934F3"/>
    <w:rsid w:val="003B0CCA"/>
    <w:rsid w:val="003E26D0"/>
    <w:rsid w:val="00413612"/>
    <w:rsid w:val="0043201C"/>
    <w:rsid w:val="00435289"/>
    <w:rsid w:val="00560CC6"/>
    <w:rsid w:val="00563B31"/>
    <w:rsid w:val="005A7F43"/>
    <w:rsid w:val="005B1F36"/>
    <w:rsid w:val="005C46D0"/>
    <w:rsid w:val="00615F8E"/>
    <w:rsid w:val="00632907"/>
    <w:rsid w:val="00690363"/>
    <w:rsid w:val="006C6537"/>
    <w:rsid w:val="00714745"/>
    <w:rsid w:val="007574A8"/>
    <w:rsid w:val="00797A72"/>
    <w:rsid w:val="007F601A"/>
    <w:rsid w:val="008310AF"/>
    <w:rsid w:val="009924FC"/>
    <w:rsid w:val="00A05D09"/>
    <w:rsid w:val="00AB15D9"/>
    <w:rsid w:val="00B13EBD"/>
    <w:rsid w:val="00B6143C"/>
    <w:rsid w:val="00C31A32"/>
    <w:rsid w:val="00CF6C70"/>
    <w:rsid w:val="00D42633"/>
    <w:rsid w:val="00D90450"/>
    <w:rsid w:val="00DB13F7"/>
    <w:rsid w:val="00DD0173"/>
    <w:rsid w:val="00E261B5"/>
    <w:rsid w:val="00ED760B"/>
    <w:rsid w:val="00F121FD"/>
    <w:rsid w:val="00F23A10"/>
    <w:rsid w:val="00F64C27"/>
    <w:rsid w:val="00FE5FC2"/>
    <w:rsid w:val="120AE8E3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561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hyperlink" Target="https://www.deakin.edu.au/__data/assets/pdf_file/0009/2236752/Deakin-guide-to-APA7.pdf" TargetMode="External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06640701fa3e4272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82b-3d80-46a7-808f-f0b227f6f2b0}"/>
      </w:docPartPr>
      <w:docPartBody>
        <w:p w14:paraId="120AE8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ANTHONY JAMES SCANTSONIHAS</lastModifiedBy>
  <revision>3</revision>
  <dcterms:created xsi:type="dcterms:W3CDTF">2023-09-08T04:21:00.0000000Z</dcterms:created>
  <dcterms:modified xsi:type="dcterms:W3CDTF">2023-09-08T04:27:12.4487770Z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