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4"/>
                                <w:vertAlign w:val="baseline"/>
                              </w:rPr>
                              <w:t xml:space="preserve">T2</w:t>
                            </w:r>
                            <w:r w:rsidDel="00000000" w:rsidR="00000000" w:rsidRPr="00000000">
                              <w:rPr>
                                <w:rFonts w:ascii="Arial" w:cs="Arial" w:eastAsia="Arial" w:hAnsi="Arial"/>
                                <w:b w:val="0"/>
                                <w:i w:val="0"/>
                                <w:smallCaps w:val="0"/>
                                <w:strike w:val="0"/>
                                <w:color w:val="ffffff"/>
                                <w:sz w:val="24"/>
                                <w:vertAlign w:val="baseline"/>
                              </w:rPr>
                              <w:t xml:space="preserve"> 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3885" cy="1000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56"/>
          <w:szCs w:val="5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
                <a:graphic>
                  <a:graphicData uri="http://schemas.microsoft.com/office/word/2010/wordprocessingShape">
                    <wps:wsp>
                      <wps:cNvSpPr/>
                      <wps:cNvPr id="4" name="Shape 4"/>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Coverity Scan           Static Analysis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HARDHARD ENTERPRISES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Statement of Intent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r w:rsidDel="00000000" w:rsidR="00000000" w:rsidRPr="00000000">
        <w:rPr>
          <w:rtl w:val="0"/>
        </w:rPr>
        <w:t xml:space="preserve">Overview</w:t>
      </w:r>
    </w:p>
    <w:p w:rsidR="00000000" w:rsidDel="00000000" w:rsidP="00000000" w:rsidRDefault="00000000" w:rsidRPr="00000000" w14:paraId="00000007">
      <w:pPr>
        <w:jc w:val="both"/>
        <w:rPr/>
      </w:pPr>
      <w:r w:rsidDel="00000000" w:rsidR="00000000" w:rsidRPr="00000000">
        <w:rPr>
          <w:rtl w:val="0"/>
        </w:rPr>
        <w:t xml:space="preserve">This document aims to provide a record of static code analysis performed on a specific issue from the Coverity SAST scan for the NASA ION Open-Source code 4.1.1 project. </w:t>
      </w:r>
    </w:p>
    <w:p w:rsidR="00000000" w:rsidDel="00000000" w:rsidP="00000000" w:rsidRDefault="00000000" w:rsidRPr="00000000" w14:paraId="00000008">
      <w:pPr>
        <w:jc w:val="both"/>
        <w:rPr/>
      </w:pPr>
      <w:r w:rsidDel="00000000" w:rsidR="00000000" w:rsidRPr="00000000">
        <w:rPr>
          <w:rtl w:val="0"/>
        </w:rPr>
        <w:t xml:space="preserve">The primary purpose of this document is to validate the issue identified via the automated detection process to eliminate false positives.  </w:t>
      </w:r>
    </w:p>
    <w:p w:rsidR="00000000" w:rsidDel="00000000" w:rsidP="00000000" w:rsidRDefault="00000000" w:rsidRPr="00000000" w14:paraId="00000009">
      <w:pPr>
        <w:jc w:val="both"/>
        <w:rPr/>
      </w:pPr>
      <w:r w:rsidDel="00000000" w:rsidR="00000000" w:rsidRPr="00000000">
        <w:rPr>
          <w:rtl w:val="0"/>
        </w:rPr>
        <w:t xml:space="preserve">Depending on findings, secondary purposes can include but are not limited to listing/providing recommended fixes alongside a list of attack vectors and potential exploits for consideration.</w:t>
      </w:r>
    </w:p>
    <w:p w:rsidR="00000000" w:rsidDel="00000000" w:rsidP="00000000" w:rsidRDefault="00000000" w:rsidRPr="00000000" w14:paraId="0000000A">
      <w:pPr>
        <w:pStyle w:val="Subtitle"/>
        <w:jc w:val="both"/>
        <w:rPr/>
      </w:pPr>
      <w:r w:rsidDel="00000000" w:rsidR="00000000" w:rsidRPr="00000000">
        <w:rPr>
          <w:rtl w:val="0"/>
        </w:rPr>
      </w:r>
    </w:p>
    <w:p w:rsidR="00000000" w:rsidDel="00000000" w:rsidP="00000000" w:rsidRDefault="00000000" w:rsidRPr="00000000" w14:paraId="0000000B">
      <w:pPr>
        <w:pStyle w:val="Subtitle"/>
        <w:jc w:val="both"/>
        <w:rPr/>
      </w:pPr>
      <w:r w:rsidDel="00000000" w:rsidR="00000000" w:rsidRPr="00000000">
        <w:rPr>
          <w:rtl w:val="0"/>
        </w:rPr>
        <w:t xml:space="preserve">Reporting Best Practices</w:t>
      </w:r>
    </w:p>
    <w:p w:rsidR="00000000" w:rsidDel="00000000" w:rsidP="00000000" w:rsidRDefault="00000000" w:rsidRPr="00000000" w14:paraId="0000000C">
      <w:pPr>
        <w:jc w:val="both"/>
        <w:rPr/>
      </w:pPr>
      <w:r w:rsidDel="00000000" w:rsidR="00000000" w:rsidRPr="00000000">
        <w:rPr>
          <w:rtl w:val="0"/>
        </w:rPr>
        <w:t xml:space="preserve">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rsidR="00000000" w:rsidDel="00000000" w:rsidP="00000000" w:rsidRDefault="00000000" w:rsidRPr="00000000" w14:paraId="0000000D">
      <w:pPr>
        <w:jc w:val="both"/>
        <w:rPr/>
      </w:pPr>
      <w:r w:rsidDel="00000000" w:rsidR="00000000" w:rsidRPr="00000000">
        <w:rPr>
          <w:rtl w:val="0"/>
        </w:rPr>
        <w:t xml:space="preserve">When using code snippets, please use screenshots that are clear and easy to read, alternatively, use words built-in code formatter found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Subtitle"/>
        <w:jc w:val="both"/>
        <w:rPr/>
      </w:pPr>
      <w:r w:rsidDel="00000000" w:rsidR="00000000" w:rsidRPr="00000000">
        <w:rPr>
          <w:rtl w:val="0"/>
        </w:rPr>
      </w:r>
    </w:p>
    <w:p w:rsidR="00000000" w:rsidDel="00000000" w:rsidP="00000000" w:rsidRDefault="00000000" w:rsidRPr="00000000" w14:paraId="0000000F">
      <w:pPr>
        <w:pStyle w:val="Subtitle"/>
        <w:jc w:val="both"/>
        <w:rPr/>
      </w:pPr>
      <w:r w:rsidDel="00000000" w:rsidR="00000000" w:rsidRPr="00000000">
        <w:rPr>
          <w:rtl w:val="0"/>
        </w:rPr>
        <w:t xml:space="preserve">Document Naming Conventions</w:t>
      </w:r>
    </w:p>
    <w:p w:rsidR="00000000" w:rsidDel="00000000" w:rsidP="00000000" w:rsidRDefault="00000000" w:rsidRPr="00000000" w14:paraId="00000010">
      <w:pPr>
        <w:jc w:val="both"/>
        <w:rPr/>
      </w:pPr>
      <w:r w:rsidDel="00000000" w:rsidR="00000000" w:rsidRPr="00000000">
        <w:rPr>
          <w:rtl w:val="0"/>
        </w:rPr>
        <w:t xml:space="preserve">Naming conventions for this file are as follow; SAR_{CID}. For example, when investigating issue 123456 the file name would be SAR_123456.docx</w:t>
      </w:r>
    </w:p>
    <w:p w:rsidR="00000000" w:rsidDel="00000000" w:rsidP="00000000" w:rsidRDefault="00000000" w:rsidRPr="00000000" w14:paraId="00000011">
      <w:pPr>
        <w:pStyle w:val="Title"/>
        <w:jc w:val="both"/>
        <w:rPr/>
      </w:pPr>
      <w:r w:rsidDel="00000000" w:rsidR="00000000" w:rsidRPr="00000000">
        <w:rPr>
          <w:rtl w:val="0"/>
        </w:rPr>
      </w:r>
    </w:p>
    <w:p w:rsidR="00000000" w:rsidDel="00000000" w:rsidP="00000000" w:rsidRDefault="00000000" w:rsidRPr="00000000" w14:paraId="00000012">
      <w:pPr>
        <w:pStyle w:val="Title"/>
        <w:jc w:val="both"/>
        <w:rPr/>
      </w:pPr>
      <w:r w:rsidDel="00000000" w:rsidR="00000000" w:rsidRPr="00000000">
        <w:rPr>
          <w:rtl w:val="0"/>
        </w:rPr>
        <w:t xml:space="preserve">Document History</w:t>
      </w:r>
    </w:p>
    <w:p w:rsidR="00000000" w:rsidDel="00000000" w:rsidP="00000000" w:rsidRDefault="00000000" w:rsidRPr="00000000" w14:paraId="00000013">
      <w:pPr>
        <w:jc w:val="both"/>
        <w:rPr/>
      </w:pPr>
      <w:r w:rsidDel="00000000" w:rsidR="00000000" w:rsidRPr="00000000">
        <w:rPr>
          <w:rtl w:val="0"/>
        </w:rPr>
      </w:r>
    </w:p>
    <w:tbl>
      <w:tblPr>
        <w:tblStyle w:val="Table1"/>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73"/>
        <w:gridCol w:w="1387"/>
        <w:gridCol w:w="1785"/>
        <w:gridCol w:w="4471"/>
        <w:tblGridChange w:id="0">
          <w:tblGrid>
            <w:gridCol w:w="1373"/>
            <w:gridCol w:w="1387"/>
            <w:gridCol w:w="1785"/>
            <w:gridCol w:w="4471"/>
          </w:tblGrid>
        </w:tblGridChange>
      </w:tblGrid>
      <w:tr>
        <w:trPr>
          <w:cantSplit w:val="0"/>
          <w:tblHeader w:val="0"/>
        </w:trPr>
        <w:tc>
          <w:tcPr>
            <w:shd w:fill="2f5496" w:val="clear"/>
          </w:tcPr>
          <w:p w:rsidR="00000000" w:rsidDel="00000000" w:rsidP="00000000" w:rsidRDefault="00000000" w:rsidRPr="00000000" w14:paraId="00000014">
            <w:pPr>
              <w:jc w:val="both"/>
              <w:rPr>
                <w:b w:val="1"/>
                <w:color w:val="ffffff"/>
              </w:rPr>
            </w:pPr>
            <w:r w:rsidDel="00000000" w:rsidR="00000000" w:rsidRPr="00000000">
              <w:rPr>
                <w:b w:val="1"/>
                <w:color w:val="ffffff"/>
                <w:rtl w:val="0"/>
              </w:rPr>
              <w:t xml:space="preserve">Dates</w:t>
            </w:r>
          </w:p>
        </w:tc>
        <w:tc>
          <w:tcPr>
            <w:shd w:fill="2f5496" w:val="clear"/>
          </w:tcPr>
          <w:p w:rsidR="00000000" w:rsidDel="00000000" w:rsidP="00000000" w:rsidRDefault="00000000" w:rsidRPr="00000000" w14:paraId="00000015">
            <w:pPr>
              <w:jc w:val="both"/>
              <w:rPr>
                <w:b w:val="1"/>
                <w:color w:val="ffffff"/>
              </w:rPr>
            </w:pPr>
            <w:r w:rsidDel="00000000" w:rsidR="00000000" w:rsidRPr="00000000">
              <w:rPr>
                <w:b w:val="1"/>
                <w:color w:val="ffffff"/>
                <w:rtl w:val="0"/>
              </w:rPr>
              <w:t xml:space="preserve">Version</w:t>
            </w:r>
          </w:p>
        </w:tc>
        <w:tc>
          <w:tcPr>
            <w:shd w:fill="2f5496" w:val="clear"/>
          </w:tcPr>
          <w:p w:rsidR="00000000" w:rsidDel="00000000" w:rsidP="00000000" w:rsidRDefault="00000000" w:rsidRPr="00000000" w14:paraId="00000016">
            <w:pPr>
              <w:jc w:val="both"/>
              <w:rPr>
                <w:b w:val="1"/>
                <w:color w:val="ffffff"/>
              </w:rPr>
            </w:pPr>
            <w:r w:rsidDel="00000000" w:rsidR="00000000" w:rsidRPr="00000000">
              <w:rPr>
                <w:b w:val="1"/>
                <w:color w:val="ffffff"/>
                <w:rtl w:val="0"/>
              </w:rPr>
              <w:t xml:space="preserve">Author</w:t>
            </w:r>
          </w:p>
        </w:tc>
        <w:tc>
          <w:tcPr>
            <w:shd w:fill="2f5496" w:val="clear"/>
          </w:tcPr>
          <w:p w:rsidR="00000000" w:rsidDel="00000000" w:rsidP="00000000" w:rsidRDefault="00000000" w:rsidRPr="00000000" w14:paraId="00000017">
            <w:pPr>
              <w:jc w:val="both"/>
              <w:rPr>
                <w:b w:val="1"/>
                <w:color w:val="ffffff"/>
              </w:rPr>
            </w:pPr>
            <w:r w:rsidDel="00000000" w:rsidR="00000000" w:rsidRPr="00000000">
              <w:rPr>
                <w:b w:val="1"/>
                <w:color w:val="ffffff"/>
                <w:rtl w:val="0"/>
              </w:rPr>
              <w:t xml:space="preserve">Comments</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r>
          </w:p>
        </w:tc>
        <w:tc>
          <w:tcPr/>
          <w:p w:rsidR="00000000" w:rsidDel="00000000" w:rsidP="00000000" w:rsidRDefault="00000000" w:rsidRPr="00000000" w14:paraId="00000019">
            <w:pPr>
              <w:jc w:val="both"/>
              <w:rPr/>
            </w:pPr>
            <w:r w:rsidDel="00000000" w:rsidR="00000000" w:rsidRPr="00000000">
              <w:rPr>
                <w:rtl w:val="0"/>
              </w:rPr>
              <w:t xml:space="preserve">V0.1</w:t>
            </w:r>
          </w:p>
        </w:tc>
        <w:tc>
          <w:tcPr/>
          <w:p w:rsidR="00000000" w:rsidDel="00000000" w:rsidP="00000000" w:rsidRDefault="00000000" w:rsidRPr="00000000" w14:paraId="0000001A">
            <w:pPr>
              <w:jc w:val="both"/>
              <w:rPr/>
            </w:pPr>
            <w:r w:rsidDel="00000000" w:rsidR="00000000" w:rsidRPr="00000000">
              <w:rPr>
                <w:rtl w:val="0"/>
              </w:rPr>
              <w:t xml:space="preserve">Kanad Dombhare</w:t>
            </w:r>
          </w:p>
        </w:tc>
        <w:tc>
          <w:tcPr/>
          <w:p w:rsidR="00000000" w:rsidDel="00000000" w:rsidP="00000000" w:rsidRDefault="00000000" w:rsidRPr="00000000" w14:paraId="0000001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Title"/>
        <w:jc w:val="both"/>
        <w:rPr/>
      </w:pPr>
      <w:r w:rsidDel="00000000" w:rsidR="00000000" w:rsidRPr="00000000">
        <w:rPr>
          <w:rtl w:val="0"/>
        </w:rPr>
      </w:r>
    </w:p>
    <w:p w:rsidR="00000000" w:rsidDel="00000000" w:rsidP="00000000" w:rsidRDefault="00000000" w:rsidRPr="00000000" w14:paraId="00000026">
      <w:pPr>
        <w:pStyle w:val="Title"/>
        <w:jc w:val="both"/>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jc w:val="both"/>
        <w:rPr/>
      </w:pPr>
      <w:r w:rsidDel="00000000" w:rsidR="00000000" w:rsidRPr="00000000">
        <w:rPr>
          <w:rtl w:val="0"/>
        </w:rPr>
        <w:t xml:space="preserve">Table of Content</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 and Analysis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Evidence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and Recommendations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6</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8">
      <w:pPr>
        <w:pStyle w:val="Heading2"/>
        <w:spacing w:line="240" w:lineRule="auto"/>
        <w:jc w:val="both"/>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39">
      <w:pPr>
        <w:jc w:val="both"/>
        <w:rPr/>
      </w:pPr>
      <w:r w:rsidDel="00000000" w:rsidR="00000000" w:rsidRPr="00000000">
        <w:rPr>
          <w:rtl w:val="0"/>
        </w:rPr>
        <w:t xml:space="preserve">The primary objective of this analysis is to determine whether the defects identified in the Coverity Report for the ION Open Source 4.1.1 project are: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Indeed, defects.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exploitable.</w:t>
      </w:r>
    </w:p>
    <w:p w:rsidR="00000000" w:rsidDel="00000000" w:rsidP="00000000" w:rsidRDefault="00000000" w:rsidRPr="00000000" w14:paraId="0000003C">
      <w:pPr>
        <w:jc w:val="both"/>
        <w:rPr/>
      </w:pPr>
      <w:r w:rsidDel="00000000" w:rsidR="00000000" w:rsidRPr="00000000">
        <w:rPr>
          <w:rtl w:val="0"/>
        </w:rPr>
        <w:t xml:space="preserve">The secondary objective of this analysis, where applicable, is to provide the following: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to fix.</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exploit for consideration.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7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line="240" w:lineRule="auto"/>
        <w:jc w:val="both"/>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41">
      <w:pPr>
        <w:jc w:val="both"/>
        <w:rPr>
          <w:b w:val="1"/>
          <w:i w:val="1"/>
        </w:rPr>
      </w:pPr>
      <w:r w:rsidDel="00000000" w:rsidR="00000000" w:rsidRPr="00000000">
        <w:rPr>
          <w:rtl w:val="0"/>
        </w:rPr>
        <w:t xml:space="preserve">This static code analysis is limited to the </w:t>
      </w:r>
      <w:r w:rsidDel="00000000" w:rsidR="00000000" w:rsidRPr="00000000">
        <w:rPr>
          <w:b w:val="1"/>
          <w:i w:val="1"/>
          <w:rtl w:val="0"/>
        </w:rPr>
        <w:t xml:space="preserve">“ Expression Issues”</w:t>
      </w:r>
      <w:r w:rsidDel="00000000" w:rsidR="00000000" w:rsidRPr="00000000">
        <w:rPr>
          <w:rtl w:val="0"/>
        </w:rPr>
        <w:t xml:space="preserve">type defect identified in the following CIDs:</w:t>
        <w:br w:type="textWrapping"/>
      </w:r>
      <w:r w:rsidDel="00000000" w:rsidR="00000000" w:rsidRPr="00000000">
        <w:rPr>
          <w:b w:val="1"/>
          <w:i w:val="1"/>
          <w:rtl w:val="0"/>
        </w:rPr>
        <w:t xml:space="preserve">1520716</w:t>
      </w:r>
    </w:p>
    <w:p w:rsidR="00000000" w:rsidDel="00000000" w:rsidP="00000000" w:rsidRDefault="00000000" w:rsidRPr="00000000" w14:paraId="00000042">
      <w:pPr>
        <w:jc w:val="both"/>
        <w:rPr>
          <w:b w:val="1"/>
          <w:i w:val="1"/>
        </w:rPr>
      </w:pPr>
      <w:r w:rsidDel="00000000" w:rsidR="00000000" w:rsidRPr="00000000">
        <w:rPr>
          <w:rtl w:val="0"/>
        </w:rPr>
      </w:r>
    </w:p>
    <w:p w:rsidR="00000000" w:rsidDel="00000000" w:rsidP="00000000" w:rsidRDefault="00000000" w:rsidRPr="00000000" w14:paraId="00000043">
      <w:pPr>
        <w:pStyle w:val="Heading1"/>
        <w:spacing w:line="240" w:lineRule="auto"/>
        <w:jc w:val="both"/>
        <w:rPr/>
      </w:pPr>
      <w:bookmarkStart w:colFirst="0" w:colLast="0" w:name="_3znysh7" w:id="3"/>
      <w:bookmarkEnd w:id="3"/>
      <w:r w:rsidDel="00000000" w:rsidR="00000000" w:rsidRPr="00000000">
        <w:rPr>
          <w:rtl w:val="0"/>
        </w:rPr>
        <w:t xml:space="preserve">Acronyms and Abbreviations</w:t>
      </w:r>
    </w:p>
    <w:p w:rsidR="00000000" w:rsidDel="00000000" w:rsidP="00000000" w:rsidRDefault="00000000" w:rsidRPr="00000000" w14:paraId="00000044">
      <w:pPr>
        <w:jc w:val="both"/>
        <w:rPr>
          <w:i w:val="1"/>
        </w:rPr>
      </w:pPr>
      <w:r w:rsidDel="00000000" w:rsidR="00000000" w:rsidRPr="00000000">
        <w:rPr>
          <w:i w:val="1"/>
          <w:rtl w:val="0"/>
        </w:rPr>
        <w:t xml:space="preserve">Please keep an updated list of acronyms and abbreviations used throughout the report.</w:t>
      </w:r>
    </w:p>
    <w:tbl>
      <w:tblPr>
        <w:tblStyle w:val="Table2"/>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797"/>
        <w:gridCol w:w="7219"/>
        <w:tblGridChange w:id="0">
          <w:tblGrid>
            <w:gridCol w:w="1797"/>
            <w:gridCol w:w="7219"/>
          </w:tblGrid>
        </w:tblGridChange>
      </w:tblGrid>
      <w:tr>
        <w:trPr>
          <w:cantSplit w:val="0"/>
          <w:tblHeader w:val="0"/>
        </w:trPr>
        <w:tc>
          <w:tcPr>
            <w:shd w:fill="2f5496" w:val="clear"/>
          </w:tcPr>
          <w:p w:rsidR="00000000" w:rsidDel="00000000" w:rsidP="00000000" w:rsidRDefault="00000000" w:rsidRPr="00000000" w14:paraId="00000045">
            <w:pPr>
              <w:jc w:val="both"/>
              <w:rPr>
                <w:b w:val="1"/>
                <w:color w:val="ffffff"/>
              </w:rPr>
            </w:pPr>
            <w:r w:rsidDel="00000000" w:rsidR="00000000" w:rsidRPr="00000000">
              <w:rPr>
                <w:b w:val="1"/>
                <w:color w:val="ffffff"/>
                <w:rtl w:val="0"/>
              </w:rPr>
              <w:t xml:space="preserve">Acronym</w:t>
            </w:r>
          </w:p>
        </w:tc>
        <w:tc>
          <w:tcPr>
            <w:shd w:fill="2f5496" w:val="clear"/>
          </w:tcPr>
          <w:p w:rsidR="00000000" w:rsidDel="00000000" w:rsidP="00000000" w:rsidRDefault="00000000" w:rsidRPr="00000000" w14:paraId="00000046">
            <w:pPr>
              <w:jc w:val="both"/>
              <w:rPr>
                <w:b w:val="1"/>
                <w:color w:val="ffffff"/>
              </w:rPr>
            </w:pPr>
            <w:r w:rsidDel="00000000" w:rsidR="00000000" w:rsidRPr="00000000">
              <w:rPr>
                <w:b w:val="1"/>
                <w:color w:val="ffffff"/>
                <w:rtl w:val="0"/>
              </w:rPr>
              <w:t xml:space="preserve">Meaning</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DTN</w:t>
            </w:r>
          </w:p>
        </w:tc>
        <w:tc>
          <w:tcPr/>
          <w:p w:rsidR="00000000" w:rsidDel="00000000" w:rsidP="00000000" w:rsidRDefault="00000000" w:rsidRPr="00000000" w14:paraId="00000048">
            <w:pPr>
              <w:jc w:val="both"/>
              <w:rPr/>
            </w:pPr>
            <w:r w:rsidDel="00000000" w:rsidR="00000000" w:rsidRPr="00000000">
              <w:rPr>
                <w:rtl w:val="0"/>
              </w:rPr>
              <w:t xml:space="preserve">Delay/Disruption Tolerant Network</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ION</w:t>
            </w:r>
          </w:p>
        </w:tc>
        <w:tc>
          <w:tcPr/>
          <w:p w:rsidR="00000000" w:rsidDel="00000000" w:rsidP="00000000" w:rsidRDefault="00000000" w:rsidRPr="00000000" w14:paraId="0000004A">
            <w:pPr>
              <w:jc w:val="both"/>
              <w:rPr/>
            </w:pPr>
            <w:r w:rsidDel="00000000" w:rsidR="00000000" w:rsidRPr="00000000">
              <w:rPr>
                <w:rtl w:val="0"/>
              </w:rPr>
              <w:t xml:space="preserve">Interplanetary Overlay Network</w:t>
            </w:r>
          </w:p>
        </w:tc>
      </w:tr>
      <w:tr>
        <w:trPr>
          <w:cantSplit w:val="0"/>
          <w:tblHeader w:val="0"/>
        </w:trPr>
        <w:tc>
          <w:tcPr/>
          <w:p w:rsidR="00000000" w:rsidDel="00000000" w:rsidP="00000000" w:rsidRDefault="00000000" w:rsidRPr="00000000" w14:paraId="0000004B">
            <w:pPr>
              <w:jc w:val="both"/>
              <w:rPr/>
            </w:pP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rtl w:val="0"/>
              </w:rPr>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both"/>
        <w:rPr/>
      </w:pPr>
      <w:bookmarkStart w:colFirst="0" w:colLast="0" w:name="_2et92p0" w:id="4"/>
      <w:bookmarkEnd w:id="4"/>
      <w:r w:rsidDel="00000000" w:rsidR="00000000" w:rsidRPr="00000000">
        <w:rPr>
          <w:rtl w:val="0"/>
        </w:rPr>
        <w:t xml:space="preserve">Code Review and Analysis</w:t>
      </w:r>
    </w:p>
    <w:p w:rsidR="00000000" w:rsidDel="00000000" w:rsidP="00000000" w:rsidRDefault="00000000" w:rsidRPr="00000000" w14:paraId="00000050">
      <w:pPr>
        <w:pStyle w:val="Heading2"/>
        <w:spacing w:after="0" w:line="240" w:lineRule="auto"/>
        <w:jc w:val="both"/>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51">
      <w:pPr>
        <w:spacing w:after="0" w:line="276" w:lineRule="auto"/>
        <w:jc w:val="both"/>
        <w:rPr/>
      </w:pPr>
      <w:r w:rsidDel="00000000" w:rsidR="00000000" w:rsidRPr="00000000">
        <w:rPr>
          <w:rtl w:val="0"/>
        </w:rPr>
        <w:t xml:space="preserve">The code excerpt supplied is a memory allocation function that allocates memory for a data block. Depending on whether RTEMS is defined, the code provides platform-specific conditional compilation for memory allocation using “ malloc” or “memalign”. The function's purpose is to allocate memory that is aligned on a boundary. There have been several observations about potential problems with the “</w:t>
      </w:r>
      <w:r w:rsidDel="00000000" w:rsidR="00000000" w:rsidRPr="00000000">
        <w:rPr>
          <w:rtl w:val="0"/>
        </w:rPr>
        <w:t xml:space="preserve">memalign</w:t>
      </w:r>
      <w:r w:rsidDel="00000000" w:rsidR="00000000" w:rsidRPr="00000000">
        <w:rPr>
          <w:rtl w:val="0"/>
        </w:rPr>
        <w:t xml:space="preserve">” call and the use of sizeof(void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spacing w:after="0" w:line="240" w:lineRule="auto"/>
        <w:jc w:val="both"/>
        <w:rPr/>
      </w:pPr>
      <w:bookmarkStart w:colFirst="0" w:colLast="0" w:name="_3dy6vkm" w:id="6"/>
      <w:bookmarkEnd w:id="6"/>
      <w:r w:rsidDel="00000000" w:rsidR="00000000" w:rsidRPr="00000000">
        <w:rPr>
          <w:rtl w:val="0"/>
        </w:rPr>
        <w:t xml:space="preserve">Observations</w:t>
      </w:r>
    </w:p>
    <w:p w:rsidR="00000000" w:rsidDel="00000000" w:rsidP="00000000" w:rsidRDefault="00000000" w:rsidRPr="00000000" w14:paraId="00000054">
      <w:pPr>
        <w:jc w:val="both"/>
        <w:rPr/>
      </w:pPr>
      <w:r w:rsidDel="00000000" w:rsidR="00000000" w:rsidRPr="00000000">
        <w:rPr>
          <w:rtl w:val="0"/>
        </w:rPr>
        <w:t xml:space="preserve">The code snippet seeks to allocate memory for a data block and can be adapted to multiple platforms via conditional compilation. Specifically:</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Lines 1372-1375: Memory allocation via memalign is performed when RTEMS is not defined.</w:t>
      </w:r>
    </w:p>
    <w:p w:rsidR="00000000" w:rsidDel="00000000" w:rsidP="00000000" w:rsidRDefault="00000000" w:rsidRPr="00000000" w14:paraId="00000057">
      <w:pPr>
        <w:jc w:val="both"/>
        <w:rPr/>
      </w:pPr>
      <w:r w:rsidDel="00000000" w:rsidR="00000000" w:rsidRPr="00000000">
        <w:rPr>
          <w:rtl w:val="0"/>
        </w:rPr>
        <w:t xml:space="preserve">Line 1373 raises a concern: the sizeof(void *) parameter in the memalign call appears to be problematic.</w:t>
      </w:r>
    </w:p>
    <w:p w:rsidR="00000000" w:rsidDel="00000000" w:rsidP="00000000" w:rsidRDefault="00000000" w:rsidRPr="00000000" w14:paraId="00000058">
      <w:pPr>
        <w:jc w:val="both"/>
        <w:rPr>
          <w:i w:val="1"/>
          <w:color w:val="404040"/>
        </w:rPr>
      </w:pPr>
      <w:r w:rsidDel="00000000" w:rsidR="00000000" w:rsidRPr="00000000">
        <w:rPr>
          <w:rtl w:val="0"/>
        </w:rPr>
      </w:r>
    </w:p>
    <w:p w:rsidR="00000000" w:rsidDel="00000000" w:rsidP="00000000" w:rsidRDefault="00000000" w:rsidRPr="00000000" w14:paraId="00000059">
      <w:pPr>
        <w:jc w:val="both"/>
        <w:rPr>
          <w:i w:val="1"/>
          <w:color w:val="404040"/>
        </w:rPr>
      </w:pPr>
      <w:r w:rsidDel="00000000" w:rsidR="00000000" w:rsidRPr="00000000">
        <w:rPr>
          <w:rtl w:val="0"/>
        </w:rPr>
      </w:r>
    </w:p>
    <w:p w:rsidR="00000000" w:rsidDel="00000000" w:rsidP="00000000" w:rsidRDefault="00000000" w:rsidRPr="00000000" w14:paraId="0000005A">
      <w:pPr>
        <w:pStyle w:val="Heading2"/>
        <w:spacing w:after="0" w:line="240" w:lineRule="auto"/>
        <w:jc w:val="both"/>
        <w:rPr/>
      </w:pPr>
      <w:bookmarkStart w:colFirst="0" w:colLast="0" w:name="_1t3h5sf" w:id="7"/>
      <w:bookmarkEnd w:id="7"/>
      <w:r w:rsidDel="00000000" w:rsidR="00000000" w:rsidRPr="00000000">
        <w:rPr>
          <w:rtl w:val="0"/>
        </w:rPr>
        <w:t xml:space="preserve">Supporting Evidence</w:t>
        <w:tab/>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5731200" cy="3175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spacing w:line="240" w:lineRule="auto"/>
        <w:jc w:val="both"/>
        <w:rPr/>
      </w:pPr>
      <w:bookmarkStart w:colFirst="0" w:colLast="0" w:name="_m5czjs15rcsg" w:id="8"/>
      <w:bookmarkEnd w:id="8"/>
      <w:r w:rsidDel="00000000" w:rsidR="00000000" w:rsidRPr="00000000">
        <w:rPr>
          <w:rtl w:val="0"/>
        </w:rPr>
      </w:r>
    </w:p>
    <w:p w:rsidR="00000000" w:rsidDel="00000000" w:rsidP="00000000" w:rsidRDefault="00000000" w:rsidRPr="00000000" w14:paraId="00000060">
      <w:pPr>
        <w:pStyle w:val="Heading1"/>
        <w:spacing w:line="240" w:lineRule="auto"/>
        <w:jc w:val="both"/>
        <w:rPr/>
      </w:pPr>
      <w:bookmarkStart w:colFirst="0" w:colLast="0" w:name="_4d34og8" w:id="9"/>
      <w:bookmarkEnd w:id="9"/>
      <w:r w:rsidDel="00000000" w:rsidR="00000000" w:rsidRPr="00000000">
        <w:rPr>
          <w:rtl w:val="0"/>
        </w:rPr>
        <w:t xml:space="preserve">Conclusions and Recommendations</w:t>
      </w:r>
    </w:p>
    <w:p w:rsidR="00000000" w:rsidDel="00000000" w:rsidP="00000000" w:rsidRDefault="00000000" w:rsidRPr="00000000" w14:paraId="00000061">
      <w:pPr>
        <w:jc w:val="both"/>
        <w:rPr/>
      </w:pPr>
      <w:r w:rsidDel="00000000" w:rsidR="00000000" w:rsidRPr="00000000">
        <w:rPr>
          <w:rtl w:val="0"/>
        </w:rPr>
        <w:t xml:space="preserve">Addressing the code's memory allocation strategy would involve correcting the usage of </w:t>
      </w:r>
      <w:r w:rsidDel="00000000" w:rsidR="00000000" w:rsidRPr="00000000">
        <w:rPr>
          <w:b w:val="1"/>
          <w:rtl w:val="0"/>
        </w:rPr>
        <w:t xml:space="preserve">memalign</w:t>
      </w:r>
      <w:r w:rsidDel="00000000" w:rsidR="00000000" w:rsidRPr="00000000">
        <w:rPr>
          <w:rtl w:val="0"/>
        </w:rPr>
        <w:t xml:space="preserve">. The second argument of </w:t>
      </w:r>
      <w:r w:rsidDel="00000000" w:rsidR="00000000" w:rsidRPr="00000000">
        <w:rPr>
          <w:b w:val="1"/>
          <w:rtl w:val="0"/>
        </w:rPr>
        <w:t xml:space="preserve">memalign</w:t>
      </w:r>
      <w:r w:rsidDel="00000000" w:rsidR="00000000" w:rsidRPr="00000000">
        <w:rPr>
          <w:rtl w:val="0"/>
        </w:rPr>
        <w:t xml:space="preserve"> should be replaced with the appropriate value reflecting the desired memory alignment. For enhanced platform independence, a recommended approach is to consistently use </w:t>
      </w:r>
      <w:r w:rsidDel="00000000" w:rsidR="00000000" w:rsidRPr="00000000">
        <w:rPr>
          <w:b w:val="1"/>
          <w:rtl w:val="0"/>
        </w:rPr>
        <w:t xml:space="preserve">malloc</w:t>
      </w:r>
      <w:r w:rsidDel="00000000" w:rsidR="00000000" w:rsidRPr="00000000">
        <w:rPr>
          <w:rtl w:val="0"/>
        </w:rPr>
        <w:t xml:space="preserve"> and manage memory alignment explicitly if necessary. </w:t>
      </w:r>
    </w:p>
    <w:p w:rsidR="00000000" w:rsidDel="00000000" w:rsidP="00000000" w:rsidRDefault="00000000" w:rsidRPr="00000000" w14:paraId="00000062">
      <w:pPr>
        <w:jc w:val="both"/>
        <w:rPr/>
      </w:pPr>
      <w:r w:rsidDel="00000000" w:rsidR="00000000" w:rsidRPr="00000000">
        <w:rPr>
          <w:rtl w:val="0"/>
        </w:rPr>
        <w:t xml:space="preserve">Furthermore, an opportunity for improvement lies in refining error handling techniques. Rather than a simple error message, considering mechanisms such as returning standardized error codes or utilizing exceptions would provide more structured feedback to the caller. In conclusion, while the code effectively allocates and initializes memory using </w:t>
      </w:r>
      <w:r w:rsidDel="00000000" w:rsidR="00000000" w:rsidRPr="00000000">
        <w:rPr>
          <w:b w:val="1"/>
          <w:rtl w:val="0"/>
        </w:rPr>
        <w:t xml:space="preserve">malloc</w:t>
      </w:r>
      <w:r w:rsidDel="00000000" w:rsidR="00000000" w:rsidRPr="00000000">
        <w:rPr>
          <w:rtl w:val="0"/>
        </w:rPr>
        <w:t xml:space="preserve"> and </w:t>
      </w:r>
      <w:r w:rsidDel="00000000" w:rsidR="00000000" w:rsidRPr="00000000">
        <w:rPr>
          <w:b w:val="1"/>
          <w:rtl w:val="0"/>
        </w:rPr>
        <w:t xml:space="preserve">memset</w:t>
      </w:r>
      <w:r w:rsidDel="00000000" w:rsidR="00000000" w:rsidRPr="00000000">
        <w:rPr>
          <w:rtl w:val="0"/>
        </w:rPr>
        <w:t xml:space="preserve">, the misunderstanding of </w:t>
      </w:r>
      <w:r w:rsidDel="00000000" w:rsidR="00000000" w:rsidRPr="00000000">
        <w:rPr>
          <w:b w:val="1"/>
          <w:rtl w:val="0"/>
        </w:rPr>
        <w:t xml:space="preserve">memalign</w:t>
      </w:r>
      <w:r w:rsidDel="00000000" w:rsidR="00000000" w:rsidRPr="00000000">
        <w:rPr>
          <w:rtl w:val="0"/>
        </w:rPr>
        <w:t xml:space="preserve"> arguments introduces potential risks. Enhancing platform independence and bolstering error handling procedures are advised. Rigorous testing and thorough review are paramount to ensure consistent memory allocation behavior across platforms and robust error management.</w:t>
      </w:r>
    </w:p>
    <w:p w:rsidR="00000000" w:rsidDel="00000000" w:rsidP="00000000" w:rsidRDefault="00000000" w:rsidRPr="00000000" w14:paraId="00000063">
      <w:pPr>
        <w:jc w:val="both"/>
        <w:rPr>
          <w:i w:val="1"/>
          <w:color w:val="40404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2f5496"/>
          <w:sz w:val="32"/>
          <w:szCs w:val="32"/>
        </w:rPr>
      </w:pPr>
      <w:bookmarkStart w:colFirst="0" w:colLast="0" w:name="_2s8eyo1" w:id="10"/>
      <w:bookmarkEnd w:id="10"/>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br w:type="textWrapping"/>
      </w:r>
      <w:r w:rsidDel="00000000" w:rsidR="00000000" w:rsidRPr="00000000">
        <w:rPr>
          <w:i w:val="1"/>
          <w:color w:val="404040"/>
          <w:rtl w:val="0"/>
        </w:rPr>
        <w:t xml:space="preserve">Please keep an updated references list in APA7; The Deakin referencing guide can be found </w:t>
      </w:r>
      <w:hyperlink r:id="rId10">
        <w:r w:rsidDel="00000000" w:rsidR="00000000" w:rsidRPr="00000000">
          <w:rPr>
            <w:color w:val="0563c1"/>
            <w:u w:val="single"/>
            <w:rtl w:val="0"/>
          </w:rPr>
          <w:t xml:space="preserve">here</w:t>
        </w:r>
      </w:hyperlink>
      <w:r w:rsidDel="00000000" w:rsidR="00000000" w:rsidRPr="00000000">
        <w:rPr>
          <w:i w:val="1"/>
          <w:color w:val="40404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5">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jc w:val="both"/>
        <w:rPr/>
      </w:pPr>
      <w:bookmarkStart w:colFirst="0" w:colLast="0" w:name="_17dp8vu" w:id="11"/>
      <w:bookmarkEnd w:id="11"/>
      <w:r w:rsidDel="00000000" w:rsidR="00000000" w:rsidRPr="00000000">
        <w:rPr>
          <w:rFonts w:ascii="Calibri" w:cs="Calibri" w:eastAsia="Calibri" w:hAnsi="Calibri"/>
          <w:color w:val="2f5496"/>
          <w:sz w:val="32"/>
          <w:szCs w:val="32"/>
          <w:rtl w:val="0"/>
        </w:rPr>
        <w:t xml:space="preserve">Appendix</w:t>
      </w:r>
      <w:r w:rsidDel="00000000" w:rsidR="00000000" w:rsidRPr="00000000">
        <w:rPr>
          <w:rtl w:val="0"/>
        </w:rPr>
      </w:r>
    </w:p>
    <w:p w:rsidR="00000000" w:rsidDel="00000000" w:rsidP="00000000" w:rsidRDefault="00000000" w:rsidRPr="00000000" w14:paraId="00000067">
      <w:pPr>
        <w:jc w:val="both"/>
        <w:rPr>
          <w:i w:val="1"/>
          <w:color w:val="404040"/>
        </w:rPr>
      </w:pPr>
      <w:r w:rsidDel="00000000" w:rsidR="00000000" w:rsidRPr="00000000">
        <w:rPr>
          <w:i w:val="1"/>
          <w:color w:val="404040"/>
          <w:rtl w:val="0"/>
        </w:rPr>
        <w:t xml:space="preserve">Include additional information/documentation here to help the readers understand complex information.</w:t>
      </w:r>
    </w:p>
    <w:p w:rsidR="00000000" w:rsidDel="00000000" w:rsidP="00000000" w:rsidRDefault="00000000" w:rsidRPr="00000000" w14:paraId="00000068">
      <w:pPr>
        <w:pStyle w:val="Heading1"/>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426"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
              <a:graphic>
                <a:graphicData uri="http://schemas.microsoft.com/office/word/2010/wordprocessingShape">
                  <wps:wsp>
                    <wps:cNvSpPr/>
                    <wps:cNvPr id="3" name="Shape 3"/>
                    <wps:spPr>
                      <a:xfrm>
                        <a:off x="4263325" y="3618075"/>
                        <a:ext cx="21653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Franklin Medium" w:cs="Libre Franklin Medium" w:eastAsia="Libre Franklin Medium" w:hAnsi="Libre Franklin Medium"/>
                              <w:b w:val="0"/>
                              <w:i w:val="0"/>
                              <w:smallCaps w:val="0"/>
                              <w:strike w:val="0"/>
                              <w:color w:val="808080"/>
                              <w:sz w:val="28"/>
                              <w:vertAlign w:val="baseline"/>
                            </w:rPr>
                            <w:t xml:space="preserve">   Hardhat Enterprises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74875" cy="3333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3191840</wp:posOffset>
          </wp:positionH>
          <wp:positionV relativeFrom="paragraph">
            <wp:posOffset>-294004</wp:posOffset>
          </wp:positionV>
          <wp:extent cx="590550" cy="572135"/>
          <wp:effectExtent b="0" l="0" r="0" t="0"/>
          <wp:wrapNone/>
          <wp:docPr descr="A picture containing text&#10;&#10;Description automatically generated" id="5" name="image1.png"/>
          <a:graphic>
            <a:graphicData uri="http://schemas.openxmlformats.org/drawingml/2006/picture">
              <pic:pic>
                <pic:nvPicPr>
                  <pic:cNvPr descr="A picture containing text&#10;&#10;Description automatically generated" id="0" name="image1.png"/>
                  <pic:cNvPicPr preferRelativeResize="0"/>
                </pic:nvPicPr>
                <pic:blipFill>
                  <a:blip r:embed="rId2"/>
                  <a:srcRect b="0" l="0" r="0" t="0"/>
                  <a:stretch>
                    <a:fillRect/>
                  </a:stretch>
                </pic:blipFill>
                <pic:spPr>
                  <a:xfrm>
                    <a:off x="0" y="0"/>
                    <a:ext cx="590550" cy="572135"/>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NASA Exploits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Hardhat Enterprises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Analysis Findings Report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Coverity Scan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Trimester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w:drawing>
        <wp:anchor allowOverlap="1" behindDoc="1" distB="0" distT="0" distL="0" distR="0" hidden="0" layoutInCell="1" locked="0" relativeHeight="0" simplePos="0">
          <wp:simplePos x="0" y="0"/>
          <wp:positionH relativeFrom="column">
            <wp:posOffset>-37713</wp:posOffset>
          </wp:positionH>
          <wp:positionV relativeFrom="paragraph">
            <wp:posOffset>8393</wp:posOffset>
          </wp:positionV>
          <wp:extent cx="943671" cy="429370"/>
          <wp:effectExtent b="0" l="0" r="0" t="0"/>
          <wp:wrapNone/>
          <wp:docPr descr="@NASA-Protocol-Exploits" id="4" name="image2.png"/>
          <a:graphic>
            <a:graphicData uri="http://schemas.openxmlformats.org/drawingml/2006/picture">
              <pic:pic>
                <pic:nvPicPr>
                  <pic:cNvPr descr="@NASA-Protocol-Exploits" id="0" name="image2.png"/>
                  <pic:cNvPicPr preferRelativeResize="0"/>
                </pic:nvPicPr>
                <pic:blipFill>
                  <a:blip r:embed="rId1"/>
                  <a:srcRect b="26999" l="0" r="0" t="27500"/>
                  <a:stretch>
                    <a:fillRect/>
                  </a:stretch>
                </pic:blipFill>
                <pic:spPr>
                  <a:xfrm>
                    <a:off x="0" y="0"/>
                    <a:ext cx="943671" cy="429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line="36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hyperlink" Target="https://appsource.microsoft.com/en-us/product/office/WA104382008?tab=Overview"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3.xml"/><Relationship Id="rId7"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footer" Target="footer1.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png"/><Relationship Id="rId15" Type="http://schemas.openxmlformats.org/officeDocument/2006/relationships/footer" Target="footer2.xml"/><Relationship Id="rId5" Type="http://schemas.openxmlformats.org/officeDocument/2006/relationships/styles" Target="styles.xml"/><Relationship Id="rId10" Type="http://schemas.openxmlformats.org/officeDocument/2006/relationships/hyperlink" Target="https://www.deakin.edu.au/__data/assets/pdf_file/0009/2236752/Deakin-guide-to-APA7.pdf"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ADBF04-1BEB-4C7E-AF65-73A36B9BAA9E}"/>
</file>

<file path=customXml/itemProps2.xml><?xml version="1.0" encoding="utf-8"?>
<ds:datastoreItem xmlns:ds="http://schemas.openxmlformats.org/officeDocument/2006/customXml" ds:itemID="{C016D8DD-716E-4529-BDBD-A1FC6EACC7EA}"/>
</file>

<file path=customXml/itemProps3.xml><?xml version="1.0" encoding="utf-8"?>
<ds:datastoreItem xmlns:ds="http://schemas.openxmlformats.org/officeDocument/2006/customXml" ds:itemID="{A60BA584-306E-42B8-8416-DB71AEE88FE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