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4AEBD79F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A8167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4AEBD79F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A8167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3"/>
        <w:gridCol w:w="1786"/>
        <w:gridCol w:w="4443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25CF375" w:rsidR="008310AF" w:rsidRDefault="00DE565A" w:rsidP="00DE565A">
            <w:r>
              <w:t>11/09/2023</w:t>
            </w:r>
          </w:p>
        </w:tc>
        <w:tc>
          <w:tcPr>
            <w:tcW w:w="1417" w:type="dxa"/>
          </w:tcPr>
          <w:p w14:paraId="408C2F2B" w14:textId="353551F3" w:rsidR="008310AF" w:rsidRDefault="00DE565A" w:rsidP="00632907">
            <w:pPr>
              <w:jc w:val="both"/>
            </w:pPr>
            <w:r>
              <w:t>V1.0</w:t>
            </w:r>
          </w:p>
        </w:tc>
        <w:tc>
          <w:tcPr>
            <w:tcW w:w="1843" w:type="dxa"/>
          </w:tcPr>
          <w:p w14:paraId="5CFA5C10" w14:textId="47DCA754" w:rsidR="008310AF" w:rsidRDefault="00DE565A" w:rsidP="00632907">
            <w:pPr>
              <w:jc w:val="both"/>
            </w:pPr>
            <w:r>
              <w:t>Damon Willmott</w:t>
            </w:r>
          </w:p>
        </w:tc>
        <w:tc>
          <w:tcPr>
            <w:tcW w:w="4677" w:type="dxa"/>
          </w:tcPr>
          <w:p w14:paraId="0BAAAAAE" w14:textId="4B6F1382" w:rsidR="008310AF" w:rsidRDefault="00DE565A" w:rsidP="0063290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308F29A7" w:rsidR="008310AF" w:rsidRDefault="00DE565A" w:rsidP="00632907">
            <w:pPr>
              <w:jc w:val="both"/>
            </w:pPr>
            <w:r>
              <w:t>12/09/2023</w:t>
            </w:r>
          </w:p>
        </w:tc>
        <w:tc>
          <w:tcPr>
            <w:tcW w:w="1417" w:type="dxa"/>
          </w:tcPr>
          <w:p w14:paraId="0A61FB3B" w14:textId="4032DC1E" w:rsidR="008310AF" w:rsidRDefault="00DE565A" w:rsidP="00632907">
            <w:pPr>
              <w:jc w:val="both"/>
            </w:pPr>
            <w:r>
              <w:t>V1.1</w:t>
            </w:r>
          </w:p>
        </w:tc>
        <w:tc>
          <w:tcPr>
            <w:tcW w:w="1843" w:type="dxa"/>
          </w:tcPr>
          <w:p w14:paraId="6BEFB33D" w14:textId="1AC738F1" w:rsidR="008310AF" w:rsidRDefault="00DE565A" w:rsidP="00632907">
            <w:pPr>
              <w:jc w:val="both"/>
            </w:pPr>
            <w:r>
              <w:t>Damon Willmott</w:t>
            </w:r>
          </w:p>
        </w:tc>
        <w:tc>
          <w:tcPr>
            <w:tcW w:w="4677" w:type="dxa"/>
          </w:tcPr>
          <w:p w14:paraId="65BC1CD3" w14:textId="264F4BC1" w:rsidR="008310AF" w:rsidRDefault="00DE565A" w:rsidP="00632907">
            <w:pPr>
              <w:jc w:val="both"/>
            </w:pPr>
            <w:proofErr w:type="spellStart"/>
            <w:r>
              <w:t>Finalisation</w:t>
            </w:r>
            <w:proofErr w:type="spellEnd"/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5F97F52C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E458FE">
        <w:rPr>
          <w:b/>
          <w:bCs/>
          <w:i/>
          <w:iCs/>
        </w:rPr>
        <w:t>Structu</w:t>
      </w:r>
      <w:r w:rsidR="00AE1B4E">
        <w:rPr>
          <w:b/>
          <w:bCs/>
          <w:i/>
          <w:iCs/>
        </w:rPr>
        <w:t>r</w:t>
      </w:r>
      <w:r w:rsidR="00E458FE">
        <w:rPr>
          <w:b/>
          <w:bCs/>
          <w:i/>
          <w:iCs/>
        </w:rPr>
        <w:t>ally Dead Code</w:t>
      </w:r>
      <w:r>
        <w:t xml:space="preserve"> type defect identified in the following CIDs:</w:t>
      </w:r>
      <w:r>
        <w:br/>
      </w:r>
      <w:r w:rsidR="00E458FE">
        <w:rPr>
          <w:b/>
          <w:bCs/>
          <w:i/>
          <w:iCs/>
        </w:rPr>
        <w:t>CID 1520726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1F1485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1F1485">
        <w:tc>
          <w:tcPr>
            <w:tcW w:w="1797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1F1485">
        <w:tc>
          <w:tcPr>
            <w:tcW w:w="1797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1F1485" w14:paraId="6467ECD5" w14:textId="77777777" w:rsidTr="001F1485">
        <w:tc>
          <w:tcPr>
            <w:tcW w:w="1797" w:type="dxa"/>
          </w:tcPr>
          <w:p w14:paraId="1A298907" w14:textId="711E84D3" w:rsidR="001F1485" w:rsidRDefault="001F1485" w:rsidP="001F1485">
            <w:pPr>
              <w:jc w:val="both"/>
            </w:pPr>
            <w:r>
              <w:t>CID</w:t>
            </w:r>
          </w:p>
        </w:tc>
        <w:tc>
          <w:tcPr>
            <w:tcW w:w="7219" w:type="dxa"/>
          </w:tcPr>
          <w:p w14:paraId="467A7F06" w14:textId="3ADA88F7" w:rsidR="001F1485" w:rsidRDefault="001F1485" w:rsidP="001F1485">
            <w:pPr>
              <w:jc w:val="both"/>
            </w:pPr>
            <w:r>
              <w:t>Coverity Issue Identification number</w:t>
            </w:r>
          </w:p>
        </w:tc>
      </w:tr>
      <w:tr w:rsidR="001F1485" w14:paraId="476B5639" w14:textId="77777777" w:rsidTr="001F1485">
        <w:tc>
          <w:tcPr>
            <w:tcW w:w="1797" w:type="dxa"/>
          </w:tcPr>
          <w:p w14:paraId="2A5E93BA" w14:textId="79E4091C" w:rsidR="001F1485" w:rsidRDefault="001F1485" w:rsidP="001F1485">
            <w:pPr>
              <w:jc w:val="both"/>
            </w:pPr>
            <w:r>
              <w:t>CWE</w:t>
            </w:r>
          </w:p>
        </w:tc>
        <w:tc>
          <w:tcPr>
            <w:tcW w:w="7219" w:type="dxa"/>
          </w:tcPr>
          <w:p w14:paraId="09561B8B" w14:textId="3C3E68EA" w:rsidR="001F1485" w:rsidRDefault="001F1485" w:rsidP="001F1485">
            <w:pPr>
              <w:jc w:val="both"/>
            </w:pPr>
            <w:r>
              <w:t>Common Weakness Enumeration</w:t>
            </w:r>
          </w:p>
        </w:tc>
      </w:tr>
      <w:tr w:rsidR="00CC10A8" w14:paraId="07A516D5" w14:textId="77777777" w:rsidTr="001F1485">
        <w:tc>
          <w:tcPr>
            <w:tcW w:w="1797" w:type="dxa"/>
          </w:tcPr>
          <w:p w14:paraId="7D5B4AB8" w14:textId="367BD950" w:rsidR="00CC10A8" w:rsidRDefault="00CC10A8" w:rsidP="001F1485">
            <w:pPr>
              <w:jc w:val="both"/>
            </w:pPr>
            <w:r>
              <w:t>BCB</w:t>
            </w:r>
          </w:p>
        </w:tc>
        <w:tc>
          <w:tcPr>
            <w:tcW w:w="7219" w:type="dxa"/>
          </w:tcPr>
          <w:p w14:paraId="324E79D8" w14:textId="06B0052C" w:rsidR="00CC10A8" w:rsidRDefault="00CC10A8" w:rsidP="001F1485">
            <w:pPr>
              <w:jc w:val="both"/>
            </w:pPr>
            <w:r>
              <w:t xml:space="preserve">Block </w:t>
            </w:r>
            <w:proofErr w:type="spellStart"/>
            <w:r>
              <w:t>Confidentialy</w:t>
            </w:r>
            <w:proofErr w:type="spellEnd"/>
            <w:r>
              <w:t xml:space="preserve"> Block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1117228F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1BF0B80F" w:rsidR="007F601A" w:rsidRPr="00FE6123" w:rsidRDefault="00B21A43" w:rsidP="0043201C">
      <w:pPr>
        <w:rPr>
          <w:rStyle w:val="SubtleEmphasis"/>
          <w:b/>
          <w:bCs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Static Analysis by </w:t>
      </w:r>
      <w:r w:rsidR="00FE6123" w:rsidRPr="006121EE">
        <w:rPr>
          <w:rStyle w:val="SubtleEmphasis"/>
          <w:i w:val="0"/>
          <w:iCs w:val="0"/>
          <w:color w:val="auto"/>
        </w:rPr>
        <w:t xml:space="preserve">Coverity </w:t>
      </w:r>
      <w:proofErr w:type="spellStart"/>
      <w:r w:rsidR="00FE6123" w:rsidRPr="006121EE">
        <w:rPr>
          <w:rStyle w:val="SubtleEmphasis"/>
          <w:i w:val="0"/>
          <w:iCs w:val="0"/>
          <w:color w:val="auto"/>
        </w:rPr>
        <w:t>categorieses</w:t>
      </w:r>
      <w:proofErr w:type="spellEnd"/>
      <w:r w:rsidR="00FE6123" w:rsidRPr="006121EE">
        <w:rPr>
          <w:rStyle w:val="SubtleEmphasis"/>
          <w:i w:val="0"/>
          <w:iCs w:val="0"/>
          <w:color w:val="auto"/>
        </w:rPr>
        <w:t xml:space="preserve"> CID-1520</w:t>
      </w:r>
      <w:r w:rsidR="00FE6123">
        <w:rPr>
          <w:rStyle w:val="SubtleEmphasis"/>
          <w:i w:val="0"/>
          <w:iCs w:val="0"/>
          <w:color w:val="auto"/>
        </w:rPr>
        <w:t>726</w:t>
      </w:r>
      <w:r w:rsidR="00FE6123" w:rsidRPr="006121EE">
        <w:rPr>
          <w:rStyle w:val="SubtleEmphasis"/>
          <w:i w:val="0"/>
          <w:iCs w:val="0"/>
          <w:color w:val="auto"/>
        </w:rPr>
        <w:t xml:space="preserve"> as a </w:t>
      </w:r>
      <w:proofErr w:type="gramStart"/>
      <w:r w:rsidR="00FE6123" w:rsidRPr="006121EE">
        <w:rPr>
          <w:rStyle w:val="SubtleEmphasis"/>
          <w:b/>
          <w:bCs/>
          <w:i w:val="0"/>
          <w:iCs w:val="0"/>
          <w:color w:val="auto"/>
        </w:rPr>
        <w:t>Medium</w:t>
      </w:r>
      <w:proofErr w:type="gramEnd"/>
      <w:r w:rsidR="00FE6123" w:rsidRPr="006121EE">
        <w:rPr>
          <w:rStyle w:val="SubtleEmphasis"/>
          <w:i w:val="0"/>
          <w:iCs w:val="0"/>
          <w:color w:val="auto"/>
        </w:rPr>
        <w:t xml:space="preserve"> impact</w:t>
      </w:r>
      <w:r w:rsidR="00FE6123" w:rsidRPr="006121EE">
        <w:rPr>
          <w:rStyle w:val="SubtleEmphasis"/>
          <w:b/>
          <w:bCs/>
          <w:i w:val="0"/>
          <w:iCs w:val="0"/>
          <w:color w:val="auto"/>
        </w:rPr>
        <w:t xml:space="preserve"> </w:t>
      </w:r>
      <w:r w:rsidR="00FE6123" w:rsidRPr="006121EE">
        <w:rPr>
          <w:rStyle w:val="SubtleEmphasis"/>
          <w:i w:val="0"/>
          <w:iCs w:val="0"/>
          <w:color w:val="auto"/>
        </w:rPr>
        <w:t xml:space="preserve">vulnerability, </w:t>
      </w:r>
      <w:r w:rsidR="00FE6123">
        <w:rPr>
          <w:rStyle w:val="SubtleEmphasis"/>
          <w:i w:val="0"/>
          <w:iCs w:val="0"/>
          <w:color w:val="auto"/>
        </w:rPr>
        <w:t xml:space="preserve">and depicts it as a </w:t>
      </w:r>
      <w:r w:rsidR="00AE1B4E">
        <w:rPr>
          <w:rStyle w:val="SubtleEmphasis"/>
          <w:b/>
          <w:bCs/>
          <w:i w:val="0"/>
          <w:iCs w:val="0"/>
          <w:color w:val="auto"/>
        </w:rPr>
        <w:t xml:space="preserve">Structurally Dead code </w:t>
      </w:r>
      <w:r w:rsidR="00FE6123" w:rsidRPr="006121EE">
        <w:rPr>
          <w:rStyle w:val="SubtleEmphasis"/>
          <w:i w:val="0"/>
          <w:iCs w:val="0"/>
          <w:color w:val="auto"/>
        </w:rPr>
        <w:t>error. This issue is described in CWE-</w:t>
      </w:r>
      <w:r w:rsidR="00B057B9">
        <w:rPr>
          <w:rStyle w:val="SubtleEmphasis"/>
          <w:i w:val="0"/>
          <w:iCs w:val="0"/>
          <w:color w:val="auto"/>
        </w:rPr>
        <w:t>561</w:t>
      </w:r>
      <w:r w:rsidR="00FE6123" w:rsidRPr="006121EE">
        <w:rPr>
          <w:rStyle w:val="SubtleEmphasis"/>
          <w:i w:val="0"/>
          <w:iCs w:val="0"/>
          <w:color w:val="auto"/>
        </w:rPr>
        <w:t xml:space="preserve"> </w:t>
      </w:r>
      <w:r w:rsidR="00CC10A8">
        <w:rPr>
          <w:rStyle w:val="SubtleEmphasis"/>
          <w:i w:val="0"/>
          <w:iCs w:val="0"/>
          <w:color w:val="auto"/>
        </w:rPr>
        <w:t>relates to ‘dead code’, which is code that is impossible to execute within a running program as a result of the surrounding code</w:t>
      </w:r>
      <w:r w:rsidR="00F93E00">
        <w:rPr>
          <w:rStyle w:val="SubtleEmphasis"/>
          <w:i w:val="0"/>
          <w:iCs w:val="0"/>
          <w:color w:val="auto"/>
        </w:rPr>
        <w:t xml:space="preserve">, meaning </w:t>
      </w:r>
      <w:proofErr w:type="gramStart"/>
      <w:r w:rsidR="00F93E00">
        <w:rPr>
          <w:rStyle w:val="SubtleEmphasis"/>
          <w:i w:val="0"/>
          <w:iCs w:val="0"/>
          <w:color w:val="auto"/>
        </w:rPr>
        <w:t>the that</w:t>
      </w:r>
      <w:proofErr w:type="gramEnd"/>
      <w:r w:rsidR="00F93E00">
        <w:rPr>
          <w:rStyle w:val="SubtleEmphasis"/>
          <w:i w:val="0"/>
          <w:iCs w:val="0"/>
          <w:color w:val="auto"/>
        </w:rPr>
        <w:t xml:space="preserve"> code is flagged as irrelevant to the proper functioning of the program as a whole. The section of code analysed for this </w:t>
      </w:r>
      <w:proofErr w:type="gramStart"/>
      <w:r w:rsidR="00F93E00">
        <w:rPr>
          <w:rStyle w:val="SubtleEmphasis"/>
          <w:i w:val="0"/>
          <w:iCs w:val="0"/>
          <w:color w:val="auto"/>
        </w:rPr>
        <w:t>particular issue</w:t>
      </w:r>
      <w:proofErr w:type="gramEnd"/>
      <w:r w:rsidR="00F93E00">
        <w:rPr>
          <w:rStyle w:val="SubtleEmphasis"/>
          <w:i w:val="0"/>
          <w:iCs w:val="0"/>
          <w:color w:val="auto"/>
        </w:rPr>
        <w:t xml:space="preserve"> has the</w:t>
      </w:r>
      <w:r w:rsidR="00CC10A8">
        <w:rPr>
          <w:rStyle w:val="SubtleEmphasis"/>
          <w:i w:val="0"/>
          <w:iCs w:val="0"/>
          <w:color w:val="auto"/>
        </w:rPr>
        <w:t xml:space="preserve"> </w:t>
      </w:r>
      <w:r w:rsidR="00F93E00">
        <w:rPr>
          <w:rStyle w:val="SubtleEmphasis"/>
          <w:i w:val="0"/>
          <w:iCs w:val="0"/>
          <w:color w:val="auto"/>
        </w:rPr>
        <w:t xml:space="preserve">purpose of </w:t>
      </w:r>
      <w:r w:rsidR="00CC10A8">
        <w:rPr>
          <w:rStyle w:val="SubtleEmphasis"/>
          <w:i w:val="0"/>
          <w:iCs w:val="0"/>
          <w:color w:val="auto"/>
        </w:rPr>
        <w:t>receiv</w:t>
      </w:r>
      <w:r w:rsidR="00F93E00">
        <w:rPr>
          <w:rStyle w:val="SubtleEmphasis"/>
          <w:i w:val="0"/>
          <w:iCs w:val="0"/>
          <w:color w:val="auto"/>
        </w:rPr>
        <w:t>ing</w:t>
      </w:r>
      <w:r w:rsidR="00CC10A8">
        <w:rPr>
          <w:rStyle w:val="SubtleEmphasis"/>
          <w:i w:val="0"/>
          <w:iCs w:val="0"/>
          <w:color w:val="auto"/>
        </w:rPr>
        <w:t xml:space="preserve"> the number of failed Tx BCB (Block Confidentiality Block) bytes from SRC</w:t>
      </w:r>
      <w:r w:rsidR="00F93E00">
        <w:rPr>
          <w:rStyle w:val="SubtleEmphasis"/>
          <w:i w:val="0"/>
          <w:iCs w:val="0"/>
          <w:color w:val="auto"/>
        </w:rPr>
        <w:t xml:space="preserve"> within the Bundle Protocol.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110D533" w14:textId="77777777" w:rsidR="00D4491F" w:rsidRDefault="00A8349F" w:rsidP="0043201C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This issue can be observed </w:t>
      </w:r>
      <w:r w:rsidR="00EB3204">
        <w:rPr>
          <w:rStyle w:val="SubtleEmphasis"/>
          <w:i w:val="0"/>
          <w:iCs w:val="0"/>
          <w:color w:val="auto"/>
        </w:rPr>
        <w:t xml:space="preserve">in various functions </w:t>
      </w:r>
      <w:r>
        <w:rPr>
          <w:rStyle w:val="SubtleEmphasis"/>
          <w:i w:val="0"/>
          <w:iCs w:val="0"/>
          <w:color w:val="auto"/>
        </w:rPr>
        <w:t>in the file</w:t>
      </w:r>
      <w:r w:rsidR="00EB3204">
        <w:rPr>
          <w:rStyle w:val="SubtleEmphasis"/>
          <w:i w:val="0"/>
          <w:iCs w:val="0"/>
          <w:color w:val="auto"/>
        </w:rPr>
        <w:t>, which is</w:t>
      </w:r>
      <w:r>
        <w:rPr>
          <w:rStyle w:val="SubtleEmphasis"/>
          <w:i w:val="0"/>
          <w:iCs w:val="0"/>
          <w:color w:val="auto"/>
        </w:rPr>
        <w:t xml:space="preserve"> located</w:t>
      </w:r>
      <w:r w:rsidR="00EB3204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within the </w:t>
      </w:r>
      <w:r>
        <w:rPr>
          <w:rStyle w:val="SubtleEmphasis"/>
          <w:i w:val="0"/>
          <w:iCs w:val="0"/>
          <w:color w:val="2F5496" w:themeColor="accent1" w:themeShade="BF"/>
        </w:rPr>
        <w:t>/bpv7/</w:t>
      </w:r>
      <w:proofErr w:type="spellStart"/>
      <w:r>
        <w:rPr>
          <w:rStyle w:val="SubtleEmphasis"/>
          <w:i w:val="0"/>
          <w:iCs w:val="0"/>
          <w:color w:val="2F5496" w:themeColor="accent1" w:themeShade="BF"/>
        </w:rPr>
        <w:t>adm</w:t>
      </w:r>
      <w:proofErr w:type="spellEnd"/>
      <w:r>
        <w:rPr>
          <w:rStyle w:val="SubtleEmphasis"/>
          <w:i w:val="0"/>
          <w:iCs w:val="0"/>
          <w:color w:val="2F5496" w:themeColor="accent1" w:themeShade="BF"/>
        </w:rPr>
        <w:t>/</w:t>
      </w:r>
      <w:proofErr w:type="spellStart"/>
      <w:r>
        <w:rPr>
          <w:rStyle w:val="SubtleEmphasis"/>
          <w:i w:val="0"/>
          <w:iCs w:val="0"/>
          <w:color w:val="2F5496" w:themeColor="accent1" w:themeShade="BF"/>
        </w:rPr>
        <w:t>adm_bpsec_impl.c</w:t>
      </w:r>
      <w:proofErr w:type="spellEnd"/>
      <w:r>
        <w:rPr>
          <w:rStyle w:val="SubtleEmphasis"/>
          <w:i w:val="0"/>
          <w:iCs w:val="0"/>
          <w:color w:val="2F5496" w:themeColor="accent1" w:themeShade="BF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file directory. </w:t>
      </w:r>
      <w:r w:rsidR="00EB3204">
        <w:rPr>
          <w:rStyle w:val="SubtleEmphasis"/>
          <w:i w:val="0"/>
          <w:iCs w:val="0"/>
          <w:color w:val="auto"/>
        </w:rPr>
        <w:t>The role</w:t>
      </w:r>
      <w:r w:rsidR="004D1AA3">
        <w:rPr>
          <w:rStyle w:val="SubtleEmphasis"/>
          <w:i w:val="0"/>
          <w:iCs w:val="0"/>
          <w:color w:val="auto"/>
        </w:rPr>
        <w:t xml:space="preserve"> of this file</w:t>
      </w:r>
      <w:r w:rsidR="00EB3204">
        <w:rPr>
          <w:rStyle w:val="SubtleEmphasis"/>
          <w:i w:val="0"/>
          <w:iCs w:val="0"/>
          <w:color w:val="auto"/>
        </w:rPr>
        <w:t xml:space="preserve"> is to </w:t>
      </w:r>
      <w:r w:rsidR="00D4491F">
        <w:rPr>
          <w:rStyle w:val="SubtleEmphasis"/>
          <w:i w:val="0"/>
          <w:iCs w:val="0"/>
          <w:color w:val="auto"/>
        </w:rPr>
        <w:t xml:space="preserve">monitor various </w:t>
      </w:r>
      <w:proofErr w:type="gramStart"/>
      <w:r w:rsidR="00D4491F">
        <w:rPr>
          <w:rStyle w:val="SubtleEmphasis"/>
          <w:i w:val="0"/>
          <w:iCs w:val="0"/>
          <w:color w:val="auto"/>
        </w:rPr>
        <w:t>statistics  within</w:t>
      </w:r>
      <w:proofErr w:type="gramEnd"/>
      <w:r w:rsidR="00D4491F">
        <w:rPr>
          <w:rStyle w:val="SubtleEmphasis"/>
          <w:i w:val="0"/>
          <w:iCs w:val="0"/>
          <w:color w:val="auto"/>
        </w:rPr>
        <w:t xml:space="preserve"> the Bundle Protocol, such as monitoring security policies and bundle performance, as well as </w:t>
      </w:r>
      <w:r w:rsidR="00EB3204">
        <w:rPr>
          <w:rStyle w:val="SubtleEmphasis"/>
          <w:i w:val="0"/>
          <w:iCs w:val="0"/>
          <w:color w:val="auto"/>
        </w:rPr>
        <w:t>implement</w:t>
      </w:r>
      <w:r w:rsidR="004D1AA3">
        <w:rPr>
          <w:rStyle w:val="SubtleEmphasis"/>
          <w:i w:val="0"/>
          <w:iCs w:val="0"/>
          <w:color w:val="auto"/>
        </w:rPr>
        <w:t xml:space="preserve"> and retrieve</w:t>
      </w:r>
      <w:r w:rsidR="00EB3204">
        <w:rPr>
          <w:rStyle w:val="SubtleEmphasis"/>
          <w:i w:val="0"/>
          <w:iCs w:val="0"/>
          <w:color w:val="auto"/>
        </w:rPr>
        <w:t xml:space="preserve"> functions from the </w:t>
      </w:r>
      <w:r w:rsidR="004D1AA3">
        <w:rPr>
          <w:rStyle w:val="SubtleEmphasis"/>
          <w:i w:val="0"/>
          <w:iCs w:val="0"/>
          <w:color w:val="auto"/>
        </w:rPr>
        <w:t>‘</w:t>
      </w:r>
      <w:proofErr w:type="spellStart"/>
      <w:r w:rsidR="004D1AA3">
        <w:rPr>
          <w:rStyle w:val="SubtleEmphasis"/>
          <w:i w:val="0"/>
          <w:iCs w:val="0"/>
          <w:color w:val="auto"/>
        </w:rPr>
        <w:t>BPsec</w:t>
      </w:r>
      <w:proofErr w:type="spellEnd"/>
      <w:r w:rsidR="004D1AA3">
        <w:rPr>
          <w:rStyle w:val="SubtleEmphasis"/>
          <w:i w:val="0"/>
          <w:iCs w:val="0"/>
          <w:color w:val="auto"/>
        </w:rPr>
        <w:t>’ Administration API</w:t>
      </w:r>
      <w:r w:rsidR="00D4491F">
        <w:rPr>
          <w:rStyle w:val="SubtleEmphasis"/>
          <w:i w:val="0"/>
          <w:iCs w:val="0"/>
          <w:color w:val="auto"/>
        </w:rPr>
        <w:t>, which can</w:t>
      </w:r>
      <w:r w:rsidR="004D1AA3">
        <w:rPr>
          <w:rStyle w:val="SubtleEmphasis"/>
          <w:i w:val="0"/>
          <w:iCs w:val="0"/>
          <w:color w:val="auto"/>
        </w:rPr>
        <w:t xml:space="preserve"> retriev</w:t>
      </w:r>
      <w:r w:rsidR="00D4491F">
        <w:rPr>
          <w:rStyle w:val="SubtleEmphasis"/>
          <w:i w:val="0"/>
          <w:iCs w:val="0"/>
          <w:color w:val="auto"/>
        </w:rPr>
        <w:t>e</w:t>
      </w:r>
      <w:r w:rsidR="004D1AA3">
        <w:rPr>
          <w:rStyle w:val="SubtleEmphasis"/>
          <w:i w:val="0"/>
          <w:iCs w:val="0"/>
          <w:color w:val="auto"/>
        </w:rPr>
        <w:t xml:space="preserve"> statistics</w:t>
      </w:r>
      <w:r w:rsidR="00D4491F">
        <w:rPr>
          <w:rStyle w:val="SubtleEmphasis"/>
          <w:i w:val="0"/>
          <w:iCs w:val="0"/>
          <w:color w:val="auto"/>
        </w:rPr>
        <w:t xml:space="preserve"> such as the number of blocks that have successfully or failed to transmit</w:t>
      </w:r>
      <w:r w:rsidR="004D1AA3">
        <w:rPr>
          <w:rStyle w:val="SubtleEmphasis"/>
          <w:i w:val="0"/>
          <w:iCs w:val="0"/>
          <w:color w:val="auto"/>
        </w:rPr>
        <w:t>.</w:t>
      </w:r>
    </w:p>
    <w:p w14:paraId="29319E23" w14:textId="37EA1F1D" w:rsidR="0043201C" w:rsidRDefault="00D4491F" w:rsidP="0043201C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occurrence of this issue appears in </w:t>
      </w:r>
      <w:r w:rsidR="00173C07">
        <w:rPr>
          <w:rStyle w:val="SubtleEmphasis"/>
          <w:i w:val="0"/>
          <w:iCs w:val="0"/>
          <w:color w:val="auto"/>
        </w:rPr>
        <w:t xml:space="preserve">several sections of code </w:t>
      </w:r>
      <w:r>
        <w:rPr>
          <w:rStyle w:val="SubtleEmphasis"/>
          <w:i w:val="0"/>
          <w:iCs w:val="0"/>
          <w:color w:val="auto"/>
        </w:rPr>
        <w:t>in the file</w:t>
      </w:r>
      <w:r w:rsidR="00173C07">
        <w:rPr>
          <w:rStyle w:val="SubtleEmphasis"/>
          <w:i w:val="0"/>
          <w:iCs w:val="0"/>
          <w:color w:val="auto"/>
        </w:rPr>
        <w:t xml:space="preserve">, and </w:t>
      </w:r>
      <w:proofErr w:type="gramStart"/>
      <w:r w:rsidR="00173C07">
        <w:rPr>
          <w:rStyle w:val="SubtleEmphasis"/>
          <w:i w:val="0"/>
          <w:iCs w:val="0"/>
          <w:color w:val="auto"/>
        </w:rPr>
        <w:t>the majority of</w:t>
      </w:r>
      <w:proofErr w:type="gramEnd"/>
      <w:r w:rsidR="00173C07">
        <w:rPr>
          <w:rStyle w:val="SubtleEmphasis"/>
          <w:i w:val="0"/>
          <w:iCs w:val="0"/>
          <w:color w:val="auto"/>
        </w:rPr>
        <w:t xml:space="preserve"> them originate from the same cause, that being the </w:t>
      </w:r>
      <w:r w:rsidR="00173C07" w:rsidRPr="00173C07">
        <w:rPr>
          <w:rStyle w:val="SubtleEmphasis"/>
          <w:i w:val="0"/>
          <w:iCs w:val="0"/>
          <w:color w:val="2F5496" w:themeColor="accent1" w:themeShade="BF"/>
        </w:rPr>
        <w:t>‘return result’</w:t>
      </w:r>
      <w:r w:rsidR="00173C07">
        <w:rPr>
          <w:rStyle w:val="SubtleEmphasis"/>
          <w:i w:val="0"/>
          <w:iCs w:val="0"/>
          <w:color w:val="2F5496" w:themeColor="accent1" w:themeShade="BF"/>
        </w:rPr>
        <w:t xml:space="preserve"> </w:t>
      </w:r>
      <w:r w:rsidR="00173C07" w:rsidRPr="00173C07">
        <w:rPr>
          <w:rStyle w:val="SubtleEmphasis"/>
          <w:i w:val="0"/>
          <w:iCs w:val="0"/>
          <w:color w:val="auto"/>
        </w:rPr>
        <w:t>statements located a</w:t>
      </w:r>
      <w:r w:rsidR="00173C07">
        <w:rPr>
          <w:rStyle w:val="SubtleEmphasis"/>
          <w:i w:val="0"/>
          <w:iCs w:val="0"/>
          <w:color w:val="auto"/>
        </w:rPr>
        <w:t>t the end of most of the functions that display this error</w:t>
      </w:r>
      <w:r>
        <w:rPr>
          <w:rStyle w:val="SubtleEmphasis"/>
          <w:i w:val="0"/>
          <w:iCs w:val="0"/>
          <w:color w:val="auto"/>
        </w:rPr>
        <w:t>. Th</w:t>
      </w:r>
      <w:r w:rsidR="00173C07">
        <w:rPr>
          <w:rStyle w:val="SubtleEmphasis"/>
          <w:i w:val="0"/>
          <w:iCs w:val="0"/>
          <w:color w:val="auto"/>
        </w:rPr>
        <w:t>is particular</w:t>
      </w:r>
      <w:r>
        <w:rPr>
          <w:rStyle w:val="SubtleEmphasis"/>
          <w:i w:val="0"/>
          <w:iCs w:val="0"/>
          <w:color w:val="auto"/>
        </w:rPr>
        <w:t xml:space="preserve"> issue </w:t>
      </w:r>
      <w:r w:rsidR="00173C07">
        <w:rPr>
          <w:rStyle w:val="SubtleEmphasis"/>
          <w:i w:val="0"/>
          <w:iCs w:val="0"/>
          <w:color w:val="auto"/>
        </w:rPr>
        <w:t>identified by Coverity can</w:t>
      </w:r>
      <w:r>
        <w:rPr>
          <w:rStyle w:val="SubtleEmphasis"/>
          <w:i w:val="0"/>
          <w:iCs w:val="0"/>
          <w:color w:val="auto"/>
        </w:rPr>
        <w:t xml:space="preserve"> be found in the </w:t>
      </w:r>
      <w:proofErr w:type="spellStart"/>
      <w:r w:rsidR="00A8349F">
        <w:rPr>
          <w:rStyle w:val="SubtleEmphasis"/>
          <w:i w:val="0"/>
          <w:iCs w:val="0"/>
          <w:color w:val="2F5496" w:themeColor="accent1" w:themeShade="BF"/>
        </w:rPr>
        <w:t>dtn_bpsec_get_num_bad_tx_bcb_bytes_src</w:t>
      </w:r>
      <w:proofErr w:type="spellEnd"/>
      <w:r w:rsidR="00A8349F">
        <w:rPr>
          <w:rStyle w:val="SubtleEmphasis"/>
          <w:i w:val="0"/>
          <w:iCs w:val="0"/>
          <w:color w:val="2F5496" w:themeColor="accent1" w:themeShade="BF"/>
        </w:rPr>
        <w:t xml:space="preserve"> </w:t>
      </w:r>
      <w:r w:rsidR="00A8349F">
        <w:rPr>
          <w:rStyle w:val="SubtleEmphasis"/>
          <w:i w:val="0"/>
          <w:iCs w:val="0"/>
          <w:color w:val="auto"/>
        </w:rPr>
        <w:t xml:space="preserve">function, on line 1232. </w:t>
      </w:r>
      <w:r>
        <w:rPr>
          <w:rStyle w:val="SubtleEmphasis"/>
          <w:i w:val="0"/>
          <w:iCs w:val="0"/>
          <w:color w:val="auto"/>
        </w:rPr>
        <w:t>This function is designed to provide information on how many bytes had failed to transmit within the BCB during communication (potentially due to being corrupted or invalid).</w:t>
      </w:r>
    </w:p>
    <w:p w14:paraId="122B9C9A" w14:textId="17B41498" w:rsidR="00D4491F" w:rsidRPr="00A8349F" w:rsidRDefault="00D4491F" w:rsidP="0043201C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</w:rPr>
        <w:t>The error occurs because</w:t>
      </w:r>
      <w:r w:rsidR="00173C07">
        <w:rPr>
          <w:rStyle w:val="SubtleEmphasis"/>
          <w:i w:val="0"/>
          <w:iCs w:val="0"/>
          <w:color w:val="auto"/>
        </w:rPr>
        <w:t xml:space="preserve"> an unnecessary return statement has been included at the end of the function, which is not being executed because the function has already been ceased by a previous return statement, hence Coverity is highlighting the second return statement as structurally dead code.</w:t>
      </w:r>
    </w:p>
    <w:p w14:paraId="3E1F7C6B" w14:textId="3909C5AF" w:rsidR="0043201C" w:rsidRDefault="008310AF" w:rsidP="00173C07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BC7F003" w14:textId="303811A8" w:rsidR="00173C07" w:rsidRPr="00173C07" w:rsidRDefault="00173C07" w:rsidP="00173C0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5" behindDoc="0" locked="0" layoutInCell="1" allowOverlap="1" wp14:anchorId="3F6854E2" wp14:editId="3CABF65C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4733925" cy="2510790"/>
            <wp:effectExtent l="0" t="0" r="9525" b="3810"/>
            <wp:wrapTopAndBottom/>
            <wp:docPr id="49273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following highlights Coverity flagging the problematic code. Here, the second return statement is considered structurally dead</w:t>
      </w:r>
      <w:r w:rsidR="007C2D98">
        <w:rPr>
          <w:lang w:val="en-US"/>
        </w:rPr>
        <w:t xml:space="preserve"> </w:t>
      </w:r>
      <w:r>
        <w:rPr>
          <w:lang w:val="en-US"/>
        </w:rPr>
        <w:t xml:space="preserve">because the previous return statement has already </w:t>
      </w:r>
      <w:r w:rsidR="007C2D98">
        <w:rPr>
          <w:lang w:val="en-US"/>
        </w:rPr>
        <w:t>ceased the functions operation, and thus</w:t>
      </w:r>
      <w:r w:rsidR="00626C1C">
        <w:rPr>
          <w:lang w:val="en-US"/>
        </w:rPr>
        <w:t xml:space="preserve"> the second </w:t>
      </w:r>
      <w:proofErr w:type="spellStart"/>
      <w:r w:rsidR="00626C1C">
        <w:rPr>
          <w:lang w:val="en-US"/>
        </w:rPr>
        <w:t>returen</w:t>
      </w:r>
      <w:proofErr w:type="spellEnd"/>
      <w:r w:rsidR="00626C1C">
        <w:rPr>
          <w:lang w:val="en-US"/>
        </w:rPr>
        <w:t xml:space="preserve"> statement</w:t>
      </w:r>
      <w:r w:rsidR="007C2D98">
        <w:rPr>
          <w:lang w:val="en-US"/>
        </w:rPr>
        <w:t xml:space="preserve"> cannot be executed, making it redundant in the function.</w:t>
      </w:r>
    </w:p>
    <w:p w14:paraId="40FECA14" w14:textId="61EC892C" w:rsidR="007F601A" w:rsidRDefault="0043201C" w:rsidP="007F601A">
      <w:pPr>
        <w:pStyle w:val="Heading1"/>
        <w:spacing w:line="240" w:lineRule="auto"/>
      </w:pPr>
      <w:bookmarkStart w:id="11" w:name="_Toc119848732"/>
      <w:r>
        <w:lastRenderedPageBreak/>
        <w:t>Conclusions and Recommendations</w:t>
      </w:r>
      <w:bookmarkEnd w:id="11"/>
    </w:p>
    <w:p w14:paraId="16C0425F" w14:textId="26BFBF68" w:rsidR="007F601A" w:rsidRDefault="00173C07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This issue is simply a bug in the </w:t>
      </w:r>
      <w:proofErr w:type="gramStart"/>
      <w:r>
        <w:rPr>
          <w:rStyle w:val="SubtleEmphasis"/>
          <w:i w:val="0"/>
          <w:iCs w:val="0"/>
        </w:rPr>
        <w:t>code, and</w:t>
      </w:r>
      <w:proofErr w:type="gramEnd"/>
      <w:r>
        <w:rPr>
          <w:rStyle w:val="SubtleEmphasis"/>
          <w:i w:val="0"/>
          <w:iCs w:val="0"/>
        </w:rPr>
        <w:t xml:space="preserve"> does not pose an immediate threat to the security of the program. </w:t>
      </w:r>
    </w:p>
    <w:p w14:paraId="146971E6" w14:textId="1EC8E3E3" w:rsidR="00173C07" w:rsidRPr="00173C07" w:rsidRDefault="00173C07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recommendation for this error would be to simply remove the second return statement to ensure that all redundant and unnecessary code is removed to ensure good coding practises.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EA620E" w14:textId="774667B1" w:rsidR="00B057B9" w:rsidRDefault="00CF6C70" w:rsidP="00B057B9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 w:rsidR="00B057B9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Common Weakness Enumeration (n.d.) </w:t>
      </w:r>
      <w:r w:rsidR="00B057B9" w:rsidRPr="007331E4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CWE-</w:t>
      </w:r>
      <w:r w:rsidR="00B057B9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561</w:t>
      </w:r>
      <w:r w:rsidR="00B057B9" w:rsidRPr="007331E4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:</w:t>
      </w:r>
      <w:r w:rsidR="00B057B9" w:rsidRPr="00193D2E">
        <w:t xml:space="preserve"> </w:t>
      </w:r>
      <w:r w:rsidR="00B057B9" w:rsidRPr="00193D2E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Unchecked Return Value</w:t>
      </w:r>
      <w:r w:rsidR="00B057B9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, </w:t>
      </w:r>
      <w:hyperlink r:id="rId14" w:history="1">
        <w:r w:rsidR="00B057B9" w:rsidRPr="00CB7D7C">
          <w:rPr>
            <w:rStyle w:val="Hyperlink"/>
            <w:rFonts w:eastAsiaTheme="majorEastAsia" w:cstheme="minorHAnsi"/>
          </w:rPr>
          <w:t>https://cwe.mitre.org/data/definitions/561.html</w:t>
        </w:r>
      </w:hyperlink>
      <w:r w:rsidR="00B057B9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E6B3354" w14:textId="24C0AF3E" w:rsidR="0032522D" w:rsidRDefault="00CF6C70" w:rsidP="00CF6C70">
      <w:pPr>
        <w:rPr>
          <w:rStyle w:val="Heading1Char"/>
        </w:rPr>
      </w:pP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9838" w14:textId="77777777" w:rsidR="00581646" w:rsidRDefault="00581646" w:rsidP="009924FC">
      <w:pPr>
        <w:spacing w:after="0" w:line="240" w:lineRule="auto"/>
      </w:pPr>
      <w:r>
        <w:separator/>
      </w:r>
    </w:p>
  </w:endnote>
  <w:endnote w:type="continuationSeparator" w:id="0">
    <w:p w14:paraId="585CB9A7" w14:textId="77777777" w:rsidR="00581646" w:rsidRDefault="00581646" w:rsidP="009924FC">
      <w:pPr>
        <w:spacing w:after="0" w:line="240" w:lineRule="auto"/>
      </w:pPr>
      <w:r>
        <w:continuationSeparator/>
      </w:r>
    </w:p>
  </w:endnote>
  <w:endnote w:type="continuationNotice" w:id="1">
    <w:p w14:paraId="7753620E" w14:textId="77777777" w:rsidR="00581646" w:rsidRDefault="005816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3CE4" w14:textId="77777777" w:rsidR="00581646" w:rsidRDefault="00581646" w:rsidP="009924FC">
      <w:pPr>
        <w:spacing w:after="0" w:line="240" w:lineRule="auto"/>
      </w:pPr>
      <w:r>
        <w:separator/>
      </w:r>
    </w:p>
  </w:footnote>
  <w:footnote w:type="continuationSeparator" w:id="0">
    <w:p w14:paraId="0D95CDE5" w14:textId="77777777" w:rsidR="00581646" w:rsidRDefault="00581646" w:rsidP="009924FC">
      <w:pPr>
        <w:spacing w:after="0" w:line="240" w:lineRule="auto"/>
      </w:pPr>
      <w:r>
        <w:continuationSeparator/>
      </w:r>
    </w:p>
  </w:footnote>
  <w:footnote w:type="continuationNotice" w:id="1">
    <w:p w14:paraId="2F5911CC" w14:textId="77777777" w:rsidR="00581646" w:rsidRDefault="005816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13EC28E5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A8167D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D483E"/>
    <w:rsid w:val="00173C07"/>
    <w:rsid w:val="001F1485"/>
    <w:rsid w:val="002079A7"/>
    <w:rsid w:val="00271952"/>
    <w:rsid w:val="002949FD"/>
    <w:rsid w:val="002E49F4"/>
    <w:rsid w:val="0032522D"/>
    <w:rsid w:val="00334B51"/>
    <w:rsid w:val="003934F3"/>
    <w:rsid w:val="003E26D0"/>
    <w:rsid w:val="0043201C"/>
    <w:rsid w:val="00435289"/>
    <w:rsid w:val="004D1AA3"/>
    <w:rsid w:val="00560CC6"/>
    <w:rsid w:val="00581646"/>
    <w:rsid w:val="005B1F36"/>
    <w:rsid w:val="00615F8E"/>
    <w:rsid w:val="00626C1C"/>
    <w:rsid w:val="00632907"/>
    <w:rsid w:val="00690363"/>
    <w:rsid w:val="006C6803"/>
    <w:rsid w:val="00714745"/>
    <w:rsid w:val="00797A72"/>
    <w:rsid w:val="007A1605"/>
    <w:rsid w:val="007C2D98"/>
    <w:rsid w:val="007F601A"/>
    <w:rsid w:val="008310AF"/>
    <w:rsid w:val="009924FC"/>
    <w:rsid w:val="00A8167D"/>
    <w:rsid w:val="00A8349F"/>
    <w:rsid w:val="00AB15D9"/>
    <w:rsid w:val="00AE1B4E"/>
    <w:rsid w:val="00B057B9"/>
    <w:rsid w:val="00B13EBD"/>
    <w:rsid w:val="00B21A43"/>
    <w:rsid w:val="00C31A32"/>
    <w:rsid w:val="00CC10A8"/>
    <w:rsid w:val="00CF6C70"/>
    <w:rsid w:val="00D42633"/>
    <w:rsid w:val="00D4491F"/>
    <w:rsid w:val="00DB13F7"/>
    <w:rsid w:val="00DD0173"/>
    <w:rsid w:val="00DE565A"/>
    <w:rsid w:val="00E261B5"/>
    <w:rsid w:val="00E458FE"/>
    <w:rsid w:val="00EB3204"/>
    <w:rsid w:val="00EB651F"/>
    <w:rsid w:val="00EC76DB"/>
    <w:rsid w:val="00F121FD"/>
    <w:rsid w:val="00F23A10"/>
    <w:rsid w:val="00F64C27"/>
    <w:rsid w:val="00F93E00"/>
    <w:rsid w:val="00FE5FC2"/>
    <w:rsid w:val="00FE6123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561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32EC15-906F-4D71-8CFE-F15A9123859C}"/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DAMON WILLMOTT</cp:lastModifiedBy>
  <cp:revision>18</cp:revision>
  <dcterms:created xsi:type="dcterms:W3CDTF">2023-09-21T07:45:00Z</dcterms:created>
  <dcterms:modified xsi:type="dcterms:W3CDTF">2023-09-24T08:09:00Z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