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54D9F67" w:rsidR="008310AF" w:rsidRDefault="00384CF8" w:rsidP="008310A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BCF5D75" w:rsidR="008310AF" w:rsidRDefault="00384CF8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hong Zhang</w:t>
            </w:r>
          </w:p>
        </w:tc>
        <w:tc>
          <w:tcPr>
            <w:tcW w:w="4677" w:type="dxa"/>
          </w:tcPr>
          <w:p w14:paraId="0BAAAAAE" w14:textId="2DE85E81" w:rsidR="008310AF" w:rsidRDefault="00384CF8" w:rsidP="00632907">
            <w:pPr>
              <w:jc w:val="both"/>
            </w:pPr>
            <w:r w:rsidRPr="00B31883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5A119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384CF8">
        <w:rPr>
          <w:b/>
          <w:bCs/>
          <w:i/>
          <w:iCs/>
        </w:rPr>
        <w:t>Untrusted divisor</w:t>
      </w:r>
      <w:r>
        <w:t xml:space="preserve"> type defect identified in the following CIDs:</w:t>
      </w:r>
      <w:r>
        <w:br/>
      </w:r>
      <w:r w:rsidR="00384CF8">
        <w:rPr>
          <w:b/>
          <w:bCs/>
          <w:i/>
          <w:iCs/>
        </w:rPr>
        <w:t>1520821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DA65E2A" w:rsidR="008310AF" w:rsidRDefault="00384CF8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7AD75C27" w:rsidR="008310AF" w:rsidRDefault="00384CF8" w:rsidP="00632907">
            <w:pPr>
              <w:jc w:val="both"/>
            </w:pPr>
            <w:r>
              <w:t>Coverity Issue Identification Number</w:t>
            </w:r>
          </w:p>
        </w:tc>
      </w:tr>
      <w:tr w:rsidR="00384CF8" w14:paraId="2C8A2C70" w14:textId="77777777" w:rsidTr="00632907">
        <w:tc>
          <w:tcPr>
            <w:tcW w:w="1838" w:type="dxa"/>
          </w:tcPr>
          <w:p w14:paraId="274A4DBB" w14:textId="766C3DE4" w:rsidR="00384CF8" w:rsidRDefault="00384CF8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6894B900" w14:textId="00DDF882" w:rsidR="00384CF8" w:rsidRDefault="00384CF8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2966ADA5" w:rsidR="007F601A" w:rsidRPr="007F601A" w:rsidRDefault="002E02EE" w:rsidP="0043201C">
      <w:pPr>
        <w:rPr>
          <w:rStyle w:val="af1"/>
        </w:rPr>
      </w:pPr>
      <w:r w:rsidRPr="002E02EE">
        <w:rPr>
          <w:rStyle w:val="af1"/>
        </w:rPr>
        <w:t xml:space="preserve">Coverity identifies </w:t>
      </w:r>
      <w:r w:rsidRPr="00F146C7">
        <w:rPr>
          <w:rStyle w:val="af1"/>
          <w:b/>
          <w:bCs/>
        </w:rPr>
        <w:t>CID-1520821 Untrusted divisor</w:t>
      </w:r>
      <w:r w:rsidRPr="002E02EE">
        <w:rPr>
          <w:rStyle w:val="af1"/>
        </w:rPr>
        <w:t xml:space="preserve"> as a </w:t>
      </w:r>
      <w:proofErr w:type="gramStart"/>
      <w:r w:rsidRPr="00F146C7">
        <w:rPr>
          <w:rStyle w:val="af1"/>
        </w:rPr>
        <w:t>Medium</w:t>
      </w:r>
      <w:proofErr w:type="gramEnd"/>
      <w:r w:rsidRPr="002E02EE">
        <w:rPr>
          <w:rStyle w:val="af1"/>
        </w:rPr>
        <w:t xml:space="preserve"> impact, and the category is insecure data handling. It appears in </w:t>
      </w:r>
      <w:proofErr w:type="spellStart"/>
      <w:r w:rsidRPr="00F146C7">
        <w:rPr>
          <w:rStyle w:val="af1"/>
          <w:b/>
          <w:bCs/>
        </w:rPr>
        <w:t>generateKeyPair</w:t>
      </w:r>
      <w:proofErr w:type="spellEnd"/>
      <w:r w:rsidRPr="002E02EE">
        <w:rPr>
          <w:rStyle w:val="af1"/>
        </w:rPr>
        <w:t xml:space="preserve">: An </w:t>
      </w:r>
      <w:proofErr w:type="spellStart"/>
      <w:r w:rsidRPr="002E02EE">
        <w:rPr>
          <w:rStyle w:val="af1"/>
        </w:rPr>
        <w:t>unscrutinized</w:t>
      </w:r>
      <w:proofErr w:type="spellEnd"/>
      <w:r w:rsidRPr="002E02EE">
        <w:rPr>
          <w:rStyle w:val="af1"/>
        </w:rPr>
        <w:t xml:space="preserve"> value from an untrusted source used as a divisor (CWE-369).</w:t>
      </w:r>
      <w:r>
        <w:rPr>
          <w:rStyle w:val="af1"/>
        </w:rPr>
        <w:t xml:space="preserve"> </w:t>
      </w:r>
      <w:r w:rsidRPr="002E02EE">
        <w:rPr>
          <w:rStyle w:val="af1"/>
        </w:rPr>
        <w:t>This means the divisor could be controlled by an attacker, who could cause a division by zero.</w:t>
      </w:r>
      <w:r w:rsidR="00AE7423" w:rsidRPr="00AE7423">
        <w:t xml:space="preserve"> </w:t>
      </w:r>
      <w:r w:rsidR="00AE7423" w:rsidRPr="00AE7423">
        <w:rPr>
          <w:rStyle w:val="af1"/>
        </w:rPr>
        <w:t>This will cause the program to crash.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33987599" w:rsidR="0043201C" w:rsidRDefault="0086725D" w:rsidP="0043201C">
      <w:pPr>
        <w:rPr>
          <w:rStyle w:val="af1"/>
          <w:lang w:val="en-US"/>
        </w:rPr>
      </w:pPr>
      <w:r w:rsidRPr="0086725D">
        <w:rPr>
          <w:rStyle w:val="af1"/>
          <w:lang w:val="en-US"/>
        </w:rPr>
        <w:t xml:space="preserve">The issue can be found in the </w:t>
      </w:r>
      <w:proofErr w:type="spellStart"/>
      <w:r w:rsidRPr="0086725D">
        <w:rPr>
          <w:rStyle w:val="af1"/>
          <w:lang w:val="en-US"/>
        </w:rPr>
        <w:t>generateKeyPair</w:t>
      </w:r>
      <w:proofErr w:type="spellEnd"/>
      <w:r w:rsidRPr="0086725D">
        <w:rPr>
          <w:rStyle w:val="af1"/>
          <w:lang w:val="en-US"/>
        </w:rPr>
        <w:t xml:space="preserve"> function in the /</w:t>
      </w:r>
      <w:proofErr w:type="spellStart"/>
      <w:r w:rsidRPr="0086725D">
        <w:rPr>
          <w:rStyle w:val="af1"/>
          <w:lang w:val="en-US"/>
        </w:rPr>
        <w:t>tc</w:t>
      </w:r>
      <w:proofErr w:type="spellEnd"/>
      <w:r w:rsidRPr="0086725D">
        <w:rPr>
          <w:rStyle w:val="af1"/>
          <w:lang w:val="en-US"/>
        </w:rPr>
        <w:t>/</w:t>
      </w:r>
      <w:proofErr w:type="spellStart"/>
      <w:r w:rsidRPr="0086725D">
        <w:rPr>
          <w:rStyle w:val="af1"/>
          <w:lang w:val="en-US"/>
        </w:rPr>
        <w:t>dtka</w:t>
      </w:r>
      <w:proofErr w:type="spellEnd"/>
      <w:r w:rsidRPr="0086725D">
        <w:rPr>
          <w:rStyle w:val="af1"/>
          <w:lang w:val="en-US"/>
        </w:rPr>
        <w:t>/</w:t>
      </w:r>
      <w:proofErr w:type="spellStart"/>
      <w:r w:rsidRPr="0086725D">
        <w:rPr>
          <w:rStyle w:val="af1"/>
          <w:lang w:val="en-US"/>
        </w:rPr>
        <w:t>dtka.c</w:t>
      </w:r>
      <w:proofErr w:type="spellEnd"/>
      <w:r w:rsidRPr="0086725D">
        <w:rPr>
          <w:rStyle w:val="af1"/>
          <w:lang w:val="en-US"/>
        </w:rPr>
        <w:t xml:space="preserve"> file.</w:t>
      </w:r>
      <w:r>
        <w:rPr>
          <w:rStyle w:val="af1"/>
          <w:lang w:val="en-US"/>
        </w:rPr>
        <w:t xml:space="preserve"> </w:t>
      </w:r>
      <w:r w:rsidRPr="0086725D">
        <w:rPr>
          <w:rStyle w:val="af1"/>
          <w:lang w:val="en-US"/>
        </w:rPr>
        <w:t xml:space="preserve">Within this function, </w:t>
      </w:r>
      <w:proofErr w:type="gramStart"/>
      <w:r w:rsidRPr="0086725D">
        <w:rPr>
          <w:rStyle w:val="af1"/>
          <w:lang w:val="en-US"/>
        </w:rPr>
        <w:t>An</w:t>
      </w:r>
      <w:proofErr w:type="gramEnd"/>
      <w:r w:rsidRPr="0086725D">
        <w:rPr>
          <w:rStyle w:val="af1"/>
          <w:lang w:val="en-US"/>
        </w:rPr>
        <w:t xml:space="preserve"> </w:t>
      </w:r>
      <w:proofErr w:type="spellStart"/>
      <w:r w:rsidRPr="0086725D">
        <w:rPr>
          <w:rStyle w:val="af1"/>
          <w:lang w:val="en-US"/>
        </w:rPr>
        <w:t>unscrutinized</w:t>
      </w:r>
      <w:proofErr w:type="spellEnd"/>
      <w:r w:rsidRPr="0086725D">
        <w:rPr>
          <w:rStyle w:val="af1"/>
          <w:lang w:val="en-US"/>
        </w:rPr>
        <w:t xml:space="preserve"> value from an untrusted source used as a divisor</w:t>
      </w:r>
      <w:r>
        <w:rPr>
          <w:rStyle w:val="af1"/>
          <w:lang w:val="en-US"/>
        </w:rPr>
        <w:t>.</w:t>
      </w:r>
      <w:r w:rsidRPr="0086725D">
        <w:rPr>
          <w:rStyle w:val="af1"/>
          <w:lang w:val="en-US"/>
        </w:rPr>
        <w:t xml:space="preserve"> In this case, it uses the tainted function </w:t>
      </w:r>
      <w:proofErr w:type="spellStart"/>
      <w:r w:rsidRPr="0086725D">
        <w:rPr>
          <w:rStyle w:val="af1"/>
          <w:lang w:val="en-US"/>
        </w:rPr>
        <w:t>getOwnNodeNbr</w:t>
      </w:r>
      <w:proofErr w:type="spellEnd"/>
      <w:r w:rsidRPr="0086725D">
        <w:rPr>
          <w:rStyle w:val="af1"/>
          <w:lang w:val="en-US"/>
        </w:rPr>
        <w:t xml:space="preserve"> as a divisor.</w:t>
      </w:r>
    </w:p>
    <w:p w14:paraId="5A1A6BB0" w14:textId="7F2AF58F" w:rsidR="0086725D" w:rsidRDefault="0086725D" w:rsidP="0043201C">
      <w:pPr>
        <w:rPr>
          <w:rStyle w:val="af1"/>
          <w:lang w:val="en-US"/>
        </w:rPr>
      </w:pPr>
      <w:r>
        <w:rPr>
          <w:rStyle w:val="af1"/>
          <w:lang w:val="en-US"/>
        </w:rPr>
        <w:t xml:space="preserve">The </w:t>
      </w:r>
      <w:r w:rsidRPr="0086725D">
        <w:rPr>
          <w:rStyle w:val="af1"/>
          <w:lang w:val="en-US"/>
        </w:rPr>
        <w:t xml:space="preserve">problem comes from line 204. Using tainted expression </w:t>
      </w:r>
      <w:proofErr w:type="spellStart"/>
      <w:proofErr w:type="gramStart"/>
      <w:r w:rsidRPr="0086725D">
        <w:rPr>
          <w:rStyle w:val="af1"/>
          <w:lang w:val="en-US"/>
        </w:rPr>
        <w:t>getOwnNodeNbr</w:t>
      </w:r>
      <w:proofErr w:type="spellEnd"/>
      <w:r w:rsidRPr="0086725D">
        <w:rPr>
          <w:rStyle w:val="af1"/>
          <w:lang w:val="en-US"/>
        </w:rPr>
        <w:t>(</w:t>
      </w:r>
      <w:proofErr w:type="gramEnd"/>
      <w:r w:rsidRPr="0086725D">
        <w:rPr>
          <w:rStyle w:val="af1"/>
          <w:lang w:val="en-US"/>
        </w:rPr>
        <w:t>) as the divisor in (unsigned int)</w:t>
      </w:r>
      <w:proofErr w:type="spellStart"/>
      <w:r w:rsidRPr="0086725D">
        <w:rPr>
          <w:rStyle w:val="af1"/>
          <w:lang w:val="en-US"/>
        </w:rPr>
        <w:t>currentTime</w:t>
      </w:r>
      <w:proofErr w:type="spellEnd"/>
      <w:r w:rsidRPr="0086725D">
        <w:rPr>
          <w:rStyle w:val="af1"/>
          <w:lang w:val="en-US"/>
        </w:rPr>
        <w:t xml:space="preserve"> / </w:t>
      </w:r>
      <w:proofErr w:type="spellStart"/>
      <w:r w:rsidRPr="0086725D">
        <w:rPr>
          <w:rStyle w:val="af1"/>
          <w:lang w:val="en-US"/>
        </w:rPr>
        <w:t>getOwnNodeNbr</w:t>
      </w:r>
      <w:proofErr w:type="spellEnd"/>
      <w:r w:rsidRPr="0086725D">
        <w:rPr>
          <w:rStyle w:val="af1"/>
          <w:lang w:val="en-US"/>
        </w:rPr>
        <w:t>().</w:t>
      </w:r>
    </w:p>
    <w:p w14:paraId="6D05829A" w14:textId="0F8A8A6A" w:rsidR="0086725D" w:rsidRDefault="00E1178F" w:rsidP="0043201C">
      <w:pPr>
        <w:rPr>
          <w:rStyle w:val="af1"/>
          <w:lang w:val="en-US"/>
        </w:rPr>
      </w:pPr>
      <w:r w:rsidRPr="00E1178F">
        <w:rPr>
          <w:rStyle w:val="af1"/>
          <w:noProof/>
          <w:lang w:val="en-US"/>
        </w:rPr>
        <w:drawing>
          <wp:inline distT="0" distB="0" distL="0" distR="0" wp14:anchorId="50ECBC67" wp14:editId="142E8A35">
            <wp:extent cx="5731510" cy="744855"/>
            <wp:effectExtent l="0" t="0" r="2540" b="0"/>
            <wp:docPr id="94528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2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C7E" w14:textId="77777777" w:rsidR="00E1178F" w:rsidRDefault="00E1178F" w:rsidP="00E1178F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2C2208F8" w14:textId="77777777" w:rsidR="00E1178F" w:rsidRPr="0043201C" w:rsidRDefault="00E1178F" w:rsidP="0043201C">
      <w:pPr>
        <w:rPr>
          <w:rStyle w:val="af1"/>
          <w:lang w:val="en-US"/>
        </w:rPr>
      </w:pP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6D3AD710" w14:textId="28474FD1" w:rsidR="00E1178F" w:rsidRPr="00E1178F" w:rsidRDefault="007567B7" w:rsidP="00E1178F">
      <w:pPr>
        <w:jc w:val="both"/>
        <w:rPr>
          <w:rStyle w:val="af1"/>
        </w:rPr>
      </w:pPr>
      <w:r w:rsidRPr="007567B7">
        <w:rPr>
          <w:rStyle w:val="af1"/>
        </w:rPr>
        <w:t>This is a vulnerability that can be exploited by attackers</w:t>
      </w:r>
      <w:r w:rsidR="00E1178F" w:rsidRPr="00E1178F">
        <w:rPr>
          <w:rStyle w:val="af1"/>
        </w:rPr>
        <w:t>, the divisor could be controlled by an attacker, who could cause a division by zero.</w:t>
      </w:r>
      <w:r w:rsidR="00AE7423" w:rsidRPr="00AE7423">
        <w:t xml:space="preserve"> </w:t>
      </w:r>
      <w:r w:rsidR="00AE7423" w:rsidRPr="00AE7423">
        <w:rPr>
          <w:rStyle w:val="af1"/>
        </w:rPr>
        <w:t>This will cause the program to crash.</w:t>
      </w:r>
    </w:p>
    <w:p w14:paraId="16C0425F" w14:textId="3C2454DA" w:rsidR="007F601A" w:rsidRPr="0043201C" w:rsidRDefault="00E1178F" w:rsidP="00E1178F">
      <w:pPr>
        <w:jc w:val="both"/>
        <w:rPr>
          <w:rStyle w:val="af1"/>
        </w:rPr>
      </w:pPr>
      <w:r w:rsidRPr="00E1178F">
        <w:rPr>
          <w:rStyle w:val="af1"/>
        </w:rPr>
        <w:t xml:space="preserve">It is recommended to repair the </w:t>
      </w:r>
      <w:r w:rsidR="00513DF4">
        <w:rPr>
          <w:rStyle w:val="af1"/>
          <w:rFonts w:hint="eastAsia"/>
          <w:lang w:eastAsia="zh-CN"/>
        </w:rPr>
        <w:t>tainted</w:t>
      </w:r>
      <w:r w:rsidRPr="00E1178F">
        <w:rPr>
          <w:rStyle w:val="af1"/>
        </w:rPr>
        <w:t xml:space="preserve"> values with proper </w:t>
      </w:r>
      <w:r w:rsidR="00513DF4">
        <w:rPr>
          <w:rStyle w:val="af1"/>
          <w:rFonts w:hint="eastAsia"/>
          <w:lang w:eastAsia="zh-CN"/>
        </w:rPr>
        <w:t>sanitized</w:t>
      </w:r>
      <w:r w:rsidRPr="00E1178F">
        <w:rPr>
          <w:rStyle w:val="af1"/>
        </w:rPr>
        <w:t xml:space="preserve"> by checking whether they are within the </w:t>
      </w:r>
      <w:r w:rsidR="00513DF4">
        <w:rPr>
          <w:rStyle w:val="af1"/>
          <w:rFonts w:hint="eastAsia"/>
          <w:lang w:eastAsia="zh-CN"/>
        </w:rPr>
        <w:t>permissible</w:t>
      </w:r>
      <w:r w:rsidRPr="00E1178F">
        <w:rPr>
          <w:rStyle w:val="af1"/>
        </w:rPr>
        <w:t xml:space="preserve"> range.</w:t>
      </w:r>
      <w:r w:rsidR="00AE7423" w:rsidRPr="00AE7423">
        <w:t xml:space="preserve"> </w:t>
      </w:r>
      <w:r w:rsidR="00AE7423" w:rsidRPr="00AE7423">
        <w:rPr>
          <w:rStyle w:val="af1"/>
        </w:rPr>
        <w:t>In addition, you can add code to determine whether the divisor is 0 before running the division. This prevents the program from crashing.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13482360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E1178F" w:rsidRPr="00E1178F">
        <w:t>Common Weakness Enumeration (n.d.) CWE-</w:t>
      </w:r>
      <w:r w:rsidR="00E1178F">
        <w:t>369</w:t>
      </w:r>
      <w:r w:rsidR="00E1178F" w:rsidRPr="00E1178F">
        <w:t xml:space="preserve">: Divide </w:t>
      </w:r>
      <w:proofErr w:type="gramStart"/>
      <w:r w:rsidR="00E1178F" w:rsidRPr="00E1178F">
        <w:t>By</w:t>
      </w:r>
      <w:proofErr w:type="gramEnd"/>
      <w:r w:rsidR="00E1178F" w:rsidRPr="00E1178F">
        <w:t xml:space="preserve"> Zero, </w:t>
      </w:r>
      <w:hyperlink r:id="rId14" w:history="1">
        <w:r w:rsidR="00E1178F" w:rsidRPr="004252F6">
          <w:rPr>
            <w:rStyle w:val="af0"/>
          </w:rPr>
          <w:t>https://cwe.mitre.org/data/definitions/369.html</w:t>
        </w:r>
      </w:hyperlink>
      <w:r w:rsidR="00E1178F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6E63" w14:textId="77777777" w:rsidR="00FC763D" w:rsidRDefault="00FC763D" w:rsidP="009924FC">
      <w:pPr>
        <w:spacing w:after="0" w:line="240" w:lineRule="auto"/>
      </w:pPr>
      <w:r>
        <w:separator/>
      </w:r>
    </w:p>
  </w:endnote>
  <w:endnote w:type="continuationSeparator" w:id="0">
    <w:p w14:paraId="14DF5E09" w14:textId="77777777" w:rsidR="00FC763D" w:rsidRDefault="00FC763D" w:rsidP="009924FC">
      <w:pPr>
        <w:spacing w:after="0" w:line="240" w:lineRule="auto"/>
      </w:pPr>
      <w:r>
        <w:continuationSeparator/>
      </w:r>
    </w:p>
  </w:endnote>
  <w:endnote w:type="continuationNotice" w:id="1">
    <w:p w14:paraId="7453C9BA" w14:textId="77777777" w:rsidR="00FC763D" w:rsidRDefault="00FC76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308A" w14:textId="77777777" w:rsidR="00FC763D" w:rsidRDefault="00FC763D" w:rsidP="009924FC">
      <w:pPr>
        <w:spacing w:after="0" w:line="240" w:lineRule="auto"/>
      </w:pPr>
      <w:r>
        <w:separator/>
      </w:r>
    </w:p>
  </w:footnote>
  <w:footnote w:type="continuationSeparator" w:id="0">
    <w:p w14:paraId="2F5867FE" w14:textId="77777777" w:rsidR="00FC763D" w:rsidRDefault="00FC763D" w:rsidP="009924FC">
      <w:pPr>
        <w:spacing w:after="0" w:line="240" w:lineRule="auto"/>
      </w:pPr>
      <w:r>
        <w:continuationSeparator/>
      </w:r>
    </w:p>
  </w:footnote>
  <w:footnote w:type="continuationNotice" w:id="1">
    <w:p w14:paraId="54D14A6E" w14:textId="77777777" w:rsidR="00FC763D" w:rsidRDefault="00FC76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2E02EE"/>
    <w:rsid w:val="0032522D"/>
    <w:rsid w:val="00384CF8"/>
    <w:rsid w:val="003934F3"/>
    <w:rsid w:val="003E26D0"/>
    <w:rsid w:val="0043201C"/>
    <w:rsid w:val="00435289"/>
    <w:rsid w:val="0046255B"/>
    <w:rsid w:val="00513DF4"/>
    <w:rsid w:val="00560CC6"/>
    <w:rsid w:val="005B1F36"/>
    <w:rsid w:val="00615F8E"/>
    <w:rsid w:val="00632907"/>
    <w:rsid w:val="00690363"/>
    <w:rsid w:val="00714745"/>
    <w:rsid w:val="007567B7"/>
    <w:rsid w:val="00797A72"/>
    <w:rsid w:val="007F601A"/>
    <w:rsid w:val="008310AF"/>
    <w:rsid w:val="0086725D"/>
    <w:rsid w:val="008E416E"/>
    <w:rsid w:val="0097600F"/>
    <w:rsid w:val="009924FC"/>
    <w:rsid w:val="00AB15D9"/>
    <w:rsid w:val="00AE7423"/>
    <w:rsid w:val="00B13EBD"/>
    <w:rsid w:val="00C31A32"/>
    <w:rsid w:val="00CF6C70"/>
    <w:rsid w:val="00D42633"/>
    <w:rsid w:val="00DB13F7"/>
    <w:rsid w:val="00DD0173"/>
    <w:rsid w:val="00E1178F"/>
    <w:rsid w:val="00E261B5"/>
    <w:rsid w:val="00EA7336"/>
    <w:rsid w:val="00EF1C94"/>
    <w:rsid w:val="00F121FD"/>
    <w:rsid w:val="00F146C7"/>
    <w:rsid w:val="00F23A10"/>
    <w:rsid w:val="00F64C27"/>
    <w:rsid w:val="00FC763D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E1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369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32</cp:revision>
  <dcterms:created xsi:type="dcterms:W3CDTF">2022-11-19T07:38:00Z</dcterms:created>
  <dcterms:modified xsi:type="dcterms:W3CDTF">2023-09-07T19:40:00Z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