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:rsidR="009924FC" w:rsidRDefault="009924FC" w14:paraId="0317C60E" w14:textId="77777777"/>
        <w:p w:rsidR="009924FC" w:rsidP="1D5DD47E" w:rsidRDefault="009924FC" w14:paraId="070A707A" w14:textId="1BD5F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D42633" w14:paraId="42AD3A22" w14:textId="2CAEC1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pic="http://schemas.openxmlformats.org/drawingml/2006/picture" xmlns:a="http://schemas.openxmlformats.org/drawingml/2006/main">
                <w:pict w14:anchorId="5E149900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>
                    <o:lock v:ext="edit" aspectratio="t"/>
                    <v:textbox inset="3.6pt,,3.6pt">
                      <w:txbxContent>
                        <w:p w:rsidR="009924FC" w:rsidRDefault="00D42633" w14:paraId="40AF7D20" w14:textId="2CAEC10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76349704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42633" w:rsidRDefault="00D42633" w14:paraId="7A95CFAD" w14:textId="7BB35280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FC" w:rsidRDefault="00797F79" w14:paraId="362351C9" w14:textId="465C6FF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924FC" w:rsidRDefault="00615F8E" w14:paraId="04056590" w14:textId="0444529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:rsidR="009924FC" w:rsidRDefault="009924FC" w14:paraId="5E15FB1C" w14:textId="662FBEC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660183C6">
              <v:shapetype id="_x0000_t202" coordsize="21600,21600" o:spt="202" path="m,l,21600r21600,l21600,xe" w14:anchorId="5691B8C3">
                <v:stroke joinstyle="miter"/>
                <v:path gradientshapeok="t" o:connecttype="rect"/>
              </v:shapetype>
              <v:shape id="Text Box 131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>
                <v:textbox style="mso-fit-shape-to-text:t" inset="0,0,0,0">
                  <w:txbxContent>
                    <w:p w:rsidR="009924FC" w:rsidRDefault="00000000" w14:paraId="0F225946" w14:textId="465C6FF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id w:val="2119233806"/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id w:val="1574388002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924FC" w:rsidRDefault="00615F8E" w14:paraId="619A62D6" w14:textId="0444529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:rsidR="009924FC" w:rsidRDefault="009924FC" w14:paraId="672A6659" w14:textId="662FBEC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:rsidR="00560CC6" w:rsidP="00615F8E" w:rsidRDefault="00615F8E" w14:paraId="0BC0C169" w14:textId="1CBF8674">
      <w:pPr>
        <w:pStyle w:val="Title"/>
        <w:jc w:val="center"/>
      </w:pPr>
      <w:r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4B7A5341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03CC7109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Pr="4CB8646F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386"/>
        <w:gridCol w:w="1381"/>
        <w:gridCol w:w="1810"/>
        <w:gridCol w:w="4439"/>
      </w:tblGrid>
      <w:tr w:rsidRPr="00C55BBE" w:rsidR="008310AF" w:rsidTr="22452843" w14:paraId="3ADBD142" w14:textId="77777777">
        <w:tc>
          <w:tcPr>
            <w:tcW w:w="1413" w:type="dxa"/>
            <w:shd w:val="clear" w:color="auto" w:fill="2F5496" w:themeFill="accent1" w:themeFillShade="BF"/>
          </w:tcPr>
          <w:p w:rsidRPr="00C55BBE" w:rsidR="008310AF" w:rsidP="0063290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:rsidRPr="00C55BBE" w:rsidR="008310AF" w:rsidP="0063290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:rsidRPr="00C55BBE" w:rsidR="008310AF" w:rsidP="0063290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:rsidRPr="00C55BBE" w:rsidR="008310AF" w:rsidP="0063290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22452843" w14:paraId="2D629906" w14:textId="77777777">
        <w:tc>
          <w:tcPr>
            <w:tcW w:w="1413" w:type="dxa"/>
          </w:tcPr>
          <w:p w:rsidR="008310AF" w:rsidP="008310AF" w:rsidRDefault="00D94D8C" w14:paraId="1DF7A546" w14:textId="2B5F3CD5">
            <w:pPr>
              <w:jc w:val="center"/>
            </w:pPr>
            <w:r>
              <w:t>4/8/2023</w:t>
            </w:r>
          </w:p>
        </w:tc>
        <w:tc>
          <w:tcPr>
            <w:tcW w:w="1417" w:type="dxa"/>
          </w:tcPr>
          <w:p w:rsidR="008310AF" w:rsidP="00632907" w:rsidRDefault="440B95C8" w14:paraId="408C2F2B" w14:textId="50F7186B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:rsidR="008310AF" w:rsidP="00632907" w:rsidRDefault="00D94D8C" w14:paraId="5CFA5C10" w14:textId="56823559">
            <w:pPr>
              <w:jc w:val="both"/>
            </w:pPr>
            <w:r>
              <w:t>Anthony  Scantsonihas</w:t>
            </w:r>
          </w:p>
        </w:tc>
        <w:tc>
          <w:tcPr>
            <w:tcW w:w="4677" w:type="dxa"/>
          </w:tcPr>
          <w:p w:rsidR="008310AF" w:rsidP="00632907" w:rsidRDefault="00D94D8C" w14:paraId="0BAAAAAE" w14:textId="67BB6EC4">
            <w:pPr>
              <w:jc w:val="both"/>
            </w:pPr>
            <w:r>
              <w:t>Beginning of investigation</w:t>
            </w:r>
          </w:p>
        </w:tc>
      </w:tr>
      <w:tr w:rsidR="008310AF" w:rsidTr="22452843" w14:paraId="7CAAB99E" w14:textId="77777777">
        <w:tc>
          <w:tcPr>
            <w:tcW w:w="1413" w:type="dxa"/>
          </w:tcPr>
          <w:p w:rsidR="008310AF" w:rsidP="00632907" w:rsidRDefault="00D94D8C" w14:paraId="3A953D6B" w14:textId="3E643D24">
            <w:pPr>
              <w:jc w:val="both"/>
            </w:pPr>
            <w:r>
              <w:t>5/8/2023</w:t>
            </w:r>
          </w:p>
        </w:tc>
        <w:tc>
          <w:tcPr>
            <w:tcW w:w="1417" w:type="dxa"/>
          </w:tcPr>
          <w:p w:rsidR="008310AF" w:rsidP="00632907" w:rsidRDefault="00D94D8C" w14:paraId="0A61FB3B" w14:textId="33DA8D3D">
            <w:pPr>
              <w:jc w:val="both"/>
            </w:pPr>
            <w:r>
              <w:t>V0.5</w:t>
            </w:r>
          </w:p>
        </w:tc>
        <w:tc>
          <w:tcPr>
            <w:tcW w:w="1843" w:type="dxa"/>
          </w:tcPr>
          <w:p w:rsidR="008310AF" w:rsidP="00632907" w:rsidRDefault="00D94D8C" w14:paraId="6BEFB33D" w14:textId="0CE2CD6E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</w:tcPr>
          <w:p w:rsidR="008310AF" w:rsidP="00632907" w:rsidRDefault="00D94D8C" w14:paraId="65BC1CD3" w14:textId="5DF764A2">
            <w:pPr>
              <w:jc w:val="both"/>
            </w:pPr>
            <w:r>
              <w:t>Investigation</w:t>
            </w:r>
          </w:p>
        </w:tc>
      </w:tr>
      <w:tr w:rsidR="008310AF" w:rsidTr="22452843" w14:paraId="246C7945" w14:textId="77777777">
        <w:tc>
          <w:tcPr>
            <w:tcW w:w="1413" w:type="dxa"/>
          </w:tcPr>
          <w:p w:rsidR="008310AF" w:rsidP="00632907" w:rsidRDefault="00D94D8C" w14:paraId="3C9FE2FA" w14:textId="24F588BD">
            <w:pPr>
              <w:jc w:val="both"/>
            </w:pPr>
            <w:r>
              <w:t>6/8/2023</w:t>
            </w:r>
          </w:p>
        </w:tc>
        <w:tc>
          <w:tcPr>
            <w:tcW w:w="1417" w:type="dxa"/>
          </w:tcPr>
          <w:p w:rsidR="008310AF" w:rsidP="00632907" w:rsidRDefault="00D94D8C" w14:paraId="5CD35EF8" w14:textId="12F8AC0C">
            <w:pPr>
              <w:jc w:val="both"/>
            </w:pPr>
            <w:r>
              <w:t>V0.8</w:t>
            </w:r>
          </w:p>
        </w:tc>
        <w:tc>
          <w:tcPr>
            <w:tcW w:w="1843" w:type="dxa"/>
          </w:tcPr>
          <w:p w:rsidR="008310AF" w:rsidP="00632907" w:rsidRDefault="00D94D8C" w14:paraId="33EF3B3E" w14:textId="1FA7B35C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</w:tcPr>
          <w:p w:rsidR="008310AF" w:rsidP="00632907" w:rsidRDefault="00D94D8C" w14:paraId="7BC0899E" w14:textId="13AD13A7">
            <w:pPr>
              <w:jc w:val="both"/>
            </w:pPr>
            <w:r>
              <w:t xml:space="preserve">Investigation </w:t>
            </w:r>
          </w:p>
        </w:tc>
      </w:tr>
      <w:tr w:rsidR="00D94D8C" w:rsidTr="22452843" w14:paraId="205E0E18" w14:textId="77777777">
        <w:tc>
          <w:tcPr>
            <w:tcW w:w="1413" w:type="dxa"/>
          </w:tcPr>
          <w:p w:rsidR="00D94D8C" w:rsidP="00632907" w:rsidRDefault="00D94D8C" w14:paraId="34A5B881" w14:textId="7E5FCE5A">
            <w:pPr>
              <w:jc w:val="both"/>
            </w:pPr>
            <w:r>
              <w:t>7/8/2023</w:t>
            </w:r>
          </w:p>
        </w:tc>
        <w:tc>
          <w:tcPr>
            <w:tcW w:w="1417" w:type="dxa"/>
          </w:tcPr>
          <w:p w:rsidR="00D94D8C" w:rsidP="00632907" w:rsidRDefault="00D94D8C" w14:paraId="54A3FB3D" w14:textId="726DA7DA">
            <w:pPr>
              <w:jc w:val="both"/>
            </w:pPr>
            <w:r>
              <w:t>V1.0</w:t>
            </w:r>
          </w:p>
        </w:tc>
        <w:tc>
          <w:tcPr>
            <w:tcW w:w="1843" w:type="dxa"/>
          </w:tcPr>
          <w:p w:rsidR="00D94D8C" w:rsidP="00632907" w:rsidRDefault="00D94D8C" w14:paraId="31EA2CDA" w14:textId="696170EB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</w:tcPr>
          <w:p w:rsidR="00D94D8C" w:rsidP="00632907" w:rsidRDefault="00D94D8C" w14:paraId="7FC76AED" w14:textId="472BF5E1">
            <w:pPr>
              <w:jc w:val="both"/>
            </w:pPr>
            <w:r>
              <w:t>Finalization</w:t>
            </w: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7532E1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39F30118" w14:textId="69335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3A7DB675" w14:textId="3CF34C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03CD7DF3" w14:textId="11A5E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7D6585C7" w14:textId="5E8E8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3ACA0D78" w14:textId="3012A9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747376E7" w14:textId="4B720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0CA5729C" w14:textId="0541B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422A735C" w14:textId="2E3F2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71985C19" w14:textId="3F492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797F79" w14:paraId="7D121673" w14:textId="28832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8310AF" w:rsidP="75E6F5AD" w:rsidRDefault="008310AF" w14:paraId="05492E0E" w14:textId="7B961FE5">
      <w:pPr>
        <w:jc w:val="both"/>
        <w:rPr>
          <w:b w:val="1"/>
          <w:bCs w:val="1"/>
          <w:i w:val="1"/>
          <w:iCs w:val="1"/>
        </w:rPr>
      </w:pPr>
      <w:r w:rsidR="008310AF">
        <w:rPr/>
        <w:t xml:space="preserve">This static code analysis is limited to the </w:t>
      </w:r>
      <w:r w:rsidRPr="75E6F5AD" w:rsidR="006E6250">
        <w:rPr>
          <w:b w:val="1"/>
          <w:bCs w:val="1"/>
          <w:i w:val="1"/>
          <w:iCs w:val="1"/>
        </w:rPr>
        <w:t>Out-of-bounds-access</w:t>
      </w:r>
      <w:r w:rsidR="008310AF">
        <w:rPr/>
        <w:t xml:space="preserve"> type defect </w:t>
      </w:r>
      <w:r w:rsidR="008310AF">
        <w:rPr/>
        <w:t>identified</w:t>
      </w:r>
      <w:r w:rsidR="008310AF">
        <w:rPr/>
        <w:t xml:space="preserve"> in the following CIDs:</w:t>
      </w:r>
      <w:r>
        <w:br/>
      </w:r>
      <w:r w:rsidRPr="75E6F5AD" w:rsidR="006E6250">
        <w:rPr>
          <w:b w:val="1"/>
          <w:bCs w:val="1"/>
          <w:i w:val="1"/>
          <w:iCs w:val="1"/>
        </w:rPr>
        <w:t>CID</w:t>
      </w:r>
      <w:r w:rsidRPr="75E6F5AD" w:rsidR="2E694810">
        <w:rPr>
          <w:b w:val="1"/>
          <w:bCs w:val="1"/>
          <w:i w:val="1"/>
          <w:iCs w:val="1"/>
        </w:rPr>
        <w:t>1</w:t>
      </w:r>
      <w:r w:rsidRPr="75E6F5AD" w:rsidR="006E6250">
        <w:rPr>
          <w:b w:val="1"/>
          <w:bCs w:val="1"/>
          <w:i w:val="1"/>
          <w:iCs w:val="1"/>
        </w:rPr>
        <w:t>520880</w:t>
      </w:r>
    </w:p>
    <w:p w:rsidR="008310AF" w:rsidP="008310AF" w:rsidRDefault="008310AF" w14:paraId="5A1A8CEB" w14:textId="479D03EA">
      <w:pPr>
        <w:jc w:val="both"/>
        <w:rPr>
          <w:b/>
          <w:bCs/>
          <w:i/>
          <w:iCs/>
        </w:rPr>
      </w:pPr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632907" w14:paraId="07A20500" w14:textId="77777777">
        <w:tc>
          <w:tcPr>
            <w:tcW w:w="1838" w:type="dxa"/>
            <w:shd w:val="clear" w:color="auto" w:fill="2F5496" w:themeFill="accent1" w:themeFillShade="BF"/>
          </w:tcPr>
          <w:p w:rsidRPr="0074157B" w:rsidR="008310AF" w:rsidP="0063290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:rsidRPr="0074157B" w:rsidR="008310AF" w:rsidP="0063290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00632907" w14:paraId="5F721960" w14:textId="77777777">
        <w:tc>
          <w:tcPr>
            <w:tcW w:w="1838" w:type="dxa"/>
          </w:tcPr>
          <w:p w:rsidR="008310AF" w:rsidP="0063290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:rsidR="008310AF" w:rsidP="0063290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00632907" w14:paraId="7794951E" w14:textId="77777777">
        <w:tc>
          <w:tcPr>
            <w:tcW w:w="1838" w:type="dxa"/>
          </w:tcPr>
          <w:p w:rsidR="008310AF" w:rsidP="0063290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:rsidR="008310AF" w:rsidP="0063290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  <w:tr w:rsidR="008310AF" w:rsidTr="00632907" w14:paraId="6467ECD5" w14:textId="77777777">
        <w:tc>
          <w:tcPr>
            <w:tcW w:w="1838" w:type="dxa"/>
          </w:tcPr>
          <w:p w:rsidR="008310AF" w:rsidP="00632907" w:rsidRDefault="006E6250" w14:paraId="1A298907" w14:textId="3BBD9420">
            <w:pPr>
              <w:jc w:val="both"/>
            </w:pPr>
            <w:r>
              <w:t>CID</w:t>
            </w:r>
          </w:p>
        </w:tc>
        <w:tc>
          <w:tcPr>
            <w:tcW w:w="7512" w:type="dxa"/>
          </w:tcPr>
          <w:p w:rsidR="008310AF" w:rsidP="00632907" w:rsidRDefault="006E6250" w14:paraId="467A7F06" w14:textId="2ECF0AE0">
            <w:pPr>
              <w:jc w:val="both"/>
            </w:pPr>
            <w:r>
              <w:t>Coverity Issue Identification Number</w:t>
            </w:r>
          </w:p>
        </w:tc>
      </w:tr>
      <w:tr w:rsidR="006E6250" w:rsidTr="00632907" w14:paraId="13EC7B30" w14:textId="77777777">
        <w:tc>
          <w:tcPr>
            <w:tcW w:w="1838" w:type="dxa"/>
          </w:tcPr>
          <w:p w:rsidR="006E6250" w:rsidP="00632907" w:rsidRDefault="006E6250" w14:paraId="188662D0" w14:textId="068B7FC0">
            <w:pPr>
              <w:jc w:val="both"/>
            </w:pPr>
            <w:r>
              <w:t>CWE</w:t>
            </w:r>
          </w:p>
        </w:tc>
        <w:tc>
          <w:tcPr>
            <w:tcW w:w="7512" w:type="dxa"/>
          </w:tcPr>
          <w:p w:rsidR="006E6250" w:rsidP="00632907" w:rsidRDefault="006E6250" w14:paraId="76897F7B" w14:textId="4D0CE998">
            <w:pPr>
              <w:jc w:val="both"/>
            </w:pPr>
            <w:r>
              <w:t>Common Weakness Enumeration</w:t>
            </w: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t>Code Review and Analysis</w:t>
      </w:r>
      <w:bookmarkEnd w:id="7"/>
    </w:p>
    <w:p w:rsidR="008310AF" w:rsidP="007F601A" w:rsidRDefault="008310AF" w14:paraId="6052BF46" w14:textId="5F370B71">
      <w:pPr>
        <w:pStyle w:val="Heading2"/>
        <w:spacing w:after="0" w:line="240" w:lineRule="auto"/>
      </w:pPr>
      <w:bookmarkStart w:name="_Toc119848729" w:id="8"/>
      <w:r>
        <w:t>O</w:t>
      </w:r>
      <w:bookmarkEnd w:id="8"/>
      <w:r w:rsidR="00435289">
        <w:t>verview</w:t>
      </w:r>
    </w:p>
    <w:p w:rsidRPr="00F20FF7" w:rsidR="006E6250" w:rsidP="53F1AE03" w:rsidRDefault="006E6250" w14:paraId="58D0A773" w14:textId="6462C6D2">
      <w:pPr>
        <w:rPr>
          <w:rStyle w:val="SubtleEmphasis"/>
          <w:i w:val="0"/>
          <w:iCs w:val="0"/>
          <w:color w:val="000000" w:themeColor="text1"/>
        </w:rPr>
      </w:pPr>
      <w:r w:rsidRPr="53F1AE03">
        <w:rPr>
          <w:rStyle w:val="SubtleEmphasis"/>
          <w:i w:val="0"/>
          <w:iCs w:val="0"/>
          <w:color w:val="000000" w:themeColor="text1"/>
        </w:rPr>
        <w:t xml:space="preserve">The Coverity flag for the CID 1520880 has discovered errors within the code base </w:t>
      </w:r>
      <w:r w:rsidRPr="53F1AE03" w:rsidR="000879B3">
        <w:rPr>
          <w:rStyle w:val="SubtleEmphasis"/>
          <w:i w:val="0"/>
          <w:iCs w:val="0"/>
          <w:color w:val="000000" w:themeColor="text1"/>
        </w:rPr>
        <w:t xml:space="preserve">Itpadmin.c:723. The issue for this segment of code is an Out-of-bounds access error which is described under CWE-119. This issue indicates that a </w:t>
      </w:r>
      <w:r w:rsidRPr="53F1AE03" w:rsidR="5D7F67EC">
        <w:rPr>
          <w:rStyle w:val="SubtleEmphasis"/>
          <w:i w:val="0"/>
          <w:iCs w:val="0"/>
          <w:color w:val="000000" w:themeColor="text1"/>
        </w:rPr>
        <w:t>function</w:t>
      </w:r>
      <w:r w:rsidRPr="53F1AE03" w:rsidR="000879B3">
        <w:rPr>
          <w:rStyle w:val="SubtleEmphasis"/>
          <w:i w:val="0"/>
          <w:iCs w:val="0"/>
          <w:color w:val="000000" w:themeColor="text1"/>
        </w:rPr>
        <w:t xml:space="preserve"> within the code is attempting to read and write data that is outside the intended buffer.</w:t>
      </w:r>
    </w:p>
    <w:p w:rsidR="008310AF" w:rsidP="007F601A" w:rsidRDefault="008310AF" w14:paraId="218AF9A3" w14:textId="5B4CB7BC">
      <w:pPr>
        <w:pStyle w:val="Heading2"/>
        <w:spacing w:after="0" w:line="240" w:lineRule="auto"/>
      </w:pPr>
      <w:bookmarkStart w:name="_Toc119848730" w:id="9"/>
      <w:r>
        <w:t>Observations</w:t>
      </w:r>
      <w:bookmarkEnd w:id="9"/>
    </w:p>
    <w:p w:rsidR="0043201C" w:rsidP="0043201C" w:rsidRDefault="00B63218" w14:paraId="29319E23" w14:textId="6ABD7811">
      <w:pPr>
        <w:rPr>
          <w:rStyle w:val="SubtleEmphasis"/>
          <w:i w:val="0"/>
          <w:iCs w:val="0"/>
          <w:color w:val="000000" w:themeColor="text1"/>
          <w:lang w:val="en-US"/>
        </w:rPr>
      </w:pPr>
      <w:r w:rsidRPr="00F20FF7">
        <w:rPr>
          <w:rStyle w:val="SubtleEmphasis"/>
          <w:i w:val="0"/>
          <w:iCs w:val="0"/>
          <w:color w:val="000000" w:themeColor="text1"/>
          <w:lang w:val="en-US"/>
        </w:rPr>
        <w:t xml:space="preserve">The error flagged by Coverity can be traced back to the function </w:t>
      </w:r>
      <w:r w:rsidRPr="00F20FF7" w:rsidR="00A43F42">
        <w:rPr>
          <w:rStyle w:val="SubtleEmphasis"/>
          <w:i w:val="0"/>
          <w:iCs w:val="0"/>
          <w:color w:val="000000" w:themeColor="text1"/>
          <w:lang w:val="en-US"/>
        </w:rPr>
        <w:t>“</w:t>
      </w:r>
      <w:r w:rsidRPr="00F20FF7">
        <w:rPr>
          <w:rStyle w:val="SubtleEmphasis"/>
          <w:i w:val="0"/>
          <w:iCs w:val="0"/>
          <w:color w:val="000000" w:themeColor="text1"/>
          <w:lang w:val="en-US"/>
        </w:rPr>
        <w:t>manageMaxBER</w:t>
      </w:r>
      <w:r w:rsidRPr="00F20FF7" w:rsidR="00A43F42">
        <w:rPr>
          <w:rStyle w:val="SubtleEmphasis"/>
          <w:i w:val="0"/>
          <w:iCs w:val="0"/>
          <w:color w:val="000000" w:themeColor="text1"/>
          <w:lang w:val="en-US"/>
        </w:rPr>
        <w:t xml:space="preserve">”. This function is </w:t>
      </w:r>
      <w:r w:rsidRPr="00F20FF7" w:rsidR="00FB5F28">
        <w:rPr>
          <w:rStyle w:val="SubtleEmphasis"/>
          <w:i w:val="0"/>
          <w:iCs w:val="0"/>
          <w:color w:val="000000" w:themeColor="text1"/>
          <w:lang w:val="en-US"/>
        </w:rPr>
        <w:t>used</w:t>
      </w:r>
      <w:r w:rsidRPr="00F20FF7" w:rsidR="00A43F42">
        <w:rPr>
          <w:rStyle w:val="SubtleEmphasis"/>
          <w:i w:val="0"/>
          <w:iCs w:val="0"/>
          <w:color w:val="000000" w:themeColor="text1"/>
          <w:lang w:val="en-US"/>
        </w:rPr>
        <w:t xml:space="preserve"> for</w:t>
      </w:r>
      <w:r w:rsidRPr="00F20FF7" w:rsidR="00FB5F28">
        <w:rPr>
          <w:rStyle w:val="SubtleEmphasis"/>
          <w:i w:val="0"/>
          <w:iCs w:val="0"/>
          <w:color w:val="000000" w:themeColor="text1"/>
          <w:lang w:val="en-US"/>
        </w:rPr>
        <w:t xml:space="preserve"> managing the maximum bit rate for the Licklider Transmission Protocol (LTP) used within the ION program. </w:t>
      </w:r>
      <w:r w:rsidR="00F20FF7">
        <w:rPr>
          <w:rStyle w:val="SubtleEmphasis"/>
          <w:i w:val="0"/>
          <w:iCs w:val="0"/>
          <w:color w:val="000000" w:themeColor="text1"/>
          <w:lang w:val="en-US"/>
        </w:rPr>
        <w:t xml:space="preserve"> </w:t>
      </w:r>
    </w:p>
    <w:p w:rsidRPr="00F20FF7" w:rsidR="00F20FF7" w:rsidP="0043201C" w:rsidRDefault="00F20FF7" w14:paraId="731E9A5C" w14:textId="199CD579">
      <w:pPr>
        <w:rPr>
          <w:rStyle w:val="SubtleEmphasis"/>
          <w:i w:val="0"/>
          <w:iCs w:val="0"/>
          <w:color w:val="000000" w:themeColor="text1"/>
          <w:lang w:val="en-US"/>
        </w:rPr>
      </w:pPr>
      <w:r w:rsidRPr="00F20FF7">
        <w:rPr>
          <w:rStyle w:val="SubtleEmphasis"/>
          <w:i w:val="0"/>
          <w:iCs w:val="0"/>
          <w:noProof/>
          <w:color w:val="000000" w:themeColor="text1"/>
          <w:lang w:val="en-US"/>
        </w:rPr>
        <w:drawing>
          <wp:inline distT="0" distB="0" distL="0" distR="0" wp14:anchorId="30B6323D" wp14:editId="2F2E4BA8">
            <wp:extent cx="5731510" cy="1625600"/>
            <wp:effectExtent l="0" t="0" r="2540" b="0"/>
            <wp:docPr id="40769307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93078" name="Picture 1" descr="A screenshot of a cha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0FF7" w:rsidR="00FB5F28" w:rsidP="0043201C" w:rsidRDefault="009F0C21" w14:paraId="466D1D09" w14:textId="2DE43EC6">
      <w:pPr>
        <w:rPr>
          <w:rStyle w:val="SubtleEmphasis"/>
          <w:i w:val="0"/>
          <w:iCs w:val="0"/>
          <w:color w:val="000000" w:themeColor="text1"/>
          <w:lang w:val="en-US"/>
        </w:rPr>
      </w:pPr>
      <w:r w:rsidRPr="00F20FF7">
        <w:rPr>
          <w:rStyle w:val="SubtleEmphasis"/>
          <w:i w:val="0"/>
          <w:iCs w:val="0"/>
          <w:color w:val="000000" w:themeColor="text1"/>
          <w:lang w:val="en-US"/>
        </w:rPr>
        <w:t>The error appears to be caused by a for loop within the function</w:t>
      </w:r>
      <w:r w:rsidRPr="00F20FF7" w:rsidR="003C1345">
        <w:rPr>
          <w:rStyle w:val="SubtleEmphasis"/>
          <w:i w:val="0"/>
          <w:iCs w:val="0"/>
          <w:color w:val="000000" w:themeColor="text1"/>
          <w:lang w:val="en-US"/>
        </w:rPr>
        <w:t xml:space="preserve"> as the variable “elt” is assigned the value of the variable “sm_list_next” which has the potential to return the value 18446744073709551615 which is well out of the range of the programs intended buffer. </w:t>
      </w:r>
    </w:p>
    <w:p w:rsidRPr="00F20FF7" w:rsidR="00753530" w:rsidP="0043201C" w:rsidRDefault="00753530" w14:paraId="088A43C7" w14:textId="26CE8C48">
      <w:pPr>
        <w:rPr>
          <w:rStyle w:val="SubtleEmphasis"/>
          <w:b/>
          <w:bCs/>
          <w:i w:val="0"/>
          <w:iCs w:val="0"/>
          <w:color w:val="000000" w:themeColor="text1"/>
          <w:lang w:val="en-US"/>
        </w:rPr>
      </w:pPr>
      <w:r w:rsidRPr="00F20FF7">
        <w:rPr>
          <w:rStyle w:val="SubtleEmphasis"/>
          <w:b/>
          <w:bCs/>
          <w:i w:val="0"/>
          <w:iCs w:val="0"/>
          <w:color w:val="000000" w:themeColor="text1"/>
          <w:lang w:val="en-US"/>
        </w:rPr>
        <w:t xml:space="preserve">-Potential Vulnerabilities </w:t>
      </w:r>
    </w:p>
    <w:p w:rsidRPr="00F20FF7" w:rsidR="00753530" w:rsidP="53F1AE03" w:rsidRDefault="00753530" w14:paraId="5E804B70" w14:textId="53D7F238">
      <w:pPr>
        <w:rPr>
          <w:rStyle w:val="SubtleEmphasis"/>
          <w:i w:val="0"/>
          <w:iCs w:val="0"/>
          <w:color w:val="000000" w:themeColor="text1"/>
          <w:lang w:val="en-US"/>
        </w:rPr>
      </w:pPr>
      <w:r w:rsidRPr="53F1AE03">
        <w:rPr>
          <w:rStyle w:val="SubtleEmphasis"/>
          <w:i w:val="0"/>
          <w:iCs w:val="0"/>
          <w:color w:val="000000" w:themeColor="text1"/>
          <w:lang w:val="en-US"/>
        </w:rPr>
        <w:t>There is a possibility that the</w:t>
      </w:r>
      <w:r w:rsidRPr="53F1AE03" w:rsidR="00974786">
        <w:rPr>
          <w:rStyle w:val="SubtleEmphasis"/>
          <w:i w:val="0"/>
          <w:iCs w:val="0"/>
          <w:color w:val="000000" w:themeColor="text1"/>
          <w:lang w:val="en-US"/>
        </w:rPr>
        <w:t xml:space="preserve"> error flagged by Coverity is a vulnerability that attackers could potentially exploit.</w:t>
      </w:r>
      <w:r w:rsidRPr="53F1AE03" w:rsidR="00993716">
        <w:rPr>
          <w:rStyle w:val="SubtleEmphasis"/>
          <w:i w:val="0"/>
          <w:iCs w:val="0"/>
          <w:color w:val="000000" w:themeColor="text1"/>
          <w:lang w:val="en-US"/>
        </w:rPr>
        <w:t xml:space="preserve"> In this case the attacker may try to exploit the “sm_list_next” variable to try to induce a buffer overflow error within the application. By doing this they could potentially prevent the program </w:t>
      </w:r>
      <w:bookmarkStart w:name="_Int_9DhESMZd" w:id="10"/>
      <w:r w:rsidRPr="53F1AE03" w:rsidR="00993716">
        <w:rPr>
          <w:rStyle w:val="SubtleEmphasis"/>
          <w:i w:val="0"/>
          <w:iCs w:val="0"/>
          <w:color w:val="000000" w:themeColor="text1"/>
          <w:lang w:val="en-US"/>
        </w:rPr>
        <w:t>for</w:t>
      </w:r>
      <w:bookmarkEnd w:id="10"/>
      <w:r w:rsidRPr="53F1AE03" w:rsidR="00993716">
        <w:rPr>
          <w:rStyle w:val="SubtleEmphasis"/>
          <w:i w:val="0"/>
          <w:iCs w:val="0"/>
          <w:color w:val="000000" w:themeColor="text1"/>
          <w:lang w:val="en-US"/>
        </w:rPr>
        <w:t xml:space="preserve"> functioning correctly and </w:t>
      </w:r>
      <w:bookmarkStart w:name="_Int_aFXXBldV" w:id="11"/>
      <w:r w:rsidRPr="53F1AE03" w:rsidR="00993716">
        <w:rPr>
          <w:rStyle w:val="SubtleEmphasis"/>
          <w:i w:val="0"/>
          <w:iCs w:val="0"/>
          <w:color w:val="000000" w:themeColor="text1"/>
          <w:lang w:val="en-US"/>
        </w:rPr>
        <w:t>crash</w:t>
      </w:r>
      <w:bookmarkEnd w:id="11"/>
      <w:r w:rsidRPr="53F1AE03" w:rsidR="00993716">
        <w:rPr>
          <w:rStyle w:val="SubtleEmphasis"/>
          <w:i w:val="0"/>
          <w:iCs w:val="0"/>
          <w:color w:val="000000" w:themeColor="text1"/>
          <w:lang w:val="en-US"/>
        </w:rPr>
        <w:t>.</w:t>
      </w:r>
    </w:p>
    <w:p w:rsidRPr="00B63218" w:rsidR="003C1345" w:rsidP="0043201C" w:rsidRDefault="003C1345" w14:paraId="13194FFA" w14:textId="77777777">
      <w:pPr>
        <w:rPr>
          <w:rStyle w:val="SubtleEmphasis"/>
          <w:i w:val="0"/>
          <w:iCs w:val="0"/>
          <w:lang w:val="en-US"/>
        </w:rPr>
      </w:pPr>
    </w:p>
    <w:p w:rsidR="007F601A" w:rsidP="007F601A" w:rsidRDefault="008310AF" w14:paraId="53E049B3" w14:textId="3C86E599">
      <w:pPr>
        <w:pStyle w:val="Heading2"/>
        <w:spacing w:after="0" w:line="240" w:lineRule="auto"/>
      </w:pPr>
      <w:bookmarkStart w:name="_Toc119848731" w:id="12"/>
      <w:r>
        <w:t>Supporting Evidence</w:t>
      </w:r>
      <w:bookmarkEnd w:id="12"/>
      <w:r>
        <w:tab/>
      </w:r>
      <w:r w:rsidR="0034718B">
        <w:t xml:space="preserve"> </w:t>
      </w:r>
    </w:p>
    <w:p w:rsidR="0034718B" w:rsidP="0034718B" w:rsidRDefault="0034718B" w14:paraId="3E61DBC0" w14:textId="3AF02D2A">
      <w:pPr>
        <w:rPr>
          <w:lang w:val="en-US"/>
        </w:rPr>
      </w:pPr>
      <w:r>
        <w:rPr>
          <w:lang w:val="en-US"/>
        </w:rPr>
        <w:t>Evidence of this error can be seen within the error code flag below.</w:t>
      </w:r>
      <w:r w:rsidR="0044477E">
        <w:rPr>
          <w:lang w:val="en-US"/>
        </w:rPr>
        <w:t xml:space="preserve"> As can be seen the variables ”sm_list_next” and “elt” have been flagged by Coverity as suspicious as they both may return a value that is not within the programs bounds.</w:t>
      </w:r>
    </w:p>
    <w:p w:rsidRPr="0034718B" w:rsidR="0044477E" w:rsidP="0034718B" w:rsidRDefault="0044477E" w14:paraId="26BF3D0E" w14:textId="52E11A3B">
      <w:pPr>
        <w:rPr>
          <w:lang w:val="en-US"/>
        </w:rPr>
      </w:pPr>
      <w:r w:rsidRPr="0044477E">
        <w:rPr>
          <w:noProof/>
          <w:lang w:val="en-US"/>
        </w:rPr>
        <w:drawing>
          <wp:inline distT="0" distB="0" distL="0" distR="0" wp14:anchorId="20B82200" wp14:editId="0DD9BBD8">
            <wp:extent cx="6252556" cy="350520"/>
            <wp:effectExtent l="0" t="0" r="0" b="0"/>
            <wp:docPr id="129012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29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9432" cy="3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1A" w:rsidP="007F601A" w:rsidRDefault="0043201C" w14:paraId="40FECA14" w14:textId="77777777">
      <w:pPr>
        <w:pStyle w:val="Heading1"/>
        <w:spacing w:line="240" w:lineRule="auto"/>
      </w:pPr>
      <w:bookmarkStart w:name="_Toc119848732" w:id="13"/>
      <w:r>
        <w:t>Conclusions and Recommendations</w:t>
      </w:r>
      <w:bookmarkEnd w:id="13"/>
    </w:p>
    <w:p w:rsidR="0043201C" w:rsidP="007F601A" w:rsidRDefault="0034718B" w14:paraId="55693EDC" w14:textId="078698CB">
      <w:r w:rsidRPr="53F1AE03">
        <w:rPr>
          <w:rStyle w:val="SubtleEmphasis"/>
          <w:i w:val="0"/>
          <w:iCs w:val="0"/>
          <w:color w:val="000000" w:themeColor="text1"/>
        </w:rPr>
        <w:t xml:space="preserve">What I would recommend </w:t>
      </w:r>
      <w:bookmarkStart w:name="_Int_tAnsF9OK" w:id="14"/>
      <w:r w:rsidRPr="53F1AE03">
        <w:rPr>
          <w:rStyle w:val="SubtleEmphasis"/>
          <w:i w:val="0"/>
          <w:iCs w:val="0"/>
          <w:color w:val="000000" w:themeColor="text1"/>
        </w:rPr>
        <w:t>to resolve</w:t>
      </w:r>
      <w:bookmarkEnd w:id="14"/>
      <w:r w:rsidRPr="53F1AE03" w:rsidR="007D4868">
        <w:rPr>
          <w:rStyle w:val="SubtleEmphasis"/>
          <w:i w:val="0"/>
          <w:iCs w:val="0"/>
          <w:color w:val="000000" w:themeColor="text1"/>
        </w:rPr>
        <w:t xml:space="preserve"> the issue flagged within this report would be to implement a check for the “sm_list_next” variable </w:t>
      </w:r>
      <w:r w:rsidRPr="53F1AE03" w:rsidR="002D0747">
        <w:rPr>
          <w:rStyle w:val="SubtleEmphasis"/>
          <w:i w:val="0"/>
          <w:iCs w:val="0"/>
          <w:color w:val="000000" w:themeColor="text1"/>
        </w:rPr>
        <w:t>to ensure that it remains a safe value that is within the programs intended buffer. Doing this would implement a safety net for the variable to ensure that it does not reach a value that would cause the program to crash whether the value is achieved accidently by a bug or intentionally by an adversary.</w:t>
      </w:r>
    </w:p>
    <w:p w:rsidR="007E1703" w:rsidP="00CF6C70" w:rsidRDefault="00CF6C70" w14:paraId="7EBA788D" w14:textId="77777777">
      <w:pPr>
        <w:rPr>
          <w:rStyle w:val="SubtleEmphasis"/>
        </w:rPr>
      </w:pPr>
      <w:bookmarkStart w:name="_Toc119848733" w:id="15"/>
      <w:r w:rsidRPr="0032522D">
        <w:rPr>
          <w:rStyle w:val="Heading1Char"/>
        </w:rPr>
        <w:t>References</w:t>
      </w:r>
      <w:bookmarkEnd w:id="15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w:history="1" r:id="rId15">
        <w:r w:rsidRPr="0032522D" w:rsid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 w:rsidR="007E1703">
        <w:rPr>
          <w:rStyle w:val="SubtleEmphasis"/>
        </w:rPr>
        <w:t xml:space="preserve"> </w:t>
      </w:r>
    </w:p>
    <w:p w:rsidR="0032522D" w:rsidP="00CF6C70" w:rsidRDefault="00ED5321" w14:paraId="1E6B3354" w14:textId="5C523545">
      <w:pPr>
        <w:rPr>
          <w:rStyle w:val="Heading1Char"/>
        </w:rPr>
      </w:pPr>
      <w:r w:rsidRPr="00ED5321">
        <w:t xml:space="preserve">MITRE Corporation. (2023, January 31). CWE - CWE-119: Improper Restriction of Operations within the Bounds of a Memory Buffer. Retrieved March 21, 2023, from </w:t>
      </w:r>
      <w:hyperlink w:history="1" r:id="rId16">
        <w:r w:rsidRPr="00143150">
          <w:rPr>
            <w:rStyle w:val="Hyperlink"/>
          </w:rPr>
          <w:t>https://cwe.mitre.org/data/definitions/119.html</w:t>
        </w:r>
      </w:hyperlink>
      <w:r>
        <w:t xml:space="preserve"> </w:t>
      </w:r>
      <w:r w:rsidRPr="00ED5321">
        <w:t>  </w:t>
      </w:r>
      <w:r w:rsidR="00CF6C70">
        <w:br/>
      </w:r>
    </w:p>
    <w:p w:rsidR="0032522D" w:rsidRDefault="0032522D" w14:paraId="4CD01AFB" w14:textId="77777777">
      <w:pPr>
        <w:rPr>
          <w:rStyle w:val="Heading1Char"/>
        </w:rPr>
      </w:pPr>
      <w:r>
        <w:rPr>
          <w:rStyle w:val="Heading1Char"/>
        </w:rPr>
        <w:br w:type="page"/>
      </w:r>
    </w:p>
    <w:p w:rsidRPr="0043201C" w:rsidR="008310AF" w:rsidP="00CF6C70" w:rsidRDefault="0043201C" w14:paraId="512CE0C2" w14:textId="119CF0D7">
      <w:bookmarkStart w:name="_Toc119848734" w:id="16"/>
      <w:r w:rsidRPr="0032522D">
        <w:rPr>
          <w:rStyle w:val="Heading1Char"/>
        </w:rPr>
        <w:t>Appendix</w:t>
      </w:r>
      <w:bookmarkEnd w:id="16"/>
    </w:p>
    <w:p w:rsidRPr="00271952" w:rsidR="008310AF" w:rsidRDefault="00271952" w14:paraId="7800F175" w14:textId="7DEAF724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:rsidRPr="008310AF" w:rsidR="008310AF" w:rsidP="008310AF" w:rsidRDefault="008310AF" w14:paraId="4C7BD8A9" w14:textId="77777777">
      <w:pPr>
        <w:pStyle w:val="Heading1"/>
        <w:rPr>
          <w:lang w:val="en-US"/>
        </w:rPr>
      </w:pPr>
    </w:p>
    <w:p w:rsidRPr="008310AF" w:rsidR="008310AF" w:rsidP="008310AF" w:rsidRDefault="008310AF" w14:paraId="129ECE72" w14:textId="77777777"/>
    <w:sectPr w:rsidRPr="008310AF" w:rsid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6A5F" w:rsidP="009924FC" w:rsidRDefault="00456A5F" w14:paraId="36A0298F" w14:textId="77777777">
      <w:pPr>
        <w:spacing w:after="0" w:line="240" w:lineRule="auto"/>
      </w:pPr>
      <w:r>
        <w:separator/>
      </w:r>
    </w:p>
  </w:endnote>
  <w:endnote w:type="continuationSeparator" w:id="0">
    <w:p w:rsidR="00456A5F" w:rsidP="009924FC" w:rsidRDefault="00456A5F" w14:paraId="422061BE" w14:textId="77777777">
      <w:pPr>
        <w:spacing w:after="0" w:line="240" w:lineRule="auto"/>
      </w:pPr>
      <w:r>
        <w:continuationSeparator/>
      </w:r>
    </w:p>
  </w:endnote>
  <w:endnote w:type="continuationNotice" w:id="1">
    <w:p w:rsidR="00456A5F" w:rsidRDefault="00456A5F" w14:paraId="4C0FD25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A72" w:rsidP="003D0EEE" w:rsidRDefault="00797A72" w14:paraId="0B561062" w14:textId="678FBB7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21FD" w:rsidP="00797A72" w:rsidRDefault="00F121FD" w14:paraId="271DC1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:rsidRPr="00690363" w:rsidR="00797A72" w:rsidP="00690363" w:rsidRDefault="00690363" w14:paraId="343FF6FD" w14:textId="31C88EAF">
        <w:pPr>
          <w:pStyle w:val="Footer"/>
          <w:framePr w:wrap="none" w:hAnchor="page" w:vAnchor="text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Pr="00690363" w:rsidR="00797A72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:rsidR="008310AF" w:rsidP="00797A72" w:rsidRDefault="00797F79" w14:paraId="40A04E03" w14:textId="59CC9739">
    <w:pPr>
      <w:pStyle w:val="Footer"/>
      <w:pBdr>
        <w:top w:val="single" w:color="D9D9D9" w:themeColor="background1" w:themeShade="D9" w:sz="4" w:space="1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14="http://schemas.microsoft.com/office/drawing/2010/main" xmlns:pic="http://schemas.openxmlformats.org/drawingml/2006/picture" xmlns:a="http://schemas.openxmlformats.org/drawingml/2006/main">
              <w:pict w14:anchorId="66EA72E6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17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:rsidR="008310AF" w:rsidRDefault="008310AF" w14:paraId="2D40B2A1" w14:textId="7EACE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554BF8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A5F" w:rsidP="009924FC" w:rsidRDefault="00456A5F" w14:paraId="002009C0" w14:textId="77777777">
      <w:pPr>
        <w:spacing w:after="0" w:line="240" w:lineRule="auto"/>
      </w:pPr>
      <w:r>
        <w:separator/>
      </w:r>
    </w:p>
  </w:footnote>
  <w:footnote w:type="continuationSeparator" w:id="0">
    <w:p w:rsidR="00456A5F" w:rsidP="009924FC" w:rsidRDefault="00456A5F" w14:paraId="18FF5C34" w14:textId="77777777">
      <w:pPr>
        <w:spacing w:after="0" w:line="240" w:lineRule="auto"/>
      </w:pPr>
      <w:r>
        <w:continuationSeparator/>
      </w:r>
    </w:p>
  </w:footnote>
  <w:footnote w:type="continuationNotice" w:id="1">
    <w:p w:rsidR="00456A5F" w:rsidRDefault="00456A5F" w14:paraId="47588D9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815C4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5590A38E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</w:r>
    <w:r w:rsidRPr="007F601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3366076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6UDVy23v24+Sf" int2:id="ts71evGn">
      <int2:state int2:value="Rejected" int2:type="AugLoop_Text_Critique"/>
    </int2:textHash>
    <int2:textHash int2:hashCode="33JR8YLgBYTG+V" int2:id="qbhPFpNQ">
      <int2:state int2:value="Rejected" int2:type="AugLoop_Text_Critique"/>
    </int2:textHash>
    <int2:textHash int2:hashCode="HEhhzSDS1JDb1b" int2:id="LkO4d557">
      <int2:state int2:value="Rejected" int2:type="AugLoop_Text_Critique"/>
    </int2:textHash>
    <int2:bookmark int2:bookmarkName="_Int_tAnsF9OK" int2:invalidationBookmarkName="" int2:hashCode="oT38JaLfIJu7Vy" int2:id="0Yzm28hs">
      <int2:state int2:value="Rejected" int2:type="AugLoop_Text_Critique"/>
    </int2:bookmark>
    <int2:bookmark int2:bookmarkName="_Int_9DhESMZd" int2:invalidationBookmarkName="" int2:hashCode="Q+75piq7ix4WVP" int2:id="CYDO5HSO">
      <int2:state int2:value="Rejected" int2:type="AugLoop_Text_Critique"/>
    </int2:bookmark>
    <int2:bookmark int2:bookmarkName="_Int_aFXXBldV" int2:invalidationBookmarkName="" int2:hashCode="L8fxRSN0tuNB1n" int2:id="4zx9OgD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 w16cid:durableId="13436232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879B3"/>
    <w:rsid w:val="000A419C"/>
    <w:rsid w:val="00152D68"/>
    <w:rsid w:val="002079A7"/>
    <w:rsid w:val="00271952"/>
    <w:rsid w:val="002D0747"/>
    <w:rsid w:val="0032522D"/>
    <w:rsid w:val="0034718B"/>
    <w:rsid w:val="003934F3"/>
    <w:rsid w:val="003C1345"/>
    <w:rsid w:val="003E26D0"/>
    <w:rsid w:val="0043201C"/>
    <w:rsid w:val="00435289"/>
    <w:rsid w:val="0044477E"/>
    <w:rsid w:val="00456A5F"/>
    <w:rsid w:val="00560CC6"/>
    <w:rsid w:val="005B1F36"/>
    <w:rsid w:val="005C13CE"/>
    <w:rsid w:val="00615F8E"/>
    <w:rsid w:val="00632907"/>
    <w:rsid w:val="00690363"/>
    <w:rsid w:val="006E6250"/>
    <w:rsid w:val="00714745"/>
    <w:rsid w:val="00753530"/>
    <w:rsid w:val="00797A72"/>
    <w:rsid w:val="00797F79"/>
    <w:rsid w:val="007D4868"/>
    <w:rsid w:val="007E1703"/>
    <w:rsid w:val="007F601A"/>
    <w:rsid w:val="008310AF"/>
    <w:rsid w:val="009656FF"/>
    <w:rsid w:val="00974786"/>
    <w:rsid w:val="009924FC"/>
    <w:rsid w:val="00993716"/>
    <w:rsid w:val="009F0C21"/>
    <w:rsid w:val="00A43F42"/>
    <w:rsid w:val="00A977FF"/>
    <w:rsid w:val="00AB15D9"/>
    <w:rsid w:val="00B13EBD"/>
    <w:rsid w:val="00B63218"/>
    <w:rsid w:val="00C31A32"/>
    <w:rsid w:val="00CF6C70"/>
    <w:rsid w:val="00D42633"/>
    <w:rsid w:val="00D94D8C"/>
    <w:rsid w:val="00D96087"/>
    <w:rsid w:val="00DB13F7"/>
    <w:rsid w:val="00DD0173"/>
    <w:rsid w:val="00E261B5"/>
    <w:rsid w:val="00ED5321"/>
    <w:rsid w:val="00EE1737"/>
    <w:rsid w:val="00F121FD"/>
    <w:rsid w:val="00F20FF7"/>
    <w:rsid w:val="00F23A10"/>
    <w:rsid w:val="00F64C27"/>
    <w:rsid w:val="00FB5F28"/>
    <w:rsid w:val="00FE5FC2"/>
    <w:rsid w:val="1BD27110"/>
    <w:rsid w:val="1D5DD47E"/>
    <w:rsid w:val="22452843"/>
    <w:rsid w:val="2E694810"/>
    <w:rsid w:val="39EB4B62"/>
    <w:rsid w:val="440B95C8"/>
    <w:rsid w:val="4CB8646F"/>
    <w:rsid w:val="53F1AE03"/>
    <w:rsid w:val="5D7F67EC"/>
    <w:rsid w:val="600CB34D"/>
    <w:rsid w:val="75E6F5AD"/>
    <w:rsid w:val="7A28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header" Target="header1.xml" Id="rId17" /><Relationship Type="http://schemas.microsoft.com/office/2020/10/relationships/intelligence" Target="intelligence2.xml" Id="rId25" /><Relationship Type="http://schemas.openxmlformats.org/officeDocument/2006/relationships/customXml" Target="../customXml/item2.xml" Id="rId2" /><Relationship Type="http://schemas.openxmlformats.org/officeDocument/2006/relationships/hyperlink" Target="https://cwe.mitre.org/data/definitions/119.html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24" /><Relationship Type="http://schemas.openxmlformats.org/officeDocument/2006/relationships/customXml" Target="../customXml/item5.xml" Id="rId5" /><Relationship Type="http://schemas.openxmlformats.org/officeDocument/2006/relationships/hyperlink" Target="https://www.deakin.edu.au/__data/assets/pdf_file/0009/2236752/Deakin-guide-to-APA7.pdf" TargetMode="External" Id="rId15" /><Relationship Type="http://schemas.openxmlformats.org/officeDocument/2006/relationships/fontTable" Target="fontTable.xml" Id="rId23" /><Relationship Type="http://schemas.openxmlformats.org/officeDocument/2006/relationships/footnotes" Target="foot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footer" Target="footer3.xml" Id="rId22" /><Relationship Type="http://schemas.openxmlformats.org/officeDocument/2006/relationships/glossaryDocument" Target="glossary/document.xml" Id="R9d9e31019f3143df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68a8c-1600-4d96-b0cb-c28d8d73336c}"/>
      </w:docPartPr>
      <w:docPartBody>
        <w:p w14:paraId="2E6948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Coverity Scan           Static Analysis Report</dc:title>
  <dc:subject>Hardhard Enterprises</dc:subject>
  <dc:creator>Luke Collins</dc:creator>
  <keywords/>
  <dc:description/>
  <lastModifiedBy>ANTHONY JAMES SCANTSONIHAS</lastModifiedBy>
  <revision>10</revision>
  <dcterms:created xsi:type="dcterms:W3CDTF">2023-08-12T17:51:00.0000000Z</dcterms:created>
  <dcterms:modified xsi:type="dcterms:W3CDTF">2023-08-12T17:52:34.0191367Z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