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PHOENIX</w:t>
      </w:r>
    </w:p>
    <w:p>
      <w:r>
        <w:rPr>
          <w:i/>
          <w:iCs/>
          <w:sz w:val="24"/>
          <w:szCs w:val="24"/>
        </w:rPr>
        <w:t xml:space="preserve">Hardhat Enterprises — Cybersecurity Stream</w:t>
      </w:r>
    </w:p>
    <w:p>
      <w:pPr>
        <w:spacing w:before="200"/>
      </w:pPr>
      <w:r>
        <w:rPr>
          <w:b/>
          <w:bCs/>
          <w:sz w:val="28"/>
          <w:szCs w:val="28"/>
        </w:rPr>
        <w:t xml:space="preserve">Week 1 Report — Kick-off, Environment &amp; Reconnaissance</w:t>
      </w:r>
    </w:p>
    <w:p>
      <w:pPr>
        <w:spacing w:after="200"/>
      </w:pPr>
      <w:r>
        <w:rPr>
          <w:sz w:val="22"/>
          <w:szCs w:val="22"/>
        </w:rPr>
        <w:t xml:space="preserve">Authentication &amp; RBAC Security Review · Part B —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Sub-team</w:t>
            </w:r>
          </w:p>
        </w:tc>
        <w:tc>
          <w:tcPr>
            <w:tcW w:type="pct" w:w="75%"/>
          </w:tcPr>
          <w:p>
            <w:r>
              <w:t xml:space="preserve">Authentication &amp; RBAC Review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Work stream</w:t>
            </w:r>
          </w:p>
        </w:tc>
        <w:tc>
          <w:tcPr>
            <w:tcW w:type="pct" w:w="75%"/>
          </w:tcPr>
          <w:p>
            <w:r>
              <w:t xml:space="preserve">Dependency &amp; Configuration Audit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75%"/>
          </w:tcPr>
          <w:p>
            <w:r>
              <w:t xml:space="preserve">Divjot Singh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pct" w:w="75%"/>
          </w:tcPr>
          <w:p>
            <w:r>
              <w:t xml:space="preserve">Himanshu (Sub-team Lead)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Repository / branch</w:t>
            </w:r>
          </w:p>
        </w:tc>
        <w:tc>
          <w:tcPr>
            <w:tcW w:type="pct" w:w="75%"/>
          </w:tcPr>
          <w:p>
            <w:r>
              <w:t xml:space="preserve">Hardhat-Enterprises/Phoenix · dev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5%"/>
          </w:tcPr>
          <w:p>
            <w:r>
              <w:t xml:space="preserve">Complete</w:t>
            </w:r>
          </w:p>
        </w:tc>
      </w:tr>
    </w:tbl>
    <w:p>
      <w:pPr>
        <w:pStyle w:val="Heading1"/>
        <w:spacing w:after="120" w:before="300"/>
      </w:pPr>
      <w:r>
        <w:t xml:space="preserve">1. Objective</w:t>
      </w:r>
    </w:p>
    <w:p>
      <w:pPr>
        <w:spacing w:after="120"/>
      </w:pPr>
      <w:r>
        <w:t xml:space="preserve">Get the backend running, become familiar with the Project Phoenix repository structure, and prepare the environment for the dependency and configuration audit (npm access, .env, and docker-compose visibility).</w:t>
      </w:r>
    </w:p>
    <w:p>
      <w:pPr>
        <w:pStyle w:val="Heading1"/>
        <w:spacing w:after="120" w:before="300"/>
      </w:pPr>
      <w:r>
        <w:t xml:space="preserve">2. Tasks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Reviewed the repository structure: backend, mobilebackend, alertmobile, frontend, frontend/Frontend, plus supporting ai-ml and cyber directories.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Identified two separate docker-compose files: a root-level compose.yml (Postgres only) and a more complete backend/docker-compose.yaml defining the full microservice stack (RabbitMQ, Redis, api-gateway, user-service, data-ingestion-service, storage-service).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Brought up the database layer via the root compose file (docker compose up -d) and confirmed phoenix-postgres as healthy.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Located and used backend/docker-compose.yaml to bring up the full backend stack.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Diagnosed and fixed a blocking bug in backend/docker-compose.yaml: the data-ingestion-service environment block declared PYTHON_BIN and CORE_MODEL_SCRIPT_PATH with a trailing space before '=', which Compose's strict KEY=VALUE parser rejected outright (decoding failed... declared with a trailing space). Removed the spaces so the file could be parsed and built.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all four backend Docker images (api-gateway, user-service, data-ingestion-service, storage-service) successfully via docker compose 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Brought up all six containers via docker compose up -d.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Diagnosed and resolved a startup race condition: api-gateway and data-ingestion-service both crashed on first boot with ECONNREFUSED against RabbitMQ, despite RabbitMQ's health check already passing. Restarting the two dependent services (docker compose up -d api-gateway data-ingestion-service) after RabbitMQ was fully warmed up resolved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the stack end-to-end: curl http://localhost:3001/health returned {"message":"API Gateway is running"}, confirming the API Gateway and its downstream gRPC dependencies were reachable.</w:t>
      </w:r>
    </w:p>
    <w:p>
      <w:pPr>
        <w:pStyle w:val="Heading1"/>
        <w:spacing w:after="120" w:before="300"/>
      </w:pPr>
      <w:r>
        <w:t xml:space="preserve">3. Environment Notes / Structure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Root: docker-compose.yml -&gt; Postgres only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backend/docker-compose.yaml -&gt; rabbitmq, redis, api-gateway, user-service, data-ingestion-service, storage-service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backend/ subfolders: api-gateway, data-ingestion-service, database, libs, notification-service, storage-service, user-service</w:t>
      </w:r>
    </w:p>
    <w:p>
      <w:pPr>
        <w:spacing w:after="120"/>
      </w:pPr>
      <w:r>
        <w:t xml:space="preserve">Notable gap: notification-service exists as a folder but has no service entry in backend/docker-compose.yaml, so it cannot currently be brought up via Compose. Flagged for the team.</w:t>
      </w:r>
    </w:p>
    <w:p>
      <w:pPr>
        <w:pStyle w:val="Heading1"/>
        <w:spacing w:after="120" w:before="300"/>
      </w:pPr>
      <w:r>
        <w:t xml:space="preserve">4. Final Container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Container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Port(s)</w:t>
            </w:r>
          </w:p>
        </w:tc>
      </w:tr>
      <w:tr>
        <w:tc>
          <w:p>
            <w:r>
              <w:t xml:space="preserve">phoenix-postgres</w:t>
            </w:r>
          </w:p>
        </w:tc>
        <w:tc>
          <w:p>
            <w:r>
              <w:t xml:space="preserve">postgres</w:t>
            </w:r>
          </w:p>
        </w:tc>
        <w:tc>
          <w:p>
            <w:r>
              <w:t xml:space="preserve">Up (healthy)</w:t>
            </w:r>
          </w:p>
        </w:tc>
        <w:tc>
          <w:p>
            <w:r>
              <w:t xml:space="preserve">5432</w:t>
            </w:r>
          </w:p>
        </w:tc>
      </w:tr>
      <w:tr>
        <w:tc>
          <w:p>
            <w:r>
              <w:t xml:space="preserve">phoenix-rabbitmq</w:t>
            </w:r>
          </w:p>
        </w:tc>
        <w:tc>
          <w:p>
            <w:r>
              <w:t xml:space="preserve">rabbitmq</w:t>
            </w:r>
          </w:p>
        </w:tc>
        <w:tc>
          <w:p>
            <w:r>
              <w:t xml:space="preserve">Up (healthy)</w:t>
            </w:r>
          </w:p>
        </w:tc>
        <w:tc>
          <w:p>
            <w:r>
              <w:t xml:space="preserve">5672, 15672</w:t>
            </w:r>
          </w:p>
        </w:tc>
      </w:tr>
      <w:tr>
        <w:tc>
          <w:p>
            <w:r>
              <w:t xml:space="preserve">phoenix-redis</w:t>
            </w:r>
          </w:p>
        </w:tc>
        <w:tc>
          <w:p>
            <w:r>
              <w:t xml:space="preserve">redis</w:t>
            </w:r>
          </w:p>
        </w:tc>
        <w:tc>
          <w:p>
            <w:r>
              <w:t xml:space="preserve">Up (healthy)</w:t>
            </w:r>
          </w:p>
        </w:tc>
        <w:tc>
          <w:p>
            <w:r>
              <w:t xml:space="preserve">6379</w:t>
            </w:r>
          </w:p>
        </w:tc>
      </w:tr>
      <w:tr>
        <w:tc>
          <w:p>
            <w:r>
              <w:t xml:space="preserve">api-gateway</w:t>
            </w:r>
          </w:p>
        </w:tc>
        <w:tc>
          <w:p>
            <w:r>
              <w:t xml:space="preserve">api-gateway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3001 -&gt; 3000</w:t>
            </w:r>
          </w:p>
        </w:tc>
      </w:tr>
      <w:tr>
        <w:tc>
          <w:p>
            <w:r>
              <w:t xml:space="preserve">user-service</w:t>
            </w:r>
          </w:p>
        </w:tc>
        <w:tc>
          <w:p>
            <w:r>
              <w:t xml:space="preserve">user-service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50051</w:t>
            </w:r>
          </w:p>
        </w:tc>
      </w:tr>
      <w:tr>
        <w:tc>
          <w:p>
            <w:r>
              <w:t xml:space="preserve">ingestion-service</w:t>
            </w:r>
          </w:p>
        </w:tc>
        <w:tc>
          <w:p>
            <w:r>
              <w:t xml:space="preserve">data-ingestion-service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50053</w:t>
            </w:r>
          </w:p>
        </w:tc>
      </w:tr>
      <w:tr>
        <w:tc>
          <w:p>
            <w:r>
              <w:t xml:space="preserve">storage-service</w:t>
            </w:r>
          </w:p>
        </w:tc>
        <w:tc>
          <w:p>
            <w:r>
              <w:t xml:space="preserve">storage-service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50054</w:t>
            </w:r>
          </w:p>
        </w:tc>
      </w:tr>
    </w:tbl>
    <w:p>
      <w:pPr>
        <w:pStyle w:val="Heading1"/>
        <w:spacing w:after="120" w:before="300"/>
      </w:pPr>
      <w:r>
        <w:t xml:space="preserve">5.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ready: full backend stack running locally and verified via health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 notes: repository layout, the two docker-compose files, and the service map documented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configuration bugs found and reported to the team (compose env-var syntax error; missing notification-service entry).</w:t>
      </w:r>
    </w:p>
    <w:p>
      <w:pPr>
        <w:spacing w:after="200" w:before="200"/>
      </w:pPr>
      <w:r>
        <w:rPr>
          <w:b/>
          <w:bCs/>
        </w:rPr>
        <w:t xml:space="preserve">Status: </w:t>
      </w:r>
      <w:r>
        <w:rPr>
          <w:b/>
          <w:bCs/>
          <w:color w:val="1F7A1F"/>
        </w:rPr>
        <w:t xml:space="preserve">Complete — environment stood up, verified, and documented.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2026-08-17T10:54:20.610Z</dcterms:created>
  <dcterms:modified xsi:type="dcterms:W3CDTF">2026-08-17T10:54:20.625Z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