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sz w:val="32"/>
          <w:szCs w:val="32"/>
        </w:rPr>
        <w:t xml:space="preserve">PROJECT PHOENIX</w:t>
      </w:r>
    </w:p>
    <w:p>
      <w:pPr>
        <w:spacing w:after="200"/>
      </w:pPr>
      <w:r>
        <w:rPr>
          <w:b w:val="false"/>
          <w:bCs w:val="false"/>
          <w:i/>
          <w:iCs/>
          <w:sz w:val="22"/>
          <w:szCs w:val="22"/>
        </w:rPr>
        <w:t xml:space="preserve">Hardhat Enterprises — Cybersecurity Stream</w:t>
      </w:r>
    </w:p>
    <w:p>
      <w:pPr>
        <w:spacing w:after="120"/>
      </w:pPr>
      <w:r>
        <w:rPr>
          <w:b/>
          <w:bCs/>
          <w:i w:val="false"/>
          <w:iCs w:val="false"/>
          <w:sz w:val="26"/>
          <w:szCs w:val="26"/>
        </w:rPr>
        <w:t xml:space="preserve">Week 7 Report — Consolidation, Severity &amp; Remediation — Dependency &amp; Configuration Remediation Plan and Re-test Checklist</w:t>
      </w:r>
    </w:p>
    <w:p>
      <w:pPr>
        <w:spacing w:after="200"/>
      </w:pPr>
      <w:r>
        <w:rPr>
          <w:b w:val="false"/>
          <w:bCs w:val="false"/>
          <w:i w:val="false"/>
          <w:iCs w:val="false"/>
          <w:sz w:val="22"/>
          <w:szCs w:val="22"/>
        </w:rPr>
        <w:t xml:space="preserve">Authentication &amp; RBAC Security Review · Part B — Sprint 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tcPr>
          <w:p>
            <w:pPr>
              <w:spacing w:after="0"/>
            </w:pPr>
            <w:r>
              <w:rPr>
                <w:b/>
                <w:bCs/>
                <w:sz w:val="22"/>
                <w:szCs w:val="22"/>
              </w:rPr>
              <w:t xml:space="preserve">Sub-team</w:t>
            </w:r>
          </w:p>
        </w:tc>
        <w:tc>
          <w:tcPr>
            <w:tcW w:type="dxa" w:w="6360"/>
          </w:tcPr>
          <w:p>
            <w:pPr>
              <w:spacing w:after="0"/>
            </w:pPr>
            <w:r>
              <w:rPr>
                <w:b w:val="false"/>
                <w:bCs w:val="false"/>
                <w:sz w:val="22"/>
                <w:szCs w:val="22"/>
              </w:rPr>
              <w:t xml:space="preserve">Authentication &amp; RBAC Review</w:t>
            </w:r>
          </w:p>
        </w:tc>
      </w:tr>
      <w:tr>
        <w:tc>
          <w:tcPr>
            <w:tcW w:type="dxa" w:w="3000"/>
          </w:tcPr>
          <w:p>
            <w:pPr>
              <w:spacing w:after="0"/>
            </w:pPr>
            <w:r>
              <w:rPr>
                <w:b/>
                <w:bCs/>
                <w:sz w:val="22"/>
                <w:szCs w:val="22"/>
              </w:rPr>
              <w:t xml:space="preserve">Work stream</w:t>
            </w:r>
          </w:p>
        </w:tc>
        <w:tc>
          <w:tcPr>
            <w:tcW w:type="dxa" w:w="6360"/>
          </w:tcPr>
          <w:p>
            <w:pPr>
              <w:spacing w:after="0"/>
            </w:pPr>
            <w:r>
              <w:rPr>
                <w:b w:val="false"/>
                <w:bCs w:val="false"/>
                <w:sz w:val="22"/>
                <w:szCs w:val="22"/>
              </w:rPr>
              <w:t xml:space="preserve">Dependency &amp; Configuration Audit</w:t>
            </w:r>
          </w:p>
        </w:tc>
      </w:tr>
      <w:tr>
        <w:tc>
          <w:tcPr>
            <w:tcW w:type="dxa" w:w="3000"/>
          </w:tcPr>
          <w:p>
            <w:pPr>
              <w:spacing w:after="0"/>
            </w:pPr>
            <w:r>
              <w:rPr>
                <w:b/>
                <w:bCs/>
                <w:sz w:val="22"/>
                <w:szCs w:val="22"/>
              </w:rPr>
              <w:t xml:space="preserve">Prepared by</w:t>
            </w:r>
          </w:p>
        </w:tc>
        <w:tc>
          <w:tcPr>
            <w:tcW w:type="dxa" w:w="6360"/>
          </w:tcPr>
          <w:p>
            <w:pPr>
              <w:spacing w:after="0"/>
            </w:pPr>
            <w:r>
              <w:rPr>
                <w:b w:val="false"/>
                <w:bCs w:val="false"/>
                <w:sz w:val="22"/>
                <w:szCs w:val="22"/>
              </w:rPr>
              <w:t xml:space="preserve">Divjot Singh</w:t>
            </w:r>
          </w:p>
        </w:tc>
      </w:tr>
      <w:tr>
        <w:tc>
          <w:tcPr>
            <w:tcW w:type="dxa" w:w="3000"/>
          </w:tcPr>
          <w:p>
            <w:pPr>
              <w:spacing w:after="0"/>
            </w:pPr>
            <w:r>
              <w:rPr>
                <w:b/>
                <w:bCs/>
                <w:sz w:val="22"/>
                <w:szCs w:val="22"/>
              </w:rPr>
              <w:t xml:space="preserve">Reviewed by</w:t>
            </w:r>
          </w:p>
        </w:tc>
        <w:tc>
          <w:tcPr>
            <w:tcW w:type="dxa" w:w="6360"/>
          </w:tcPr>
          <w:p>
            <w:pPr>
              <w:spacing w:after="0"/>
            </w:pPr>
            <w:r>
              <w:rPr>
                <w:b w:val="false"/>
                <w:bCs w:val="false"/>
                <w:sz w:val="22"/>
                <w:szCs w:val="22"/>
              </w:rPr>
              <w:t xml:space="preserve">Himanshu (Sub-team Lead)</w:t>
            </w:r>
          </w:p>
        </w:tc>
      </w:tr>
      <w:tr>
        <w:tc>
          <w:tcPr>
            <w:tcW w:type="dxa" w:w="3000"/>
          </w:tcPr>
          <w:p>
            <w:pPr>
              <w:spacing w:after="0"/>
            </w:pPr>
            <w:r>
              <w:rPr>
                <w:b/>
                <w:bCs/>
                <w:sz w:val="22"/>
                <w:szCs w:val="22"/>
              </w:rPr>
              <w:t xml:space="preserve">Repository / branch</w:t>
            </w:r>
          </w:p>
        </w:tc>
        <w:tc>
          <w:tcPr>
            <w:tcW w:type="dxa" w:w="6360"/>
          </w:tcPr>
          <w:p>
            <w:pPr>
              <w:spacing w:after="0"/>
            </w:pPr>
            <w:r>
              <w:rPr>
                <w:b w:val="false"/>
                <w:bCs w:val="false"/>
                <w:sz w:val="22"/>
                <w:szCs w:val="22"/>
              </w:rPr>
              <w:t xml:space="preserve">Hardhat-Enterprises/Phoenix · dev</w:t>
            </w:r>
          </w:p>
        </w:tc>
      </w:tr>
      <w:tr>
        <w:tc>
          <w:tcPr>
            <w:tcW w:type="dxa" w:w="3000"/>
          </w:tcPr>
          <w:p>
            <w:pPr>
              <w:spacing w:after="0"/>
            </w:pPr>
            <w:r>
              <w:rPr>
                <w:b/>
                <w:bCs/>
                <w:sz w:val="22"/>
                <w:szCs w:val="22"/>
              </w:rPr>
              <w:t xml:space="preserve">Status</w:t>
            </w:r>
          </w:p>
        </w:tc>
        <w:tc>
          <w:tcPr>
            <w:tcW w:type="dxa" w:w="6360"/>
          </w:tcPr>
          <w:p>
            <w:pPr>
              <w:spacing w:after="0"/>
            </w:pPr>
            <w:r>
              <w:rPr>
                <w:b w:val="false"/>
                <w:bCs w:val="false"/>
                <w:sz w:val="22"/>
                <w:szCs w:val="22"/>
              </w:rPr>
              <w:t xml:space="preserve">Complete</w:t>
            </w:r>
          </w:p>
        </w:tc>
      </w:tr>
    </w:tbl>
    <w:p>
      <w:pPr>
        <w:pStyle w:val="Heading1"/>
        <w:spacing w:after="120" w:before="240"/>
      </w:pPr>
      <w:r>
        <w:t xml:space="preserve">1. Objective</w:t>
      </w:r>
    </w:p>
    <w:p>
      <w:pPr>
        <w:spacing w:after="120"/>
      </w:pPr>
      <w:r>
        <w:rPr>
          <w:b w:val="false"/>
          <w:bCs w:val="false"/>
          <w:i w:val="false"/>
          <w:iCs w:val="false"/>
          <w:sz w:val="22"/>
          <w:szCs w:val="22"/>
        </w:rPr>
        <w:t xml:space="preserve">Close out the Dependency &amp; Configuration stream for Sprint 1 by turning six weeks of raw findings into a single prioritised, remediation-ready set. Specifically: consolidate and finalise every dependency and configuration finding, assign final severities with OWASP/CWE mapping, write concrete remediation with exact fix paths (Remediation Plan C), and build the re-test checklist so the fixes can be independently verified next sprint. No new testing was performed this week other than verification of what had already been recorded.</w:t>
      </w:r>
    </w:p>
    <w:p>
      <w:pPr>
        <w:pStyle w:val="Heading1"/>
        <w:spacing w:after="120" w:before="240"/>
      </w:pPr>
      <w:r>
        <w:t xml:space="preserve">2. Inputs Consolidated</w:t>
      </w:r>
    </w:p>
    <w:p>
      <w:pPr>
        <w:spacing w:after="120"/>
      </w:pPr>
      <w:r>
        <w:rPr>
          <w:b w:val="false"/>
          <w:bCs w:val="false"/>
          <w:i w:val="false"/>
          <w:iCs w:val="false"/>
          <w:sz w:val="22"/>
          <w:szCs w:val="22"/>
        </w:rPr>
        <w:t xml:space="preserve">All findings below are carried from work already completed and evidenced in Weeks 1–6, not re-discovered this week:</w:t>
      </w:r>
    </w:p>
    <w:p>
      <w:pPr>
        <w:pStyle w:val="ListParagraph"/>
        <w:numPr>
          <w:ilvl w:val="0"/>
          <w:numId w:val="1"/>
        </w:numPr>
        <w:spacing w:after="80"/>
      </w:pPr>
      <w:r>
        <w:rPr>
          <w:sz w:val="22"/>
          <w:szCs w:val="22"/>
        </w:rPr>
        <w:t xml:space="preserve">Week 1 — environment build; two configuration bugs found (compose env-var syntax error; notification-service missing from Compose).</w:t>
      </w:r>
    </w:p>
    <w:p>
      <w:pPr>
        <w:pStyle w:val="ListParagraph"/>
        <w:numPr>
          <w:ilvl w:val="0"/>
          <w:numId w:val="1"/>
        </w:numPr>
        <w:spacing w:after="80"/>
      </w:pPr>
      <w:r>
        <w:rPr>
          <w:sz w:val="22"/>
          <w:szCs w:val="22"/>
        </w:rPr>
        <w:t xml:space="preserve">Week 2 — npm audit across five services (50 vulnerabilities); .env / docker-compose review (CFG-01 to CFG-06); B-06 closed with live log evidence.</w:t>
      </w:r>
    </w:p>
    <w:p>
      <w:pPr>
        <w:pStyle w:val="ListParagraph"/>
        <w:numPr>
          <w:ilvl w:val="0"/>
          <w:numId w:val="1"/>
        </w:numPr>
        <w:spacing w:after="80"/>
      </w:pPr>
      <w:r>
        <w:rPr>
          <w:sz w:val="22"/>
          <w:szCs w:val="22"/>
        </w:rPr>
        <w:t xml:space="preserve">Week 3 — finalised audit report; first-pass remediation draft, grouped by urgency.</w:t>
      </w:r>
    </w:p>
    <w:p>
      <w:pPr>
        <w:pStyle w:val="ListParagraph"/>
        <w:numPr>
          <w:ilvl w:val="0"/>
          <w:numId w:val="1"/>
        </w:numPr>
        <w:spacing w:after="80"/>
      </w:pPr>
      <w:r>
        <w:rPr>
          <w:sz w:val="22"/>
          <w:szCs w:val="22"/>
        </w:rPr>
        <w:t xml:space="preserve">Week 4 — dependency impact note proving the uuid/sequelize vulnerability is reachable from live authentication code.</w:t>
      </w:r>
    </w:p>
    <w:p>
      <w:pPr>
        <w:pStyle w:val="ListParagraph"/>
        <w:numPr>
          <w:ilvl w:val="0"/>
          <w:numId w:val="1"/>
        </w:numPr>
        <w:spacing w:after="80"/>
      </w:pPr>
      <w:r>
        <w:rPr>
          <w:sz w:val="22"/>
          <w:szCs w:val="22"/>
        </w:rPr>
        <w:t xml:space="preserve">Week 5 — auth config-hardening note: unrestricted CORS, no security headers fleet-wide, framework disclosure.</w:t>
      </w:r>
    </w:p>
    <w:p>
      <w:pPr>
        <w:pStyle w:val="ListParagraph"/>
        <w:numPr>
          <w:ilvl w:val="0"/>
          <w:numId w:val="1"/>
        </w:numPr>
        <w:spacing w:after="80"/>
      </w:pPr>
      <w:r>
        <w:rPr>
          <w:sz w:val="22"/>
          <w:szCs w:val="22"/>
        </w:rPr>
        <w:t xml:space="preserve">Week 6 — runtime confirmation of CFG-01, token-forgery proof, and the session-binding behaviour that currently blocks naive forgery.</w:t>
      </w:r>
    </w:p>
    <w:p>
      <w:pPr>
        <w:pStyle w:val="Heading1"/>
        <w:spacing w:after="120" w:before="240"/>
      </w:pPr>
      <w:r>
        <w:t xml:space="preserve">3. Consolidated Finding Register — Dependency &amp; Configuration Stream</w:t>
      </w:r>
    </w:p>
    <w:p>
      <w:pPr>
        <w:spacing w:after="120"/>
      </w:pPr>
      <w:r>
        <w:rPr>
          <w:b w:val="false"/>
          <w:bCs w:val="false"/>
          <w:i w:val="false"/>
          <w:iCs w:val="false"/>
          <w:sz w:val="22"/>
          <w:szCs w:val="22"/>
        </w:rPr>
        <w:t xml:space="preserve">Each finding carries a final severity agreed with the sub-team lead, a standards reference, and a remediation ID (R-nn) used in Section 4.</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960"/>
        <w:gridCol w:w="1400"/>
        <w:gridCol w:w="2100"/>
        <w:gridCol w:w="1800"/>
      </w:tblGrid>
      <w:tr>
        <w:tc>
          <w:tcPr>
            <w:tcW w:type="dxa" w:w="1100"/>
          </w:tcPr>
          <w:p>
            <w:pPr>
              <w:spacing w:after="0"/>
            </w:pPr>
            <w:r>
              <w:rPr>
                <w:b/>
                <w:bCs/>
                <w:sz w:val="22"/>
                <w:szCs w:val="22"/>
              </w:rPr>
              <w:t xml:space="preserve">ID</w:t>
            </w:r>
          </w:p>
        </w:tc>
        <w:tc>
          <w:tcPr>
            <w:tcW w:type="dxa" w:w="2960"/>
          </w:tcPr>
          <w:p>
            <w:pPr>
              <w:spacing w:after="0"/>
            </w:pPr>
            <w:r>
              <w:rPr>
                <w:b/>
                <w:bCs/>
                <w:sz w:val="22"/>
                <w:szCs w:val="22"/>
              </w:rPr>
              <w:t xml:space="preserve">Finding</w:t>
            </w:r>
          </w:p>
        </w:tc>
        <w:tc>
          <w:tcPr>
            <w:tcW w:type="dxa" w:w="1400"/>
          </w:tcPr>
          <w:p>
            <w:pPr>
              <w:spacing w:after="0"/>
            </w:pPr>
            <w:r>
              <w:rPr>
                <w:b/>
                <w:bCs/>
                <w:sz w:val="22"/>
                <w:szCs w:val="22"/>
              </w:rPr>
              <w:t xml:space="preserve">Severity</w:t>
            </w:r>
          </w:p>
        </w:tc>
        <w:tc>
          <w:tcPr>
            <w:tcW w:type="dxa" w:w="2100"/>
          </w:tcPr>
          <w:p>
            <w:pPr>
              <w:spacing w:after="0"/>
            </w:pPr>
            <w:r>
              <w:rPr>
                <w:b/>
                <w:bCs/>
                <w:sz w:val="22"/>
                <w:szCs w:val="22"/>
              </w:rPr>
              <w:t xml:space="preserve">Standard</w:t>
            </w:r>
          </w:p>
        </w:tc>
        <w:tc>
          <w:tcPr>
            <w:tcW w:type="dxa" w:w="1800"/>
          </w:tcPr>
          <w:p>
            <w:pPr>
              <w:spacing w:after="0"/>
            </w:pPr>
            <w:r>
              <w:rPr>
                <w:b/>
                <w:bCs/>
                <w:sz w:val="22"/>
                <w:szCs w:val="22"/>
              </w:rPr>
              <w:t xml:space="preserve">Remediation</w:t>
            </w:r>
          </w:p>
        </w:tc>
      </w:tr>
      <w:tr>
        <w:tc>
          <w:tcPr>
            <w:tcW w:type="dxa" w:w="1100"/>
          </w:tcPr>
          <w:p>
            <w:pPr>
              <w:spacing w:after="0"/>
            </w:pPr>
            <w:r>
              <w:rPr>
                <w:b w:val="false"/>
                <w:bCs w:val="false"/>
                <w:sz w:val="22"/>
                <w:szCs w:val="22"/>
              </w:rPr>
              <w:t xml:space="preserve">CFG-01</w:t>
            </w:r>
          </w:p>
        </w:tc>
        <w:tc>
          <w:tcPr>
            <w:tcW w:type="dxa" w:w="2960"/>
          </w:tcPr>
          <w:p>
            <w:pPr>
              <w:spacing w:after="0"/>
            </w:pPr>
            <w:r>
              <w:rPr>
                <w:b w:val="false"/>
                <w:bCs w:val="false"/>
                <w:sz w:val="22"/>
                <w:szCs w:val="22"/>
              </w:rPr>
              <w:t xml:space="preserve">Weak JWT access secret (AUTH_JWT_SECRET=secret123); confirmed live inside the running api-gateway process (Week 6)</w:t>
            </w:r>
          </w:p>
        </w:tc>
        <w:tc>
          <w:tcPr>
            <w:tcW w:type="dxa" w:w="1400"/>
          </w:tcPr>
          <w:p>
            <w:pPr>
              <w:spacing w:after="0"/>
            </w:pPr>
            <w:r>
              <w:rPr>
                <w:b w:val="false"/>
                <w:bCs w:val="false"/>
                <w:sz w:val="22"/>
                <w:szCs w:val="22"/>
              </w:rPr>
              <w:t xml:space="preserve">Critical</w:t>
            </w:r>
          </w:p>
        </w:tc>
        <w:tc>
          <w:tcPr>
            <w:tcW w:type="dxa" w:w="2100"/>
          </w:tcPr>
          <w:p>
            <w:pPr>
              <w:spacing w:after="0"/>
            </w:pPr>
            <w:r>
              <w:rPr>
                <w:b w:val="false"/>
                <w:bCs w:val="false"/>
                <w:sz w:val="22"/>
                <w:szCs w:val="22"/>
              </w:rPr>
              <w:t xml:space="preserve">OWASP A02:2021 · CWE-798</w:t>
            </w:r>
          </w:p>
        </w:tc>
        <w:tc>
          <w:tcPr>
            <w:tcW w:type="dxa" w:w="1800"/>
          </w:tcPr>
          <w:p>
            <w:pPr>
              <w:spacing w:after="0"/>
            </w:pPr>
            <w:r>
              <w:rPr>
                <w:b w:val="false"/>
                <w:bCs w:val="false"/>
                <w:sz w:val="22"/>
                <w:szCs w:val="22"/>
              </w:rPr>
              <w:t xml:space="preserve">R-01</w:t>
            </w:r>
          </w:p>
        </w:tc>
      </w:tr>
      <w:tr>
        <w:tc>
          <w:tcPr>
            <w:tcW w:type="dxa" w:w="1100"/>
          </w:tcPr>
          <w:p>
            <w:pPr>
              <w:spacing w:after="0"/>
            </w:pPr>
            <w:r>
              <w:rPr>
                <w:b w:val="false"/>
                <w:bCs w:val="false"/>
                <w:sz w:val="22"/>
                <w:szCs w:val="22"/>
              </w:rPr>
              <w:t xml:space="preserve">CFG-02</w:t>
            </w:r>
          </w:p>
        </w:tc>
        <w:tc>
          <w:tcPr>
            <w:tcW w:type="dxa" w:w="2960"/>
          </w:tcPr>
          <w:p>
            <w:pPr>
              <w:spacing w:after="0"/>
            </w:pPr>
            <w:r>
              <w:rPr>
                <w:b w:val="false"/>
                <w:bCs w:val="false"/>
                <w:sz w:val="22"/>
                <w:szCs w:val="22"/>
              </w:rPr>
              <w:t xml:space="preserve">Weak JWT refresh secret (AUTH_JWT_REFRESH_SECRET=refreshsecret123)</w:t>
            </w:r>
          </w:p>
        </w:tc>
        <w:tc>
          <w:tcPr>
            <w:tcW w:type="dxa" w:w="1400"/>
          </w:tcPr>
          <w:p>
            <w:pPr>
              <w:spacing w:after="0"/>
            </w:pPr>
            <w:r>
              <w:rPr>
                <w:b w:val="false"/>
                <w:bCs w:val="false"/>
                <w:sz w:val="22"/>
                <w:szCs w:val="22"/>
              </w:rPr>
              <w:t xml:space="preserve">Critical</w:t>
            </w:r>
          </w:p>
        </w:tc>
        <w:tc>
          <w:tcPr>
            <w:tcW w:type="dxa" w:w="2100"/>
          </w:tcPr>
          <w:p>
            <w:pPr>
              <w:spacing w:after="0"/>
            </w:pPr>
            <w:r>
              <w:rPr>
                <w:b w:val="false"/>
                <w:bCs w:val="false"/>
                <w:sz w:val="22"/>
                <w:szCs w:val="22"/>
              </w:rPr>
              <w:t xml:space="preserve">OWASP A02:2021 · CWE-798</w:t>
            </w:r>
          </w:p>
        </w:tc>
        <w:tc>
          <w:tcPr>
            <w:tcW w:type="dxa" w:w="1800"/>
          </w:tcPr>
          <w:p>
            <w:pPr>
              <w:spacing w:after="0"/>
            </w:pPr>
            <w:r>
              <w:rPr>
                <w:b w:val="false"/>
                <w:bCs w:val="false"/>
                <w:sz w:val="22"/>
                <w:szCs w:val="22"/>
              </w:rPr>
              <w:t xml:space="preserve">R-01</w:t>
            </w:r>
          </w:p>
        </w:tc>
      </w:tr>
      <w:tr>
        <w:tc>
          <w:tcPr>
            <w:tcW w:type="dxa" w:w="1100"/>
          </w:tcPr>
          <w:p>
            <w:pPr>
              <w:spacing w:after="0"/>
            </w:pPr>
            <w:r>
              <w:rPr>
                <w:b w:val="false"/>
                <w:bCs w:val="false"/>
                <w:sz w:val="22"/>
                <w:szCs w:val="22"/>
              </w:rPr>
              <w:t xml:space="preserve">CFG-03</w:t>
            </w:r>
          </w:p>
        </w:tc>
        <w:tc>
          <w:tcPr>
            <w:tcW w:type="dxa" w:w="2960"/>
          </w:tcPr>
          <w:p>
            <w:pPr>
              <w:spacing w:after="0"/>
            </w:pPr>
            <w:r>
              <w:rPr>
                <w:b w:val="false"/>
                <w:bCs w:val="false"/>
                <w:sz w:val="22"/>
                <w:szCs w:val="22"/>
              </w:rPr>
              <w:t xml:space="preserve">Weak service passwords for RabbitMQ and PostgreSQL (phoenix_123, phoenix_pass@123)</w:t>
            </w:r>
          </w:p>
        </w:tc>
        <w:tc>
          <w:tcPr>
            <w:tcW w:type="dxa" w:w="1400"/>
          </w:tcPr>
          <w:p>
            <w:pPr>
              <w:spacing w:after="0"/>
            </w:pPr>
            <w:r>
              <w:rPr>
                <w:b w:val="false"/>
                <w:bCs w:val="false"/>
                <w:sz w:val="22"/>
                <w:szCs w:val="22"/>
              </w:rPr>
              <w:t xml:space="preserve">High</w:t>
            </w:r>
          </w:p>
        </w:tc>
        <w:tc>
          <w:tcPr>
            <w:tcW w:type="dxa" w:w="2100"/>
          </w:tcPr>
          <w:p>
            <w:pPr>
              <w:spacing w:after="0"/>
            </w:pPr>
            <w:r>
              <w:rPr>
                <w:b w:val="false"/>
                <w:bCs w:val="false"/>
                <w:sz w:val="22"/>
                <w:szCs w:val="22"/>
              </w:rPr>
              <w:t xml:space="preserve">OWASP A07:2021 · CWE-521</w:t>
            </w:r>
          </w:p>
        </w:tc>
        <w:tc>
          <w:tcPr>
            <w:tcW w:type="dxa" w:w="1800"/>
          </w:tcPr>
          <w:p>
            <w:pPr>
              <w:spacing w:after="0"/>
            </w:pPr>
            <w:r>
              <w:rPr>
                <w:b w:val="false"/>
                <w:bCs w:val="false"/>
                <w:sz w:val="22"/>
                <w:szCs w:val="22"/>
              </w:rPr>
              <w:t xml:space="preserve">R-02</w:t>
            </w:r>
          </w:p>
        </w:tc>
      </w:tr>
      <w:tr>
        <w:tc>
          <w:tcPr>
            <w:tcW w:type="dxa" w:w="1100"/>
          </w:tcPr>
          <w:p>
            <w:pPr>
              <w:spacing w:after="0"/>
            </w:pPr>
            <w:r>
              <w:rPr>
                <w:b w:val="false"/>
                <w:bCs w:val="false"/>
                <w:sz w:val="22"/>
                <w:szCs w:val="22"/>
              </w:rPr>
              <w:t xml:space="preserve">CFG-04</w:t>
            </w:r>
          </w:p>
        </w:tc>
        <w:tc>
          <w:tcPr>
            <w:tcW w:type="dxa" w:w="2960"/>
          </w:tcPr>
          <w:p>
            <w:pPr>
              <w:spacing w:after="0"/>
            </w:pPr>
            <w:r>
              <w:rPr>
                <w:b w:val="false"/>
                <w:bCs w:val="false"/>
                <w:sz w:val="22"/>
                <w:szCs w:val="22"/>
              </w:rPr>
              <w:t xml:space="preserve">Live Supabase database credentials distributed in a plaintext .env</w:t>
            </w:r>
          </w:p>
        </w:tc>
        <w:tc>
          <w:tcPr>
            <w:tcW w:type="dxa" w:w="1400"/>
          </w:tcPr>
          <w:p>
            <w:pPr>
              <w:spacing w:after="0"/>
            </w:pPr>
            <w:r>
              <w:rPr>
                <w:b w:val="false"/>
                <w:bCs w:val="false"/>
                <w:sz w:val="22"/>
                <w:szCs w:val="22"/>
              </w:rPr>
              <w:t xml:space="preserve">High</w:t>
            </w:r>
          </w:p>
        </w:tc>
        <w:tc>
          <w:tcPr>
            <w:tcW w:type="dxa" w:w="2100"/>
          </w:tcPr>
          <w:p>
            <w:pPr>
              <w:spacing w:after="0"/>
            </w:pPr>
            <w:r>
              <w:rPr>
                <w:b w:val="false"/>
                <w:bCs w:val="false"/>
                <w:sz w:val="22"/>
                <w:szCs w:val="22"/>
              </w:rPr>
              <w:t xml:space="preserve">OWASP A05:2021 · CWE-522</w:t>
            </w:r>
          </w:p>
        </w:tc>
        <w:tc>
          <w:tcPr>
            <w:tcW w:type="dxa" w:w="1800"/>
          </w:tcPr>
          <w:p>
            <w:pPr>
              <w:spacing w:after="0"/>
            </w:pPr>
            <w:r>
              <w:rPr>
                <w:b w:val="false"/>
                <w:bCs w:val="false"/>
                <w:sz w:val="22"/>
                <w:szCs w:val="22"/>
              </w:rPr>
              <w:t xml:space="preserve">R-02</w:t>
            </w:r>
          </w:p>
        </w:tc>
      </w:tr>
      <w:tr>
        <w:tc>
          <w:tcPr>
            <w:tcW w:type="dxa" w:w="1100"/>
          </w:tcPr>
          <w:p>
            <w:pPr>
              <w:spacing w:after="0"/>
            </w:pPr>
            <w:r>
              <w:rPr>
                <w:b w:val="false"/>
                <w:bCs w:val="false"/>
                <w:sz w:val="22"/>
                <w:szCs w:val="22"/>
              </w:rPr>
              <w:t xml:space="preserve">CFG-05</w:t>
            </w:r>
          </w:p>
        </w:tc>
        <w:tc>
          <w:tcPr>
            <w:tcW w:type="dxa" w:w="2960"/>
          </w:tcPr>
          <w:p>
            <w:pPr>
              <w:spacing w:after="0"/>
            </w:pPr>
            <w:r>
              <w:rPr>
                <w:b w:val="false"/>
                <w:bCs w:val="false"/>
                <w:sz w:val="22"/>
                <w:szCs w:val="22"/>
              </w:rPr>
              <w:t xml:space="preserve">NODE_ENV inconsistency: root .env sets development, backend/docker-compose.yaml hardcodes production for api-gateway</w:t>
            </w:r>
          </w:p>
        </w:tc>
        <w:tc>
          <w:tcPr>
            <w:tcW w:type="dxa" w:w="1400"/>
          </w:tcPr>
          <w:p>
            <w:pPr>
              <w:spacing w:after="0"/>
            </w:pPr>
            <w:r>
              <w:rPr>
                <w:b w:val="false"/>
                <w:bCs w:val="false"/>
                <w:sz w:val="22"/>
                <w:szCs w:val="22"/>
              </w:rPr>
              <w:t xml:space="preserve">Medium</w:t>
            </w:r>
          </w:p>
        </w:tc>
        <w:tc>
          <w:tcPr>
            <w:tcW w:type="dxa" w:w="2100"/>
          </w:tcPr>
          <w:p>
            <w:pPr>
              <w:spacing w:after="0"/>
            </w:pPr>
            <w:r>
              <w:rPr>
                <w:b w:val="false"/>
                <w:bCs w:val="false"/>
                <w:sz w:val="22"/>
                <w:szCs w:val="22"/>
              </w:rPr>
              <w:t xml:space="preserve">OWASP A05:2021 · CWE-1188</w:t>
            </w:r>
          </w:p>
        </w:tc>
        <w:tc>
          <w:tcPr>
            <w:tcW w:type="dxa" w:w="1800"/>
          </w:tcPr>
          <w:p>
            <w:pPr>
              <w:spacing w:after="0"/>
            </w:pPr>
            <w:r>
              <w:rPr>
                <w:b w:val="false"/>
                <w:bCs w:val="false"/>
                <w:sz w:val="22"/>
                <w:szCs w:val="22"/>
              </w:rPr>
              <w:t xml:space="preserve">R-05</w:t>
            </w:r>
          </w:p>
        </w:tc>
      </w:tr>
      <w:tr>
        <w:tc>
          <w:tcPr>
            <w:tcW w:type="dxa" w:w="1100"/>
          </w:tcPr>
          <w:p>
            <w:pPr>
              <w:spacing w:after="0"/>
            </w:pPr>
            <w:r>
              <w:rPr>
                <w:b w:val="false"/>
                <w:bCs w:val="false"/>
                <w:sz w:val="22"/>
                <w:szCs w:val="22"/>
              </w:rPr>
              <w:t xml:space="preserve">CFG-06</w:t>
            </w:r>
          </w:p>
        </w:tc>
        <w:tc>
          <w:tcPr>
            <w:tcW w:type="dxa" w:w="2960"/>
          </w:tcPr>
          <w:p>
            <w:pPr>
              <w:spacing w:after="0"/>
            </w:pPr>
            <w:r>
              <w:rPr>
                <w:b w:val="false"/>
                <w:bCs w:val="false"/>
                <w:sz w:val="22"/>
                <w:szCs w:val="22"/>
              </w:rPr>
              <w:t xml:space="preserve">Hard-coded credentials committed in docker-compose files (POSTGRES_USER / POSTGRES_PASSWORD)</w:t>
            </w:r>
          </w:p>
        </w:tc>
        <w:tc>
          <w:tcPr>
            <w:tcW w:type="dxa" w:w="1400"/>
          </w:tcPr>
          <w:p>
            <w:pPr>
              <w:spacing w:after="0"/>
            </w:pPr>
            <w:r>
              <w:rPr>
                <w:b w:val="false"/>
                <w:bCs w:val="false"/>
                <w:sz w:val="22"/>
                <w:szCs w:val="22"/>
              </w:rPr>
              <w:t xml:space="preserve">Medium</w:t>
            </w:r>
          </w:p>
        </w:tc>
        <w:tc>
          <w:tcPr>
            <w:tcW w:type="dxa" w:w="2100"/>
          </w:tcPr>
          <w:p>
            <w:pPr>
              <w:spacing w:after="0"/>
            </w:pPr>
            <w:r>
              <w:rPr>
                <w:b w:val="false"/>
                <w:bCs w:val="false"/>
                <w:sz w:val="22"/>
                <w:szCs w:val="22"/>
              </w:rPr>
              <w:t xml:space="preserve">OWASP A05:2021 · CWE-798</w:t>
            </w:r>
          </w:p>
        </w:tc>
        <w:tc>
          <w:tcPr>
            <w:tcW w:type="dxa" w:w="1800"/>
          </w:tcPr>
          <w:p>
            <w:pPr>
              <w:spacing w:after="0"/>
            </w:pPr>
            <w:r>
              <w:rPr>
                <w:b w:val="false"/>
                <w:bCs w:val="false"/>
                <w:sz w:val="22"/>
                <w:szCs w:val="22"/>
              </w:rPr>
              <w:t xml:space="preserve">R-02</w:t>
            </w:r>
          </w:p>
        </w:tc>
      </w:tr>
      <w:tr>
        <w:tc>
          <w:tcPr>
            <w:tcW w:type="dxa" w:w="1100"/>
          </w:tcPr>
          <w:p>
            <w:pPr>
              <w:spacing w:after="0"/>
            </w:pPr>
            <w:r>
              <w:rPr>
                <w:b w:val="false"/>
                <w:bCs w:val="false"/>
                <w:sz w:val="22"/>
                <w:szCs w:val="22"/>
              </w:rPr>
              <w:t xml:space="preserve">CFG-07</w:t>
            </w:r>
          </w:p>
        </w:tc>
        <w:tc>
          <w:tcPr>
            <w:tcW w:type="dxa" w:w="2960"/>
          </w:tcPr>
          <w:p>
            <w:pPr>
              <w:spacing w:after="0"/>
            </w:pPr>
            <w:r>
              <w:rPr>
                <w:b w:val="false"/>
                <w:bCs w:val="false"/>
                <w:sz w:val="22"/>
                <w:szCs w:val="22"/>
              </w:rPr>
              <w:t xml:space="preserve">Unrestricted CORS at the API Gateway — cors() called with no options; Access-Control-Allow-Origin: * confirmed live</w:t>
            </w:r>
          </w:p>
        </w:tc>
        <w:tc>
          <w:tcPr>
            <w:tcW w:type="dxa" w:w="1400"/>
          </w:tcPr>
          <w:p>
            <w:pPr>
              <w:spacing w:after="0"/>
            </w:pPr>
            <w:r>
              <w:rPr>
                <w:b w:val="false"/>
                <w:bCs w:val="false"/>
                <w:sz w:val="22"/>
                <w:szCs w:val="22"/>
              </w:rPr>
              <w:t xml:space="preserve">Medium-High</w:t>
            </w:r>
          </w:p>
        </w:tc>
        <w:tc>
          <w:tcPr>
            <w:tcW w:type="dxa" w:w="2100"/>
          </w:tcPr>
          <w:p>
            <w:pPr>
              <w:spacing w:after="0"/>
            </w:pPr>
            <w:r>
              <w:rPr>
                <w:b w:val="false"/>
                <w:bCs w:val="false"/>
                <w:sz w:val="22"/>
                <w:szCs w:val="22"/>
              </w:rPr>
              <w:t xml:space="preserve">OWASP A05:2021 · CWE-942</w:t>
            </w:r>
          </w:p>
        </w:tc>
        <w:tc>
          <w:tcPr>
            <w:tcW w:type="dxa" w:w="1800"/>
          </w:tcPr>
          <w:p>
            <w:pPr>
              <w:spacing w:after="0"/>
            </w:pPr>
            <w:r>
              <w:rPr>
                <w:b w:val="false"/>
                <w:bCs w:val="false"/>
                <w:sz w:val="22"/>
                <w:szCs w:val="22"/>
              </w:rPr>
              <w:t xml:space="preserve">R-06</w:t>
            </w:r>
          </w:p>
        </w:tc>
      </w:tr>
      <w:tr>
        <w:tc>
          <w:tcPr>
            <w:tcW w:type="dxa" w:w="1100"/>
          </w:tcPr>
          <w:p>
            <w:pPr>
              <w:spacing w:after="0"/>
            </w:pPr>
            <w:r>
              <w:rPr>
                <w:b w:val="false"/>
                <w:bCs w:val="false"/>
                <w:sz w:val="22"/>
                <w:szCs w:val="22"/>
              </w:rPr>
              <w:t xml:space="preserve">CFG-08</w:t>
            </w:r>
          </w:p>
        </w:tc>
        <w:tc>
          <w:tcPr>
            <w:tcW w:type="dxa" w:w="2960"/>
          </w:tcPr>
          <w:p>
            <w:pPr>
              <w:spacing w:after="0"/>
            </w:pPr>
            <w:r>
              <w:rPr>
                <w:b w:val="false"/>
                <w:bCs w:val="false"/>
                <w:sz w:val="22"/>
                <w:szCs w:val="22"/>
              </w:rPr>
              <w:t xml:space="preserve">No HTTP security headers on any service (helmet absent fleet-wide); X-Powered-By: Express leaks the framework</w:t>
            </w:r>
          </w:p>
        </w:tc>
        <w:tc>
          <w:tcPr>
            <w:tcW w:type="dxa" w:w="1400"/>
          </w:tcPr>
          <w:p>
            <w:pPr>
              <w:spacing w:after="0"/>
            </w:pPr>
            <w:r>
              <w:rPr>
                <w:b w:val="false"/>
                <w:bCs w:val="false"/>
                <w:sz w:val="22"/>
                <w:szCs w:val="22"/>
              </w:rPr>
              <w:t xml:space="preserve">Low-Medium</w:t>
            </w:r>
          </w:p>
        </w:tc>
        <w:tc>
          <w:tcPr>
            <w:tcW w:type="dxa" w:w="2100"/>
          </w:tcPr>
          <w:p>
            <w:pPr>
              <w:spacing w:after="0"/>
            </w:pPr>
            <w:r>
              <w:rPr>
                <w:b w:val="false"/>
                <w:bCs w:val="false"/>
                <w:sz w:val="22"/>
                <w:szCs w:val="22"/>
              </w:rPr>
              <w:t xml:space="preserve">OWASP A05:2021 · CWE-693</w:t>
            </w:r>
          </w:p>
        </w:tc>
        <w:tc>
          <w:tcPr>
            <w:tcW w:type="dxa" w:w="1800"/>
          </w:tcPr>
          <w:p>
            <w:pPr>
              <w:spacing w:after="0"/>
            </w:pPr>
            <w:r>
              <w:rPr>
                <w:b w:val="false"/>
                <w:bCs w:val="false"/>
                <w:sz w:val="22"/>
                <w:szCs w:val="22"/>
              </w:rPr>
              <w:t xml:space="preserve">R-07</w:t>
            </w:r>
          </w:p>
        </w:tc>
      </w:tr>
      <w:tr>
        <w:tc>
          <w:tcPr>
            <w:tcW w:type="dxa" w:w="1100"/>
          </w:tcPr>
          <w:p>
            <w:pPr>
              <w:spacing w:after="0"/>
            </w:pPr>
            <w:r>
              <w:rPr>
                <w:b w:val="false"/>
                <w:bCs w:val="false"/>
                <w:sz w:val="22"/>
                <w:szCs w:val="22"/>
              </w:rPr>
              <w:t xml:space="preserve">DEP-01</w:t>
            </w:r>
          </w:p>
        </w:tc>
        <w:tc>
          <w:tcPr>
            <w:tcW w:type="dxa" w:w="2960"/>
          </w:tcPr>
          <w:p>
            <w:pPr>
              <w:spacing w:after="0"/>
            </w:pPr>
            <w:r>
              <w:rPr>
                <w:b w:val="false"/>
                <w:bCs w:val="false"/>
                <w:sz w:val="22"/>
                <w:szCs w:val="22"/>
              </w:rPr>
              <w:t xml:space="preserve">2 critical npm vulnerabilities in alertmobile (shell-quote, tar)</w:t>
            </w:r>
          </w:p>
        </w:tc>
        <w:tc>
          <w:tcPr>
            <w:tcW w:type="dxa" w:w="1400"/>
          </w:tcPr>
          <w:p>
            <w:pPr>
              <w:spacing w:after="0"/>
            </w:pPr>
            <w:r>
              <w:rPr>
                <w:b w:val="false"/>
                <w:bCs w:val="false"/>
                <w:sz w:val="22"/>
                <w:szCs w:val="22"/>
              </w:rPr>
              <w:t xml:space="preserve">Critical</w:t>
            </w:r>
          </w:p>
        </w:tc>
        <w:tc>
          <w:tcPr>
            <w:tcW w:type="dxa" w:w="2100"/>
          </w:tcPr>
          <w:p>
            <w:pPr>
              <w:spacing w:after="0"/>
            </w:pPr>
            <w:r>
              <w:rPr>
                <w:b w:val="false"/>
                <w:bCs w:val="false"/>
                <w:sz w:val="22"/>
                <w:szCs w:val="22"/>
              </w:rPr>
              <w:t xml:space="preserve">OWASP A06:2021 · CWE-1035</w:t>
            </w:r>
          </w:p>
        </w:tc>
        <w:tc>
          <w:tcPr>
            <w:tcW w:type="dxa" w:w="1800"/>
          </w:tcPr>
          <w:p>
            <w:pPr>
              <w:spacing w:after="0"/>
            </w:pPr>
            <w:r>
              <w:rPr>
                <w:b w:val="false"/>
                <w:bCs w:val="false"/>
                <w:sz w:val="22"/>
                <w:szCs w:val="22"/>
              </w:rPr>
              <w:t xml:space="preserve">R-03</w:t>
            </w:r>
          </w:p>
        </w:tc>
      </w:tr>
      <w:tr>
        <w:tc>
          <w:tcPr>
            <w:tcW w:type="dxa" w:w="1100"/>
          </w:tcPr>
          <w:p>
            <w:pPr>
              <w:spacing w:after="0"/>
            </w:pPr>
            <w:r>
              <w:rPr>
                <w:b w:val="false"/>
                <w:bCs w:val="false"/>
                <w:sz w:val="22"/>
                <w:szCs w:val="22"/>
              </w:rPr>
              <w:t xml:space="preserve">DEP-02</w:t>
            </w:r>
          </w:p>
        </w:tc>
        <w:tc>
          <w:tcPr>
            <w:tcW w:type="dxa" w:w="2960"/>
          </w:tcPr>
          <w:p>
            <w:pPr>
              <w:spacing w:after="0"/>
            </w:pPr>
            <w:r>
              <w:rPr>
                <w:b w:val="false"/>
                <w:bCs w:val="false"/>
                <w:sz w:val="22"/>
                <w:szCs w:val="22"/>
              </w:rPr>
              <w:t xml:space="preserve">uuid@8.3.2 pulled in transitively via sequelize@6.37.8 — proven reachable from the UserAccount auth model and user.service.ts (Week 4)</w:t>
            </w:r>
          </w:p>
        </w:tc>
        <w:tc>
          <w:tcPr>
            <w:tcW w:type="dxa" w:w="1400"/>
          </w:tcPr>
          <w:p>
            <w:pPr>
              <w:spacing w:after="0"/>
            </w:pPr>
            <w:r>
              <w:rPr>
                <w:b w:val="false"/>
                <w:bCs w:val="false"/>
                <w:sz w:val="22"/>
                <w:szCs w:val="22"/>
              </w:rPr>
              <w:t xml:space="preserve">High</w:t>
            </w:r>
          </w:p>
        </w:tc>
        <w:tc>
          <w:tcPr>
            <w:tcW w:type="dxa" w:w="2100"/>
          </w:tcPr>
          <w:p>
            <w:pPr>
              <w:spacing w:after="0"/>
            </w:pPr>
            <w:r>
              <w:rPr>
                <w:b w:val="false"/>
                <w:bCs w:val="false"/>
                <w:sz w:val="22"/>
                <w:szCs w:val="22"/>
              </w:rPr>
              <w:t xml:space="preserve">OWASP A06:2021 · CWE-1104</w:t>
            </w:r>
          </w:p>
        </w:tc>
        <w:tc>
          <w:tcPr>
            <w:tcW w:type="dxa" w:w="1800"/>
          </w:tcPr>
          <w:p>
            <w:pPr>
              <w:spacing w:after="0"/>
            </w:pPr>
            <w:r>
              <w:rPr>
                <w:b w:val="false"/>
                <w:bCs w:val="false"/>
                <w:sz w:val="22"/>
                <w:szCs w:val="22"/>
              </w:rPr>
              <w:t xml:space="preserve">R-04</w:t>
            </w:r>
          </w:p>
        </w:tc>
      </w:tr>
      <w:tr>
        <w:tc>
          <w:tcPr>
            <w:tcW w:type="dxa" w:w="1100"/>
          </w:tcPr>
          <w:p>
            <w:pPr>
              <w:spacing w:after="0"/>
            </w:pPr>
            <w:r>
              <w:rPr>
                <w:b w:val="false"/>
                <w:bCs w:val="false"/>
                <w:sz w:val="22"/>
                <w:szCs w:val="22"/>
              </w:rPr>
              <w:t xml:space="preserve">DEP-03</w:t>
            </w:r>
          </w:p>
        </w:tc>
        <w:tc>
          <w:tcPr>
            <w:tcW w:type="dxa" w:w="2960"/>
          </w:tcPr>
          <w:p>
            <w:pPr>
              <w:spacing w:after="0"/>
            </w:pPr>
            <w:r>
              <w:rPr>
                <w:b w:val="false"/>
                <w:bCs w:val="false"/>
                <w:sz w:val="22"/>
                <w:szCs w:val="22"/>
              </w:rPr>
              <w:t xml:space="preserve">Remaining 48 npm vulnerabilities across backend, mobilebackend, alertmobile, frontend and frontend/Frontend (4 low, 23 moderate, 21 high)</w:t>
            </w:r>
          </w:p>
        </w:tc>
        <w:tc>
          <w:tcPr>
            <w:tcW w:type="dxa" w:w="1400"/>
          </w:tcPr>
          <w:p>
            <w:pPr>
              <w:spacing w:after="0"/>
            </w:pPr>
            <w:r>
              <w:rPr>
                <w:b w:val="false"/>
                <w:bCs w:val="false"/>
                <w:sz w:val="22"/>
                <w:szCs w:val="22"/>
              </w:rPr>
              <w:t xml:space="preserve">High</w:t>
            </w:r>
          </w:p>
        </w:tc>
        <w:tc>
          <w:tcPr>
            <w:tcW w:type="dxa" w:w="2100"/>
          </w:tcPr>
          <w:p>
            <w:pPr>
              <w:spacing w:after="0"/>
            </w:pPr>
            <w:r>
              <w:rPr>
                <w:b w:val="false"/>
                <w:bCs w:val="false"/>
                <w:sz w:val="22"/>
                <w:szCs w:val="22"/>
              </w:rPr>
              <w:t xml:space="preserve">OWASP A06:2021 · CWE-1035</w:t>
            </w:r>
          </w:p>
        </w:tc>
        <w:tc>
          <w:tcPr>
            <w:tcW w:type="dxa" w:w="1800"/>
          </w:tcPr>
          <w:p>
            <w:pPr>
              <w:spacing w:after="0"/>
            </w:pPr>
            <w:r>
              <w:rPr>
                <w:b w:val="false"/>
                <w:bCs w:val="false"/>
                <w:sz w:val="22"/>
                <w:szCs w:val="22"/>
              </w:rPr>
              <w:t xml:space="preserve">R-03</w:t>
            </w:r>
          </w:p>
        </w:tc>
      </w:tr>
      <w:tr>
        <w:tc>
          <w:tcPr>
            <w:tcW w:type="dxa" w:w="1100"/>
          </w:tcPr>
          <w:p>
            <w:pPr>
              <w:spacing w:after="0"/>
            </w:pPr>
            <w:r>
              <w:rPr>
                <w:b w:val="false"/>
                <w:bCs w:val="false"/>
                <w:sz w:val="22"/>
                <w:szCs w:val="22"/>
              </w:rPr>
              <w:t xml:space="preserve">B-06</w:t>
            </w:r>
          </w:p>
        </w:tc>
        <w:tc>
          <w:tcPr>
            <w:tcW w:type="dxa" w:w="2960"/>
          </w:tcPr>
          <w:p>
            <w:pPr>
              <w:spacing w:after="0"/>
            </w:pPr>
            <w:r>
              <w:rPr>
                <w:b w:val="false"/>
                <w:bCs w:val="false"/>
                <w:sz w:val="22"/>
                <w:szCs w:val="22"/>
              </w:rPr>
              <w:t xml:space="preserve">RabbitMQ username and password printed in plaintext to data-ingestion-service startup logs</w:t>
            </w:r>
          </w:p>
        </w:tc>
        <w:tc>
          <w:tcPr>
            <w:tcW w:type="dxa" w:w="1400"/>
          </w:tcPr>
          <w:p>
            <w:pPr>
              <w:spacing w:after="0"/>
            </w:pPr>
            <w:r>
              <w:rPr>
                <w:b w:val="false"/>
                <w:bCs w:val="false"/>
                <w:sz w:val="22"/>
                <w:szCs w:val="22"/>
              </w:rPr>
              <w:t xml:space="preserve">High</w:t>
            </w:r>
          </w:p>
        </w:tc>
        <w:tc>
          <w:tcPr>
            <w:tcW w:type="dxa" w:w="2100"/>
          </w:tcPr>
          <w:p>
            <w:pPr>
              <w:spacing w:after="0"/>
            </w:pPr>
            <w:r>
              <w:rPr>
                <w:b w:val="false"/>
                <w:bCs w:val="false"/>
                <w:sz w:val="22"/>
                <w:szCs w:val="22"/>
              </w:rPr>
              <w:t xml:space="preserve">OWASP A09:2021 · CWE-532</w:t>
            </w:r>
          </w:p>
        </w:tc>
        <w:tc>
          <w:tcPr>
            <w:tcW w:type="dxa" w:w="1800"/>
          </w:tcPr>
          <w:p>
            <w:pPr>
              <w:spacing w:after="0"/>
            </w:pPr>
            <w:r>
              <w:rPr>
                <w:b w:val="false"/>
                <w:bCs w:val="false"/>
                <w:sz w:val="22"/>
                <w:szCs w:val="22"/>
              </w:rPr>
              <w:t xml:space="preserve">R-08</w:t>
            </w:r>
          </w:p>
        </w:tc>
      </w:tr>
    </w:tbl>
    <w:p>
      <w:pPr>
        <w:spacing w:after="160"/>
      </w:pPr>
      <w:r>
        <w:rPr>
          <w:b w:val="false"/>
          <w:bCs w:val="false"/>
          <w:i w:val="false"/>
          <w:iCs w:val="false"/>
          <w:sz w:val="22"/>
          <w:szCs w:val="22"/>
        </w:rPr>
        <w:t xml:space="preserve">Severity change from baseline: B-06 was carried from Part A at Medium. It is raised to High for the final register because the Week 2 evidence shows live service credentials, not obfuscated values, written to container logs readable by any process, person, or log aggregator with container access.</w:t>
      </w:r>
    </w:p>
    <w:p>
      <w:pPr>
        <w:pStyle w:val="Heading2"/>
        <w:spacing w:after="100" w:before="200"/>
      </w:pPr>
      <w:r>
        <w:t xml:space="preserve">3.1 Non-security observations (tracked, not findings)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4900"/>
        <w:gridCol w:w="3360"/>
      </w:tblGrid>
      <w:tr>
        <w:tc>
          <w:tcPr>
            <w:tcW w:type="dxa" w:w="1100"/>
          </w:tcPr>
          <w:p>
            <w:pPr>
              <w:spacing w:after="0"/>
            </w:pPr>
            <w:r>
              <w:rPr>
                <w:b/>
                <w:bCs/>
                <w:sz w:val="22"/>
                <w:szCs w:val="22"/>
              </w:rPr>
              <w:t xml:space="preserve">ID</w:t>
            </w:r>
          </w:p>
        </w:tc>
        <w:tc>
          <w:tcPr>
            <w:tcW w:type="dxa" w:w="4900"/>
          </w:tcPr>
          <w:p>
            <w:pPr>
              <w:spacing w:after="0"/>
            </w:pPr>
            <w:r>
              <w:rPr>
                <w:b/>
                <w:bCs/>
                <w:sz w:val="22"/>
                <w:szCs w:val="22"/>
              </w:rPr>
              <w:t xml:space="preserve">Observation</w:t>
            </w:r>
          </w:p>
        </w:tc>
        <w:tc>
          <w:tcPr>
            <w:tcW w:type="dxa" w:w="3360"/>
          </w:tcPr>
          <w:p>
            <w:pPr>
              <w:spacing w:after="0"/>
            </w:pPr>
            <w:r>
              <w:rPr>
                <w:b/>
                <w:bCs/>
                <w:sz w:val="22"/>
                <w:szCs w:val="22"/>
              </w:rPr>
              <w:t xml:space="preserve">Disposition</w:t>
            </w:r>
          </w:p>
        </w:tc>
      </w:tr>
      <w:tr>
        <w:tc>
          <w:tcPr>
            <w:tcW w:type="dxa" w:w="1100"/>
          </w:tcPr>
          <w:p>
            <w:pPr>
              <w:spacing w:after="0"/>
            </w:pPr>
            <w:r>
              <w:rPr>
                <w:b w:val="false"/>
                <w:bCs w:val="false"/>
                <w:sz w:val="22"/>
                <w:szCs w:val="22"/>
              </w:rPr>
              <w:t xml:space="preserve">OBS-01</w:t>
            </w:r>
          </w:p>
        </w:tc>
        <w:tc>
          <w:tcPr>
            <w:tcW w:type="dxa" w:w="4900"/>
          </w:tcPr>
          <w:p>
            <w:pPr>
              <w:spacing w:after="0"/>
            </w:pPr>
            <w:r>
              <w:rPr>
                <w:b w:val="false"/>
                <w:bCs w:val="false"/>
                <w:sz w:val="22"/>
                <w:szCs w:val="22"/>
              </w:rPr>
              <w:t xml:space="preserve">backend/docker-compose.yaml declared PYTHON_BIN and CORE_MODEL_SCRIPT_PATH with a trailing space before '=', which Compose's strict KEY=VALUE parser rejected (Week 1)</w:t>
            </w:r>
          </w:p>
        </w:tc>
        <w:tc>
          <w:tcPr>
            <w:tcW w:type="dxa" w:w="3360"/>
          </w:tcPr>
          <w:p>
            <w:pPr>
              <w:spacing w:after="0"/>
            </w:pPr>
            <w:r>
              <w:rPr>
                <w:b w:val="false"/>
                <w:bCs w:val="false"/>
                <w:sz w:val="22"/>
                <w:szCs w:val="22"/>
              </w:rPr>
              <w:t xml:space="preserve">Fixed during Week 1; reported to the backend team</w:t>
            </w:r>
          </w:p>
        </w:tc>
      </w:tr>
      <w:tr>
        <w:tc>
          <w:tcPr>
            <w:tcW w:type="dxa" w:w="1100"/>
          </w:tcPr>
          <w:p>
            <w:pPr>
              <w:spacing w:after="0"/>
            </w:pPr>
            <w:r>
              <w:rPr>
                <w:b w:val="false"/>
                <w:bCs w:val="false"/>
                <w:sz w:val="22"/>
                <w:szCs w:val="22"/>
              </w:rPr>
              <w:t xml:space="preserve">OBS-02</w:t>
            </w:r>
          </w:p>
        </w:tc>
        <w:tc>
          <w:tcPr>
            <w:tcW w:type="dxa" w:w="4900"/>
          </w:tcPr>
          <w:p>
            <w:pPr>
              <w:spacing w:after="0"/>
            </w:pPr>
            <w:r>
              <w:rPr>
                <w:b w:val="false"/>
                <w:bCs w:val="false"/>
                <w:sz w:val="22"/>
                <w:szCs w:val="22"/>
              </w:rPr>
              <w:t xml:space="preserve">notification-service exists as a folder but has no service entry in backend/docker-compose.yaml, so it cannot be brought up via Compose</w:t>
            </w:r>
          </w:p>
        </w:tc>
        <w:tc>
          <w:tcPr>
            <w:tcW w:type="dxa" w:w="3360"/>
          </w:tcPr>
          <w:p>
            <w:pPr>
              <w:spacing w:after="0"/>
            </w:pPr>
            <w:r>
              <w:rPr>
                <w:b w:val="false"/>
                <w:bCs w:val="false"/>
                <w:sz w:val="22"/>
                <w:szCs w:val="22"/>
              </w:rPr>
              <w:t xml:space="preserve">Open — handed to the backend team; blocks any future auth testing of that service</w:t>
            </w:r>
          </w:p>
        </w:tc>
      </w:tr>
      <w:tr>
        <w:tc>
          <w:tcPr>
            <w:tcW w:type="dxa" w:w="1100"/>
          </w:tcPr>
          <w:p>
            <w:pPr>
              <w:spacing w:after="0"/>
            </w:pPr>
            <w:r>
              <w:rPr>
                <w:b w:val="false"/>
                <w:bCs w:val="false"/>
                <w:sz w:val="22"/>
                <w:szCs w:val="22"/>
              </w:rPr>
              <w:t xml:space="preserve">OBS-03</w:t>
            </w:r>
          </w:p>
        </w:tc>
        <w:tc>
          <w:tcPr>
            <w:tcW w:type="dxa" w:w="4900"/>
          </w:tcPr>
          <w:p>
            <w:pPr>
              <w:spacing w:after="0"/>
            </w:pPr>
            <w:r>
              <w:rPr>
                <w:b w:val="false"/>
                <w:bCs w:val="false"/>
                <w:sz w:val="22"/>
                <w:szCs w:val="22"/>
              </w:rPr>
              <w:t xml:space="preserve">Auth routes are not served under /auth: app.use('/auth', authRoutes) is commented out and the routes are served under /api/users (Week 6)</w:t>
            </w:r>
          </w:p>
        </w:tc>
        <w:tc>
          <w:tcPr>
            <w:tcW w:type="dxa" w:w="3360"/>
          </w:tcPr>
          <w:p>
            <w:pPr>
              <w:spacing w:after="0"/>
            </w:pPr>
            <w:r>
              <w:rPr>
                <w:b w:val="false"/>
                <w:bCs w:val="false"/>
                <w:sz w:val="22"/>
                <w:szCs w:val="22"/>
              </w:rPr>
              <w:t xml:space="preserve">Documented — affects the endpoint inventory and all endpoint-based testing</w:t>
            </w:r>
          </w:p>
        </w:tc>
      </w:tr>
      <w:tr>
        <w:tc>
          <w:tcPr>
            <w:tcW w:type="dxa" w:w="1100"/>
          </w:tcPr>
          <w:p>
            <w:pPr>
              <w:spacing w:after="0"/>
            </w:pPr>
            <w:r>
              <w:rPr>
                <w:b w:val="false"/>
                <w:bCs w:val="false"/>
                <w:sz w:val="22"/>
                <w:szCs w:val="22"/>
              </w:rPr>
              <w:t xml:space="preserve">OBS-04</w:t>
            </w:r>
          </w:p>
        </w:tc>
        <w:tc>
          <w:tcPr>
            <w:tcW w:type="dxa" w:w="4900"/>
          </w:tcPr>
          <w:p>
            <w:pPr>
              <w:spacing w:after="0"/>
            </w:pPr>
            <w:r>
              <w:rPr>
                <w:b w:val="false"/>
                <w:bCs w:val="false"/>
                <w:sz w:val="22"/>
                <w:szCs w:val="22"/>
              </w:rPr>
              <w:t xml:space="preserve">The user table contains zero rows and registration is admin-gated, producing a chicken-and-egg lockout on this instance (Week 6)</w:t>
            </w:r>
          </w:p>
        </w:tc>
        <w:tc>
          <w:tcPr>
            <w:tcW w:type="dxa" w:w="3360"/>
          </w:tcPr>
          <w:p>
            <w:pPr>
              <w:spacing w:after="0"/>
            </w:pPr>
            <w:r>
              <w:rPr>
                <w:b w:val="false"/>
                <w:bCs w:val="false"/>
                <w:sz w:val="22"/>
                <w:szCs w:val="22"/>
              </w:rPr>
              <w:t xml:space="preserve">Documented — constrains escalation testing; a seeded admin account is required for full RBAC verification</w:t>
            </w:r>
          </w:p>
        </w:tc>
      </w:tr>
    </w:tbl>
    <w:p>
      <w:pPr>
        <w:pStyle w:val="Heading1"/>
        <w:spacing w:after="120" w:before="240"/>
      </w:pPr>
      <w:r>
        <w:t xml:space="preserve">4. Remediation Plan C — Dependency &amp; Configuration</w:t>
      </w:r>
    </w:p>
    <w:p>
      <w:pPr>
        <w:spacing w:after="120"/>
      </w:pPr>
      <w:r>
        <w:rPr>
          <w:b w:val="false"/>
          <w:bCs w:val="false"/>
          <w:i w:val="false"/>
          <w:iCs w:val="false"/>
          <w:sz w:val="22"/>
          <w:szCs w:val="22"/>
        </w:rPr>
        <w:t xml:space="preserve">Each item states what to change, where, and how the fix will be proven. Priority 1 items are the ones that should not wait for the next sprint.</w:t>
      </w:r>
    </w:p>
    <w:p>
      <w:pPr>
        <w:pStyle w:val="Heading2"/>
        <w:spacing w:after="100" w:before="200"/>
      </w:pPr>
      <w:r>
        <w:t xml:space="preserve">Priority 1 — Immediate (Critical)</w:t>
      </w:r>
    </w:p>
    <w:p>
      <w:pPr>
        <w:spacing w:after="120"/>
      </w:pPr>
      <w:r>
        <w:rPr>
          <w:b/>
          <w:bCs/>
          <w:i w:val="false"/>
          <w:iCs w:val="false"/>
          <w:sz w:val="22"/>
          <w:szCs w:val="22"/>
        </w:rPr>
        <w:t xml:space="preserve">R-01 — Rotate both JWT secrets (CFG-01, CFG-02). </w:t>
      </w:r>
      <w:r>
        <w:rPr>
          <w:b w:val="false"/>
          <w:bCs w:val="false"/>
          <w:i w:val="false"/>
          <w:iCs w:val="false"/>
          <w:sz w:val="22"/>
          <w:szCs w:val="22"/>
        </w:rPr>
        <w:t xml:space="preserve">Replace secret123 and refreshsecret123 with independent 256-bit cryptographically random values (for example, the output of openssl rand -base64 32 for each). Store them in a secret manager or an injected environment variable rather than a committed .env, use different values for access and refresh, and rotate them per environment. This eliminates signature forgery at the source rather than relying on a second control to catch it.</w:t>
      </w:r>
    </w:p>
    <w:p>
      <w:pPr>
        <w:spacing w:after="100"/>
        <w:ind w:left="360"/>
      </w:pPr>
      <w:r>
        <w:rPr>
          <w:rFonts w:ascii="Consolas" w:cs="Consolas" w:eastAsia="Consolas" w:hAnsi="Consolas"/>
          <w:sz w:val="20"/>
          <w:szCs w:val="20"/>
        </w:rPr>
        <w:t xml:space="preserve">openssl rand -base64 32   # generate one value per secret, per environment</w:t>
      </w:r>
    </w:p>
    <w:p>
      <w:pPr>
        <w:spacing w:after="120"/>
      </w:pPr>
      <w:r>
        <w:rPr>
          <w:b/>
          <w:bCs/>
          <w:i w:val="false"/>
          <w:iCs w:val="false"/>
          <w:sz w:val="22"/>
          <w:szCs w:val="22"/>
        </w:rPr>
        <w:t xml:space="preserve">R-03 — Clear the two critical dependency issues in alertmobile (DEP-01). </w:t>
      </w:r>
      <w:r>
        <w:rPr>
          <w:b w:val="false"/>
          <w:bCs w:val="false"/>
          <w:i w:val="false"/>
          <w:iCs w:val="false"/>
          <w:sz w:val="22"/>
          <w:szCs w:val="22"/>
        </w:rPr>
        <w:t xml:space="preserve">shell-quote and tar both have a non-breaking fix path recorded in the audit output. Apply the patched versions named in the fixAvailable field of the saved npm audit JSON, then re-run the audit and record the before/after counts.</w:t>
      </w:r>
    </w:p>
    <w:p>
      <w:pPr>
        <w:spacing w:after="100"/>
        <w:ind w:left="360"/>
      </w:pPr>
      <w:r>
        <w:rPr>
          <w:rFonts w:ascii="Consolas" w:cs="Consolas" w:eastAsia="Consolas" w:hAnsi="Consolas"/>
          <w:sz w:val="20"/>
          <w:szCs w:val="20"/>
        </w:rPr>
        <w:t xml:space="preserve">cd alertmobile &amp;&amp; npm audit fix &amp;&amp; npm audit --json &gt; audit-after.json</w:t>
      </w:r>
    </w:p>
    <w:p>
      <w:pPr>
        <w:pStyle w:val="Heading2"/>
        <w:spacing w:after="100" w:before="200"/>
      </w:pPr>
      <w:r>
        <w:t xml:space="preserve">Priority 2 — This sprint (High)</w:t>
      </w:r>
    </w:p>
    <w:p>
      <w:pPr>
        <w:spacing w:after="120"/>
      </w:pPr>
      <w:r>
        <w:rPr>
          <w:b/>
          <w:bCs/>
          <w:i w:val="false"/>
          <w:iCs w:val="false"/>
          <w:sz w:val="22"/>
          <w:szCs w:val="22"/>
        </w:rPr>
        <w:t xml:space="preserve">R-02 — Rotate and de-commit service credentials (CFG-03, CFG-04, CFG-06). </w:t>
      </w:r>
      <w:r>
        <w:rPr>
          <w:b w:val="false"/>
          <w:bCs w:val="false"/>
          <w:i w:val="false"/>
          <w:iCs w:val="false"/>
          <w:sz w:val="22"/>
          <w:szCs w:val="22"/>
        </w:rPr>
        <w:t xml:space="preserve">Rotate the RabbitMQ, PostgreSQL and Supabase credentials, since they have been distributed in plaintext and must be treated as exposed. Move docker-compose credentials to Docker secrets or an env-file reference so no real value is committed, stop distributing production credentials in a shared .env, and confirm .env and .env.docker remain listed in .gitignore.</w:t>
      </w:r>
    </w:p>
    <w:p>
      <w:pPr>
        <w:spacing w:after="120"/>
      </w:pPr>
      <w:r>
        <w:rPr>
          <w:b/>
          <w:bCs/>
          <w:i w:val="false"/>
          <w:iCs w:val="false"/>
          <w:sz w:val="22"/>
          <w:szCs w:val="22"/>
        </w:rPr>
        <w:t xml:space="preserve">R-04 — Schedule the breaking upgrade paths (DEP-02). </w:t>
      </w:r>
      <w:r>
        <w:rPr>
          <w:b w:val="false"/>
          <w:bCs w:val="false"/>
          <w:i w:val="false"/>
          <w:iCs w:val="false"/>
          <w:sz w:val="22"/>
          <w:szCs w:val="22"/>
        </w:rPr>
        <w:t xml:space="preserve">uuid@8.3.2 is reached through sequelize@6.37.8, and sequelize sits directly under the UserAccount model that stores password_hashed, access_token, refresh_token and role. The upgrade is therefore in scope for this review, not general hygiene, but it is a breaking change and must not be applied blind. Raise it as its own change: upgrade sequelize on a branch, run the model and service layer against a test database, and regression-test user.service.ts, hazard.service.ts, integration.service.ts and threat.service.ts before merging. The same treatment applies to the postcss upgrade in alertmobile.</w:t>
      </w:r>
    </w:p>
    <w:p>
      <w:pPr>
        <w:spacing w:after="120"/>
      </w:pPr>
      <w:r>
        <w:rPr>
          <w:b/>
          <w:bCs/>
          <w:i w:val="false"/>
          <w:iCs w:val="false"/>
          <w:sz w:val="22"/>
          <w:szCs w:val="22"/>
        </w:rPr>
        <w:t xml:space="preserve">R-08 — Remove secrets from service logs (B-06). </w:t>
      </w:r>
      <w:r>
        <w:rPr>
          <w:b w:val="false"/>
          <w:bCs w:val="false"/>
          <w:i w:val="false"/>
          <w:iCs w:val="false"/>
          <w:sz w:val="22"/>
          <w:szCs w:val="22"/>
        </w:rPr>
        <w:t xml:space="preserve">The data-ingestion-service prints its full RabbitMQ connection string, including credentials, at startup. Log the host and port only, or redact the credential portion of the URI before logging. Add a check for connection strings and token values in log output to the team's review checklist so this does not reappear.</w:t>
      </w:r>
    </w:p>
    <w:p>
      <w:pPr>
        <w:spacing w:after="120"/>
      </w:pPr>
      <w:r>
        <w:rPr>
          <w:b/>
          <w:bCs/>
          <w:i w:val="false"/>
          <w:iCs w:val="false"/>
          <w:sz w:val="22"/>
          <w:szCs w:val="22"/>
        </w:rPr>
        <w:t xml:space="preserve">R-03b — Clear non-breaking vulnerabilities across the remaining services (DEP-03). </w:t>
      </w:r>
      <w:r>
        <w:rPr>
          <w:b w:val="false"/>
          <w:bCs w:val="false"/>
          <w:i w:val="false"/>
          <w:iCs w:val="false"/>
          <w:sz w:val="22"/>
          <w:szCs w:val="22"/>
        </w:rPr>
        <w:t xml:space="preserve">Run npm audit fix per service to clear everything with a non-breaking fix path, keeping the breaking upgrades separate under R-04. Re-run npm audit afterwards and record before/after counts per service in the hand-off pack.</w:t>
      </w:r>
    </w:p>
    <w:p>
      <w:pPr>
        <w:pStyle w:val="Heading2"/>
        <w:spacing w:after="100" w:before="200"/>
      </w:pPr>
      <w:r>
        <w:t xml:space="preserve">Priority 3 — Configuration hardening (Medium and below)</w:t>
      </w:r>
    </w:p>
    <w:p>
      <w:pPr>
        <w:spacing w:after="120"/>
      </w:pPr>
      <w:r>
        <w:rPr>
          <w:b/>
          <w:bCs/>
          <w:i w:val="false"/>
          <w:iCs w:val="false"/>
          <w:sz w:val="22"/>
          <w:szCs w:val="22"/>
        </w:rPr>
        <w:t xml:space="preserve">R-05 — Resolve the NODE_ENV inconsistency (CFG-05). </w:t>
      </w:r>
      <w:r>
        <w:rPr>
          <w:b w:val="false"/>
          <w:bCs w:val="false"/>
          <w:i w:val="false"/>
          <w:iCs w:val="false"/>
          <w:sz w:val="22"/>
          <w:szCs w:val="22"/>
        </w:rPr>
        <w:t xml:space="preserve">The root .env sets development while backend/docker-compose.yaml hardcodes production for api-gateway. Confirm which value is authoritative in each environment and set it in one place, so error verbosity and debug behaviour are predictable.</w:t>
      </w:r>
    </w:p>
    <w:p>
      <w:pPr>
        <w:spacing w:after="120"/>
      </w:pPr>
      <w:r>
        <w:rPr>
          <w:b/>
          <w:bCs/>
          <w:i w:val="false"/>
          <w:iCs w:val="false"/>
          <w:sz w:val="22"/>
          <w:szCs w:val="22"/>
        </w:rPr>
        <w:t xml:space="preserve">R-06 — Restrict CORS at the API Gateway (CFG-07). </w:t>
      </w:r>
      <w:r>
        <w:rPr>
          <w:b w:val="false"/>
          <w:bCs w:val="false"/>
          <w:i w:val="false"/>
          <w:iCs w:val="false"/>
          <w:sz w:val="22"/>
          <w:szCs w:val="22"/>
        </w:rPr>
        <w:t xml:space="preserve">Replace the bare cors() call in api-gateway/src/app.ts with an explicit allowlist sourced from an environment variable, so the policy is configurable per environment rather than open by default.</w:t>
      </w:r>
    </w:p>
    <w:p>
      <w:pPr>
        <w:spacing w:after="100"/>
        <w:ind w:left="360"/>
      </w:pPr>
      <w:r>
        <w:rPr>
          <w:rFonts w:ascii="Consolas" w:cs="Consolas" w:eastAsia="Consolas" w:hAnsi="Consolas"/>
          <w:sz w:val="20"/>
          <w:szCs w:val="20"/>
        </w:rPr>
        <w:t xml:space="preserve">app.use(cors({ origin: allowedOrigins, credentials: true }));</w:t>
      </w:r>
    </w:p>
    <w:p>
      <w:pPr>
        <w:spacing w:after="120"/>
      </w:pPr>
      <w:r>
        <w:rPr>
          <w:b/>
          <w:bCs/>
          <w:i w:val="false"/>
          <w:iCs w:val="false"/>
          <w:sz w:val="22"/>
          <w:szCs w:val="22"/>
        </w:rPr>
        <w:t xml:space="preserve">R-07 — Add baseline security headers (CFG-08). </w:t>
      </w:r>
      <w:r>
        <w:rPr>
          <w:b w:val="false"/>
          <w:bCs w:val="false"/>
          <w:i w:val="false"/>
          <w:iCs w:val="false"/>
          <w:sz w:val="22"/>
          <w:szCs w:val="22"/>
        </w:rPr>
        <w:t xml:space="preserve">Add helmet() to api-gateway as the externally-facing entry point, giving CSP, X-Frame-Options, X-Content-Type-Options and HSTS, and disable the x-powered-by header so the framework is not disclosed. The internal gRPC services share the same gap but are lower priority as they are not externally exposed.</w:t>
      </w:r>
    </w:p>
    <w:p>
      <w:pPr>
        <w:spacing w:after="100"/>
        <w:ind w:left="360"/>
      </w:pPr>
      <w:r>
        <w:rPr>
          <w:rFonts w:ascii="Consolas" w:cs="Consolas" w:eastAsia="Consolas" w:hAnsi="Consolas"/>
          <w:sz w:val="20"/>
          <w:szCs w:val="20"/>
        </w:rPr>
        <w:t xml:space="preserve">app.use(helmet());</w:t>
      </w:r>
    </w:p>
    <w:p>
      <w:pPr>
        <w:spacing w:after="100"/>
        <w:ind w:left="360"/>
      </w:pPr>
      <w:r>
        <w:rPr>
          <w:rFonts w:ascii="Consolas" w:cs="Consolas" w:eastAsia="Consolas" w:hAnsi="Consolas"/>
          <w:sz w:val="20"/>
          <w:szCs w:val="20"/>
        </w:rPr>
        <w:t xml:space="preserve">app.disable('x-powered-by');</w:t>
      </w:r>
    </w:p>
    <w:p>
      <w:pPr>
        <w:pStyle w:val="Heading1"/>
        <w:spacing w:after="120" w:before="240"/>
      </w:pPr>
      <w:r>
        <w:t xml:space="preserve">5. Secret-Management Recommendation</w:t>
      </w:r>
    </w:p>
    <w:p>
      <w:pPr>
        <w:spacing w:after="120"/>
      </w:pPr>
      <w:r>
        <w:rPr>
          <w:b w:val="false"/>
          <w:bCs w:val="false"/>
          <w:i w:val="false"/>
          <w:iCs w:val="false"/>
          <w:sz w:val="22"/>
          <w:szCs w:val="22"/>
        </w:rPr>
        <w:t xml:space="preserve">Beyond the individual rotations, the pattern itself needs to change, since every credential finding in this stream traces back to the same cause — real secrets living in files that are shared and read by the whole team.</w:t>
      </w:r>
    </w:p>
    <w:p>
      <w:pPr>
        <w:pStyle w:val="ListParagraph"/>
        <w:numPr>
          <w:ilvl w:val="0"/>
          <w:numId w:val="1"/>
        </w:numPr>
        <w:spacing w:after="80"/>
      </w:pPr>
      <w:r>
        <w:rPr>
          <w:sz w:val="22"/>
          <w:szCs w:val="22"/>
        </w:rPr>
        <w:t xml:space="preserve">Generate all secrets as cryptographically random values; never use human-readable placeholders in any environment that runs against real data.</w:t>
      </w:r>
    </w:p>
    <w:p>
      <w:pPr>
        <w:pStyle w:val="ListParagraph"/>
        <w:numPr>
          <w:ilvl w:val="0"/>
          <w:numId w:val="1"/>
        </w:numPr>
        <w:spacing w:after="80"/>
      </w:pPr>
      <w:r>
        <w:rPr>
          <w:sz w:val="22"/>
          <w:szCs w:val="22"/>
        </w:rPr>
        <w:t xml:space="preserve">Hold secrets in a secret manager or CI-injected variables; keep committed files to placeholder templates such as .env.example.</w:t>
      </w:r>
    </w:p>
    <w:p>
      <w:pPr>
        <w:pStyle w:val="ListParagraph"/>
        <w:numPr>
          <w:ilvl w:val="0"/>
          <w:numId w:val="1"/>
        </w:numPr>
        <w:spacing w:after="80"/>
      </w:pPr>
      <w:r>
        <w:rPr>
          <w:sz w:val="22"/>
          <w:szCs w:val="22"/>
        </w:rPr>
        <w:t xml:space="preserve">Use separate values per environment and per purpose — no reuse between access and refresh signing keys, or between environments.</w:t>
      </w:r>
    </w:p>
    <w:p>
      <w:pPr>
        <w:pStyle w:val="ListParagraph"/>
        <w:numPr>
          <w:ilvl w:val="0"/>
          <w:numId w:val="1"/>
        </w:numPr>
        <w:spacing w:after="80"/>
      </w:pPr>
      <w:r>
        <w:rPr>
          <w:sz w:val="22"/>
          <w:szCs w:val="22"/>
        </w:rPr>
        <w:t xml:space="preserve">Define a rotation trigger: on exposure, on team member offboarding, and on a fixed schedule.</w:t>
      </w:r>
    </w:p>
    <w:p>
      <w:pPr>
        <w:pStyle w:val="ListParagraph"/>
        <w:numPr>
          <w:ilvl w:val="0"/>
          <w:numId w:val="1"/>
        </w:numPr>
        <w:spacing w:after="80"/>
      </w:pPr>
      <w:r>
        <w:rPr>
          <w:sz w:val="22"/>
          <w:szCs w:val="22"/>
        </w:rPr>
        <w:t xml:space="preserve">Keep secrets out of logs and out of Git history; a value that has been committed is exposed even after it is deleted from the working tree.</w:t>
      </w:r>
    </w:p>
    <w:p>
      <w:pPr>
        <w:pStyle w:val="Heading1"/>
        <w:spacing w:after="120" w:before="240"/>
      </w:pPr>
      <w:r>
        <w:t xml:space="preserve">6. Re-test Checklist</w:t>
      </w:r>
    </w:p>
    <w:p>
      <w:pPr>
        <w:spacing w:after="120"/>
      </w:pPr>
      <w:r>
        <w:rPr>
          <w:b w:val="false"/>
          <w:bCs w:val="false"/>
          <w:i w:val="false"/>
          <w:iCs w:val="false"/>
          <w:sz w:val="22"/>
          <w:szCs w:val="22"/>
        </w:rPr>
        <w:t xml:space="preserve">Written so any team member can verify the fixes next sprint without re-reading this report. Each row states the check and the result that constitutes a pass.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200"/>
        <w:gridCol w:w="4260"/>
      </w:tblGrid>
      <w:tr>
        <w:tc>
          <w:tcPr>
            <w:tcW w:type="dxa" w:w="900"/>
          </w:tcPr>
          <w:p>
            <w:pPr>
              <w:spacing w:after="0"/>
            </w:pPr>
            <w:r>
              <w:rPr>
                <w:b/>
                <w:bCs/>
                <w:sz w:val="22"/>
                <w:szCs w:val="22"/>
              </w:rPr>
              <w:t xml:space="preserve">ID</w:t>
            </w:r>
          </w:p>
        </w:tc>
        <w:tc>
          <w:tcPr>
            <w:tcW w:type="dxa" w:w="4200"/>
          </w:tcPr>
          <w:p>
            <w:pPr>
              <w:spacing w:after="0"/>
            </w:pPr>
            <w:r>
              <w:rPr>
                <w:b/>
                <w:bCs/>
                <w:sz w:val="22"/>
                <w:szCs w:val="22"/>
              </w:rPr>
              <w:t xml:space="preserve">Re-test</w:t>
            </w:r>
          </w:p>
        </w:tc>
        <w:tc>
          <w:tcPr>
            <w:tcW w:type="dxa" w:w="4260"/>
          </w:tcPr>
          <w:p>
            <w:pPr>
              <w:spacing w:after="0"/>
            </w:pPr>
            <w:r>
              <w:rPr>
                <w:b/>
                <w:bCs/>
                <w:sz w:val="22"/>
                <w:szCs w:val="22"/>
              </w:rPr>
              <w:t xml:space="preserve">Pass criterion</w:t>
            </w:r>
          </w:p>
        </w:tc>
      </w:tr>
      <w:tr>
        <w:tc>
          <w:tcPr>
            <w:tcW w:type="dxa" w:w="900"/>
          </w:tcPr>
          <w:p>
            <w:pPr>
              <w:spacing w:after="0"/>
            </w:pPr>
            <w:r>
              <w:rPr>
                <w:b w:val="false"/>
                <w:bCs w:val="false"/>
                <w:sz w:val="22"/>
                <w:szCs w:val="22"/>
              </w:rPr>
              <w:t xml:space="preserve">R-01</w:t>
            </w:r>
          </w:p>
        </w:tc>
        <w:tc>
          <w:tcPr>
            <w:tcW w:type="dxa" w:w="4200"/>
          </w:tcPr>
          <w:p>
            <w:pPr>
              <w:spacing w:after="0"/>
            </w:pPr>
            <w:r>
              <w:rPr>
                <w:b w:val="false"/>
                <w:bCs w:val="false"/>
                <w:sz w:val="22"/>
                <w:szCs w:val="22"/>
              </w:rPr>
              <w:t xml:space="preserve">docker compose exec api-gateway printenv AUTH_JWT_SECRET (and the refresh secret)</w:t>
            </w:r>
          </w:p>
        </w:tc>
        <w:tc>
          <w:tcPr>
            <w:tcW w:type="dxa" w:w="4260"/>
          </w:tcPr>
          <w:p>
            <w:pPr>
              <w:spacing w:after="0"/>
            </w:pPr>
            <w:r>
              <w:rPr>
                <w:b w:val="false"/>
                <w:bCs w:val="false"/>
                <w:sz w:val="22"/>
                <w:szCs w:val="22"/>
              </w:rPr>
              <w:t xml:space="preserve">Value is a high-entropy random string, differs between access and refresh, and differs per environment; secret123 / refreshsecret123 no longer appear anywhere in the repository</w:t>
            </w:r>
          </w:p>
        </w:tc>
      </w:tr>
      <w:tr>
        <w:tc>
          <w:tcPr>
            <w:tcW w:type="dxa" w:w="900"/>
          </w:tcPr>
          <w:p>
            <w:pPr>
              <w:spacing w:after="0"/>
            </w:pPr>
            <w:r>
              <w:rPr>
                <w:b w:val="false"/>
                <w:bCs w:val="false"/>
                <w:sz w:val="22"/>
                <w:szCs w:val="22"/>
              </w:rPr>
              <w:t xml:space="preserve">R-01</w:t>
            </w:r>
          </w:p>
        </w:tc>
        <w:tc>
          <w:tcPr>
            <w:tcW w:type="dxa" w:w="4200"/>
          </w:tcPr>
          <w:p>
            <w:pPr>
              <w:spacing w:after="0"/>
            </w:pPr>
            <w:r>
              <w:rPr>
                <w:b w:val="false"/>
                <w:bCs w:val="false"/>
                <w:sz w:val="22"/>
                <w:szCs w:val="22"/>
              </w:rPr>
              <w:t xml:space="preserve">Re-run the Week 6 forgery test: sign a token with the old secret and call /api/users/auth/register</w:t>
            </w:r>
          </w:p>
        </w:tc>
        <w:tc>
          <w:tcPr>
            <w:tcW w:type="dxa" w:w="4260"/>
          </w:tcPr>
          <w:p>
            <w:pPr>
              <w:spacing w:after="0"/>
            </w:pPr>
            <w:r>
              <w:rPr>
                <w:b w:val="false"/>
                <w:bCs w:val="false"/>
                <w:sz w:val="22"/>
                <w:szCs w:val="22"/>
              </w:rPr>
              <w:t xml:space="preserve">Request is rejected at signature verification, independently of the access_token session-binding check</w:t>
            </w:r>
          </w:p>
        </w:tc>
      </w:tr>
      <w:tr>
        <w:tc>
          <w:tcPr>
            <w:tcW w:type="dxa" w:w="900"/>
          </w:tcPr>
          <w:p>
            <w:pPr>
              <w:spacing w:after="0"/>
            </w:pPr>
            <w:r>
              <w:rPr>
                <w:b w:val="false"/>
                <w:bCs w:val="false"/>
                <w:sz w:val="22"/>
                <w:szCs w:val="22"/>
              </w:rPr>
              <w:t xml:space="preserve">R-02</w:t>
            </w:r>
          </w:p>
        </w:tc>
        <w:tc>
          <w:tcPr>
            <w:tcW w:type="dxa" w:w="4200"/>
          </w:tcPr>
          <w:p>
            <w:pPr>
              <w:spacing w:after="0"/>
            </w:pPr>
            <w:r>
              <w:rPr>
                <w:b w:val="false"/>
                <w:bCs w:val="false"/>
                <w:sz w:val="22"/>
                <w:szCs w:val="22"/>
              </w:rPr>
              <w:t xml:space="preserve">Grep the repository and both compose files for credential values; check .gitignore</w:t>
            </w:r>
          </w:p>
        </w:tc>
        <w:tc>
          <w:tcPr>
            <w:tcW w:type="dxa" w:w="4260"/>
          </w:tcPr>
          <w:p>
            <w:pPr>
              <w:spacing w:after="0"/>
            </w:pPr>
            <w:r>
              <w:rPr>
                <w:b w:val="false"/>
                <w:bCs w:val="false"/>
                <w:sz w:val="22"/>
                <w:szCs w:val="22"/>
              </w:rPr>
              <w:t xml:space="preserve">No real credential values present in tracked files; .env and .env.docker still ignored; rotated credentials confirmed working</w:t>
            </w:r>
          </w:p>
        </w:tc>
      </w:tr>
      <w:tr>
        <w:tc>
          <w:tcPr>
            <w:tcW w:type="dxa" w:w="900"/>
          </w:tcPr>
          <w:p>
            <w:pPr>
              <w:spacing w:after="0"/>
            </w:pPr>
            <w:r>
              <w:rPr>
                <w:b w:val="false"/>
                <w:bCs w:val="false"/>
                <w:sz w:val="22"/>
                <w:szCs w:val="22"/>
              </w:rPr>
              <w:t xml:space="preserve">R-03</w:t>
            </w:r>
          </w:p>
        </w:tc>
        <w:tc>
          <w:tcPr>
            <w:tcW w:type="dxa" w:w="4200"/>
          </w:tcPr>
          <w:p>
            <w:pPr>
              <w:spacing w:after="0"/>
            </w:pPr>
            <w:r>
              <w:rPr>
                <w:b w:val="false"/>
                <w:bCs w:val="false"/>
                <w:sz w:val="22"/>
                <w:szCs w:val="22"/>
              </w:rPr>
              <w:t xml:space="preserve">npm audit per service; compare with the saved Week 2 JSON</w:t>
            </w:r>
          </w:p>
        </w:tc>
        <w:tc>
          <w:tcPr>
            <w:tcW w:type="dxa" w:w="4260"/>
          </w:tcPr>
          <w:p>
            <w:pPr>
              <w:spacing w:after="0"/>
            </w:pPr>
            <w:r>
              <w:rPr>
                <w:b w:val="false"/>
                <w:bCs w:val="false"/>
                <w:sz w:val="22"/>
                <w:szCs w:val="22"/>
              </w:rPr>
              <w:t xml:space="preserve">alertmobile criticals at 0; total across the five services reduced from 50, with every remaining item either scheduled under R-04 or accepted with a written reason</w:t>
            </w:r>
          </w:p>
        </w:tc>
      </w:tr>
      <w:tr>
        <w:tc>
          <w:tcPr>
            <w:tcW w:type="dxa" w:w="900"/>
          </w:tcPr>
          <w:p>
            <w:pPr>
              <w:spacing w:after="0"/>
            </w:pPr>
            <w:r>
              <w:rPr>
                <w:b w:val="false"/>
                <w:bCs w:val="false"/>
                <w:sz w:val="22"/>
                <w:szCs w:val="22"/>
              </w:rPr>
              <w:t xml:space="preserve">R-04</w:t>
            </w:r>
          </w:p>
        </w:tc>
        <w:tc>
          <w:tcPr>
            <w:tcW w:type="dxa" w:w="4200"/>
          </w:tcPr>
          <w:p>
            <w:pPr>
              <w:spacing w:after="0"/>
            </w:pPr>
            <w:r>
              <w:rPr>
                <w:b w:val="false"/>
                <w:bCs w:val="false"/>
                <w:sz w:val="22"/>
                <w:szCs w:val="22"/>
              </w:rPr>
              <w:t xml:space="preserve">Post-upgrade regression run against a test database</w:t>
            </w:r>
          </w:p>
        </w:tc>
        <w:tc>
          <w:tcPr>
            <w:tcW w:type="dxa" w:w="4260"/>
          </w:tcPr>
          <w:p>
            <w:pPr>
              <w:spacing w:after="0"/>
            </w:pPr>
            <w:r>
              <w:rPr>
                <w:b w:val="false"/>
                <w:bCs w:val="false"/>
                <w:sz w:val="22"/>
                <w:szCs w:val="22"/>
              </w:rPr>
              <w:t xml:space="preserve">UserAccount model, login, refresh and the four user-service service files behave unchanged; npm ls uuid no longer reports the vulnerable version</w:t>
            </w:r>
          </w:p>
        </w:tc>
      </w:tr>
      <w:tr>
        <w:tc>
          <w:tcPr>
            <w:tcW w:type="dxa" w:w="900"/>
          </w:tcPr>
          <w:p>
            <w:pPr>
              <w:spacing w:after="0"/>
            </w:pPr>
            <w:r>
              <w:rPr>
                <w:b w:val="false"/>
                <w:bCs w:val="false"/>
                <w:sz w:val="22"/>
                <w:szCs w:val="22"/>
              </w:rPr>
              <w:t xml:space="preserve">R-05</w:t>
            </w:r>
          </w:p>
        </w:tc>
        <w:tc>
          <w:tcPr>
            <w:tcW w:type="dxa" w:w="4200"/>
          </w:tcPr>
          <w:p>
            <w:pPr>
              <w:spacing w:after="0"/>
            </w:pPr>
            <w:r>
              <w:rPr>
                <w:b w:val="false"/>
                <w:bCs w:val="false"/>
                <w:sz w:val="22"/>
                <w:szCs w:val="22"/>
              </w:rPr>
              <w:t xml:space="preserve">Print NODE_ENV from each running container</w:t>
            </w:r>
          </w:p>
        </w:tc>
        <w:tc>
          <w:tcPr>
            <w:tcW w:type="dxa" w:w="4260"/>
          </w:tcPr>
          <w:p>
            <w:pPr>
              <w:spacing w:after="0"/>
            </w:pPr>
            <w:r>
              <w:rPr>
                <w:b w:val="false"/>
                <w:bCs w:val="false"/>
                <w:sz w:val="22"/>
                <w:szCs w:val="22"/>
              </w:rPr>
              <w:t xml:space="preserve">One authoritative value per environment; no development / production mismatch between .env and compose</w:t>
            </w:r>
          </w:p>
        </w:tc>
      </w:tr>
      <w:tr>
        <w:tc>
          <w:tcPr>
            <w:tcW w:type="dxa" w:w="900"/>
          </w:tcPr>
          <w:p>
            <w:pPr>
              <w:spacing w:after="0"/>
            </w:pPr>
            <w:r>
              <w:rPr>
                <w:b w:val="false"/>
                <w:bCs w:val="false"/>
                <w:sz w:val="22"/>
                <w:szCs w:val="22"/>
              </w:rPr>
              <w:t xml:space="preserve">R-06</w:t>
            </w:r>
          </w:p>
        </w:tc>
        <w:tc>
          <w:tcPr>
            <w:tcW w:type="dxa" w:w="4200"/>
          </w:tcPr>
          <w:p>
            <w:pPr>
              <w:spacing w:after="0"/>
            </w:pPr>
            <w:r>
              <w:rPr>
                <w:b w:val="false"/>
                <w:bCs w:val="false"/>
                <w:sz w:val="22"/>
                <w:szCs w:val="22"/>
              </w:rPr>
              <w:t xml:space="preserve">curl -i http://localhost:3001/health with an Origin header from a non-allowlisted domain</w:t>
            </w:r>
          </w:p>
        </w:tc>
        <w:tc>
          <w:tcPr>
            <w:tcW w:type="dxa" w:w="4260"/>
          </w:tcPr>
          <w:p>
            <w:pPr>
              <w:spacing w:after="0"/>
            </w:pPr>
            <w:r>
              <w:rPr>
                <w:b w:val="false"/>
                <w:bCs w:val="false"/>
                <w:sz w:val="22"/>
                <w:szCs w:val="22"/>
              </w:rPr>
              <w:t xml:space="preserve">No Access-Control-Allow-Origin: * ; disallowed origins are not reflected back</w:t>
            </w:r>
          </w:p>
        </w:tc>
      </w:tr>
      <w:tr>
        <w:tc>
          <w:tcPr>
            <w:tcW w:type="dxa" w:w="900"/>
          </w:tcPr>
          <w:p>
            <w:pPr>
              <w:spacing w:after="0"/>
            </w:pPr>
            <w:r>
              <w:rPr>
                <w:b w:val="false"/>
                <w:bCs w:val="false"/>
                <w:sz w:val="22"/>
                <w:szCs w:val="22"/>
              </w:rPr>
              <w:t xml:space="preserve">R-07</w:t>
            </w:r>
          </w:p>
        </w:tc>
        <w:tc>
          <w:tcPr>
            <w:tcW w:type="dxa" w:w="4200"/>
          </w:tcPr>
          <w:p>
            <w:pPr>
              <w:spacing w:after="0"/>
            </w:pPr>
            <w:r>
              <w:rPr>
                <w:b w:val="false"/>
                <w:bCs w:val="false"/>
                <w:sz w:val="22"/>
                <w:szCs w:val="22"/>
              </w:rPr>
              <w:t xml:space="preserve">curl -i http://localhost:3001/health and inspect response headers</w:t>
            </w:r>
          </w:p>
        </w:tc>
        <w:tc>
          <w:tcPr>
            <w:tcW w:type="dxa" w:w="4260"/>
          </w:tcPr>
          <w:p>
            <w:pPr>
              <w:spacing w:after="0"/>
            </w:pPr>
            <w:r>
              <w:rPr>
                <w:b w:val="false"/>
                <w:bCs w:val="false"/>
                <w:sz w:val="22"/>
                <w:szCs w:val="22"/>
              </w:rPr>
              <w:t xml:space="preserve">CSP, X-Frame-Options, X-Content-Type-Options and HSTS present; X-Powered-By absent</w:t>
            </w:r>
          </w:p>
        </w:tc>
      </w:tr>
      <w:tr>
        <w:tc>
          <w:tcPr>
            <w:tcW w:type="dxa" w:w="900"/>
          </w:tcPr>
          <w:p>
            <w:pPr>
              <w:spacing w:after="0"/>
            </w:pPr>
            <w:r>
              <w:rPr>
                <w:b w:val="false"/>
                <w:bCs w:val="false"/>
                <w:sz w:val="22"/>
                <w:szCs w:val="22"/>
              </w:rPr>
              <w:t xml:space="preserve">R-08</w:t>
            </w:r>
          </w:p>
        </w:tc>
        <w:tc>
          <w:tcPr>
            <w:tcW w:type="dxa" w:w="4200"/>
          </w:tcPr>
          <w:p>
            <w:pPr>
              <w:spacing w:after="0"/>
            </w:pPr>
            <w:r>
              <w:rPr>
                <w:b w:val="false"/>
                <w:bCs w:val="false"/>
                <w:sz w:val="22"/>
                <w:szCs w:val="22"/>
              </w:rPr>
              <w:t xml:space="preserve">docker compose logs data-ingestion-service after a clean restart</w:t>
            </w:r>
          </w:p>
        </w:tc>
        <w:tc>
          <w:tcPr>
            <w:tcW w:type="dxa" w:w="4260"/>
          </w:tcPr>
          <w:p>
            <w:pPr>
              <w:spacing w:after="0"/>
            </w:pPr>
            <w:r>
              <w:rPr>
                <w:b w:val="false"/>
                <w:bCs w:val="false"/>
                <w:sz w:val="22"/>
                <w:szCs w:val="22"/>
              </w:rPr>
              <w:t xml:space="preserve">No credentials in the connection string; host and port only, or the credential portion redacted</w:t>
            </w:r>
          </w:p>
        </w:tc>
      </w:tr>
    </w:tbl>
    <w:p>
      <w:pPr>
        <w:pStyle w:val="Heading1"/>
        <w:spacing w:after="120" w:before="240"/>
      </w:pPr>
      <w:r>
        <w:t xml:space="preserve">7. Residual Risk Statement</w:t>
      </w:r>
    </w:p>
    <w:p>
      <w:pPr>
        <w:spacing w:after="120"/>
      </w:pPr>
      <w:r>
        <w:rPr>
          <w:b w:val="false"/>
          <w:bCs w:val="false"/>
          <w:i w:val="false"/>
          <w:iCs w:val="false"/>
          <w:sz w:val="22"/>
          <w:szCs w:val="22"/>
        </w:rPr>
        <w:t xml:space="preserve">Two points must be carried into the final report so the risk picture is not overstated or understated. First, the weak JWT secret is real and confirmed at runtime, and forging a valid signature is trivial — but on the current build it does not by itself yield privilege escalation, because the gateway binds every token to a live database user whose stored access_token must match the presented token. Second, that protection is incidental to the secret being weak: the risk becomes direct and immediate if the session-binding check is ever weakened, removed, or changed so a forged token can satisfy the stored-token comparison, or if an attacker obtains any valid stored token. R-01 is therefore still rated Critical and should not be deprioritised on the strength of the defence-in-depth behaviour observed in Week 6.</w:t>
      </w:r>
    </w:p>
    <w:p>
      <w:pPr>
        <w:pStyle w:val="Heading1"/>
        <w:spacing w:after="120" w:before="240"/>
      </w:pPr>
      <w:r>
        <w:t xml:space="preserve">8. Deliverables</w:t>
      </w:r>
    </w:p>
    <w:p>
      <w:pPr>
        <w:pStyle w:val="ListParagraph"/>
        <w:numPr>
          <w:ilvl w:val="0"/>
          <w:numId w:val="1"/>
        </w:numPr>
        <w:spacing w:after="80"/>
      </w:pPr>
      <w:r>
        <w:rPr>
          <w:sz w:val="22"/>
          <w:szCs w:val="22"/>
        </w:rPr>
        <w:t xml:space="preserve">Consolidated dependency and configuration finding register — final severities, standards mapping, and remediation IDs (Section 3).</w:t>
      </w:r>
    </w:p>
    <w:p>
      <w:pPr>
        <w:pStyle w:val="ListParagraph"/>
        <w:numPr>
          <w:ilvl w:val="0"/>
          <w:numId w:val="1"/>
        </w:numPr>
        <w:spacing w:after="80"/>
      </w:pPr>
      <w:r>
        <w:rPr>
          <w:sz w:val="22"/>
          <w:szCs w:val="22"/>
        </w:rPr>
        <w:t xml:space="preserve">Remediation Plan C — prioritised, with exact fix paths, breaking upgrades separated from non-breaking ones (Section 4).</w:t>
      </w:r>
    </w:p>
    <w:p>
      <w:pPr>
        <w:pStyle w:val="ListParagraph"/>
        <w:numPr>
          <w:ilvl w:val="0"/>
          <w:numId w:val="1"/>
        </w:numPr>
        <w:spacing w:after="80"/>
      </w:pPr>
      <w:r>
        <w:rPr>
          <w:sz w:val="22"/>
          <w:szCs w:val="22"/>
        </w:rPr>
        <w:t xml:space="preserve">Secret-management recommendation (Section 5).</w:t>
      </w:r>
    </w:p>
    <w:p>
      <w:pPr>
        <w:pStyle w:val="ListParagraph"/>
        <w:numPr>
          <w:ilvl w:val="0"/>
          <w:numId w:val="1"/>
        </w:numPr>
        <w:spacing w:after="80"/>
      </w:pPr>
      <w:r>
        <w:rPr>
          <w:sz w:val="22"/>
          <w:szCs w:val="22"/>
        </w:rPr>
        <w:t xml:space="preserve">Re-test checklist with pass criteria, ready for verification next sprint (Section 6).</w:t>
      </w:r>
    </w:p>
    <w:p>
      <w:pPr>
        <w:pStyle w:val="ListParagraph"/>
        <w:numPr>
          <w:ilvl w:val="0"/>
          <w:numId w:val="1"/>
        </w:numPr>
        <w:spacing w:after="80"/>
      </w:pPr>
      <w:r>
        <w:rPr>
          <w:sz w:val="22"/>
          <w:szCs w:val="22"/>
        </w:rPr>
        <w:t xml:space="preserve">Residual risk statement for the final report and the Week 8 hand-off pack (Section 7).</w:t>
      </w:r>
    </w:p>
    <w:p>
      <w:pPr>
        <w:spacing w:after="120"/>
      </w:pPr>
      <w:r>
        <w:rPr>
          <w:b/>
          <w:bCs/>
          <w:i w:val="false"/>
          <w:iCs w:val="false"/>
          <w:sz w:val="22"/>
          <w:szCs w:val="22"/>
        </w:rPr>
        <w:t xml:space="preserve">Status: </w:t>
      </w:r>
      <w:r>
        <w:rPr>
          <w:b/>
          <w:bCs/>
          <w:i w:val="false"/>
          <w:iCs w:val="false"/>
          <w:sz w:val="22"/>
          <w:szCs w:val="22"/>
        </w:rPr>
        <w:t xml:space="preserve">Complete — dependency and configuration stream consolidated, remediation drafted to a level that can be actioned directly, and the re-test checklist handed to the sub-team lead for sign-off ahead of the Week 8 final report.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2026-09-07T10:27:12.329Z</dcterms:created>
  <dcterms:modified xsi:type="dcterms:W3CDTF">2026-09-07T10:27:12.329Z</dcterms:modified>
</cp:coreProperties>
</file>

<file path=docProps/custom.xml><?xml version="1.0" encoding="utf-8"?>
<Properties xmlns="http://schemas.openxmlformats.org/officeDocument/2006/custom-properties" xmlns:vt="http://schemas.openxmlformats.org/officeDocument/2006/docPropsVTypes"/>
</file>