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32"/>
          <w:szCs w:val="32"/>
        </w:rPr>
        <w:t xml:space="preserve">PROJECT PHOENIX</w:t>
      </w:r>
    </w:p>
    <w:p>
      <w:pPr>
        <w:spacing w:after="80"/>
      </w:pPr>
      <w:r>
        <w:rPr>
          <w:i/>
          <w:iCs/>
          <w:sz w:val="24"/>
          <w:szCs w:val="24"/>
        </w:rPr>
        <w:t xml:space="preserve">Hardhat Enterprises — Cybersecurity Stream</w:t>
      </w:r>
    </w:p>
    <w:p>
      <w:pPr>
        <w:spacing w:after="80"/>
      </w:pPr>
      <w:r>
        <w:rPr>
          <w:b/>
          <w:bCs/>
          <w:sz w:val="28"/>
          <w:szCs w:val="28"/>
        </w:rPr>
        <w:t xml:space="preserve">Week 6 Report — Privilege Escalation &amp; Bypass Support — Evidence Reproduction</w:t>
      </w:r>
    </w:p>
    <w:p>
      <w:pPr>
        <w:spacing w:after="160"/>
      </w:pPr>
      <w:r>
        <w:rPr>
          <w:sz w:val="22"/>
          <w:szCs w:val="22"/>
        </w:rPr>
        <w:t xml:space="preserve">Authentication &amp; RBAC Security Review · Part B — Sprint 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tcPr>
          <w:p>
            <w:pPr>
              <w:spacing w:after="0"/>
            </w:pPr>
            <w:r>
              <w:rPr>
                <w:b/>
                <w:bCs/>
                <w:sz w:val="22"/>
                <w:szCs w:val="22"/>
              </w:rPr>
              <w:t xml:space="preserve">Sub-team</w:t>
            </w:r>
          </w:p>
        </w:tc>
        <w:tc>
          <w:tcPr>
            <w:tcW w:type="dxa" w:w="6360"/>
          </w:tcPr>
          <w:p>
            <w:pPr>
              <w:spacing w:after="0"/>
            </w:pPr>
            <w:r>
              <w:rPr>
                <w:b w:val="false"/>
                <w:bCs w:val="false"/>
                <w:sz w:val="22"/>
                <w:szCs w:val="22"/>
              </w:rPr>
              <w:t xml:space="preserve">Authentication &amp; RBAC Review</w:t>
            </w:r>
          </w:p>
        </w:tc>
      </w:tr>
      <w:tr>
        <w:tc>
          <w:tcPr>
            <w:tcW w:type="dxa" w:w="3000"/>
          </w:tcPr>
          <w:p>
            <w:pPr>
              <w:spacing w:after="0"/>
            </w:pPr>
            <w:r>
              <w:rPr>
                <w:b/>
                <w:bCs/>
                <w:sz w:val="22"/>
                <w:szCs w:val="22"/>
              </w:rPr>
              <w:t xml:space="preserve">Work stream</w:t>
            </w:r>
          </w:p>
        </w:tc>
        <w:tc>
          <w:tcPr>
            <w:tcW w:type="dxa" w:w="6360"/>
          </w:tcPr>
          <w:p>
            <w:pPr>
              <w:spacing w:after="0"/>
            </w:pPr>
            <w:r>
              <w:rPr>
                <w:b w:val="false"/>
                <w:bCs w:val="false"/>
                <w:sz w:val="22"/>
                <w:szCs w:val="22"/>
              </w:rPr>
              <w:t xml:space="preserve">Dependency &amp; Configuration Audit</w:t>
            </w:r>
          </w:p>
        </w:tc>
      </w:tr>
      <w:tr>
        <w:tc>
          <w:tcPr>
            <w:tcW w:type="dxa" w:w="3000"/>
          </w:tcPr>
          <w:p>
            <w:pPr>
              <w:spacing w:after="0"/>
            </w:pPr>
            <w:r>
              <w:rPr>
                <w:b/>
                <w:bCs/>
                <w:sz w:val="22"/>
                <w:szCs w:val="22"/>
              </w:rPr>
              <w:t xml:space="preserve">Prepared by</w:t>
            </w:r>
          </w:p>
        </w:tc>
        <w:tc>
          <w:tcPr>
            <w:tcW w:type="dxa" w:w="6360"/>
          </w:tcPr>
          <w:p>
            <w:pPr>
              <w:spacing w:after="0"/>
            </w:pPr>
            <w:r>
              <w:rPr>
                <w:b w:val="false"/>
                <w:bCs w:val="false"/>
                <w:sz w:val="22"/>
                <w:szCs w:val="22"/>
              </w:rPr>
              <w:t xml:space="preserve">Divjot Singh</w:t>
            </w:r>
          </w:p>
        </w:tc>
      </w:tr>
      <w:tr>
        <w:tc>
          <w:tcPr>
            <w:tcW w:type="dxa" w:w="3000"/>
          </w:tcPr>
          <w:p>
            <w:pPr>
              <w:spacing w:after="0"/>
            </w:pPr>
            <w:r>
              <w:rPr>
                <w:b/>
                <w:bCs/>
                <w:sz w:val="22"/>
                <w:szCs w:val="22"/>
              </w:rPr>
              <w:t xml:space="preserve">Reviewed by</w:t>
            </w:r>
          </w:p>
        </w:tc>
        <w:tc>
          <w:tcPr>
            <w:tcW w:type="dxa" w:w="6360"/>
          </w:tcPr>
          <w:p>
            <w:pPr>
              <w:spacing w:after="0"/>
            </w:pPr>
            <w:r>
              <w:rPr>
                <w:b w:val="false"/>
                <w:bCs w:val="false"/>
                <w:sz w:val="22"/>
                <w:szCs w:val="22"/>
              </w:rPr>
              <w:t xml:space="preserve">Himanshu (Sub-team Lead)</w:t>
            </w:r>
          </w:p>
        </w:tc>
      </w:tr>
      <w:tr>
        <w:tc>
          <w:tcPr>
            <w:tcW w:type="dxa" w:w="3000"/>
          </w:tcPr>
          <w:p>
            <w:pPr>
              <w:spacing w:after="0"/>
            </w:pPr>
            <w:r>
              <w:rPr>
                <w:b/>
                <w:bCs/>
                <w:sz w:val="22"/>
                <w:szCs w:val="22"/>
              </w:rPr>
              <w:t xml:space="preserve">Repository / branch</w:t>
            </w:r>
          </w:p>
        </w:tc>
        <w:tc>
          <w:tcPr>
            <w:tcW w:type="dxa" w:w="6360"/>
          </w:tcPr>
          <w:p>
            <w:pPr>
              <w:spacing w:after="0"/>
            </w:pPr>
            <w:r>
              <w:rPr>
                <w:b w:val="false"/>
                <w:bCs w:val="false"/>
                <w:sz w:val="22"/>
                <w:szCs w:val="22"/>
              </w:rPr>
              <w:t xml:space="preserve">Hardhat-Enterprises/Phoenix · dev</w:t>
            </w:r>
          </w:p>
        </w:tc>
      </w:tr>
      <w:tr>
        <w:tc>
          <w:tcPr>
            <w:tcW w:type="dxa" w:w="3000"/>
          </w:tcPr>
          <w:p>
            <w:pPr>
              <w:spacing w:after="0"/>
            </w:pPr>
            <w:r>
              <w:rPr>
                <w:b/>
                <w:bCs/>
                <w:sz w:val="22"/>
                <w:szCs w:val="22"/>
              </w:rPr>
              <w:t xml:space="preserve">Status</w:t>
            </w:r>
          </w:p>
        </w:tc>
        <w:tc>
          <w:tcPr>
            <w:tcW w:type="dxa" w:w="6360"/>
          </w:tcPr>
          <w:p>
            <w:pPr>
              <w:spacing w:after="0"/>
            </w:pPr>
            <w:r>
              <w:rPr>
                <w:b w:val="false"/>
                <w:bCs w:val="false"/>
                <w:sz w:val="22"/>
                <w:szCs w:val="22"/>
              </w:rPr>
              <w:t xml:space="preserve">Complete</w:t>
            </w:r>
          </w:p>
        </w:tc>
      </w:tr>
    </w:tbl>
    <w:p>
      <w:pPr>
        <w:spacing w:after="120"/>
      </w:pPr>
    </w:p>
    <w:p>
      <w:pPr>
        <w:pStyle w:val="Heading1"/>
        <w:spacing w:after="80" w:before="200"/>
      </w:pPr>
      <w:r>
        <w:t xml:space="preserve">1. Objective</w:t>
      </w:r>
    </w:p>
    <w:p>
      <w:pPr>
        <w:spacing w:after="120"/>
      </w:pPr>
      <w:r>
        <w:rPr>
          <w:sz w:val="22"/>
          <w:szCs w:val="22"/>
        </w:rPr>
        <w:t xml:space="preserve">Support the sub-team’s privilege-escalation and bypass testing by independently reproducing the JWT token-forgery path implied by the weak signing secret confirmed in CFG-01, and by folding the dependency, configuration and log evidence into the shared evidence appendix. The specific goal for this week was to restore the live environment, confirm the weak secret at runtime, and test whether a self-minted (forged) token is sufficient to escalate privilege against the API Gateway’s admin-gated endpoints.</w:t>
      </w:r>
    </w:p>
    <w:p>
      <w:pPr>
        <w:pStyle w:val="Heading1"/>
        <w:spacing w:after="80" w:before="200"/>
      </w:pPr>
      <w:r>
        <w:t xml:space="preserve">2. Method</w:t>
      </w:r>
    </w:p>
    <w:p>
      <w:pPr>
        <w:spacing w:after="120"/>
      </w:pPr>
      <w:r>
        <w:rPr>
          <w:sz w:val="22"/>
          <w:szCs w:val="22"/>
        </w:rPr>
        <w:t xml:space="preserve">Combined a source-code review of the api-gateway authentication middleware and route definitions with live testing against the running stack. All six backend containers were restored and verified before testing, and every claim below is backed by a command run against the live environment.</w:t>
      </w:r>
    </w:p>
    <w:p>
      <w:pPr>
        <w:pStyle w:val="Heading1"/>
        <w:spacing w:after="80" w:before="200"/>
      </w:pPr>
      <w:r>
        <w:t xml:space="preserve">3. Environment Restored &amp; Verified</w:t>
      </w:r>
    </w:p>
    <w:p>
      <w:pPr>
        <w:pStyle w:val="ListParagraph"/>
        <w:numPr>
          <w:ilvl w:val="0"/>
          <w:numId w:val="2"/>
        </w:numPr>
        <w:spacing w:after="60"/>
      </w:pPr>
      <w:r>
        <w:rPr>
          <w:sz w:val="22"/>
          <w:szCs w:val="22"/>
        </w:rPr>
        <w:t xml:space="preserve">Brought the database layer up from the root compose file (docker compose up -d) — phoenix-postgres confirmed healthy on 5432.</w:t>
      </w:r>
    </w:p>
    <w:p>
      <w:pPr>
        <w:pStyle w:val="ListParagraph"/>
        <w:numPr>
          <w:ilvl w:val="0"/>
          <w:numId w:val="2"/>
        </w:numPr>
        <w:spacing w:after="60"/>
      </w:pPr>
      <w:r>
        <w:rPr>
          <w:sz w:val="22"/>
          <w:szCs w:val="22"/>
        </w:rPr>
        <w:t xml:space="preserve">Brought the full backend stack up from backend/docker-compose.yaml — rabbitmq, redis, api-gateway, user-service, data-ingestion-service and storage-service.</w:t>
      </w:r>
    </w:p>
    <w:p>
      <w:pPr>
        <w:pStyle w:val="ListParagraph"/>
        <w:numPr>
          <w:ilvl w:val="0"/>
          <w:numId w:val="2"/>
        </w:numPr>
        <w:spacing w:after="60"/>
      </w:pPr>
      <w:r>
        <w:rPr>
          <w:sz w:val="22"/>
          <w:szCs w:val="22"/>
        </w:rPr>
        <w:t xml:space="preserve">Hit the same first-boot RabbitMQ race condition recorded in Week 1 (api-gateway logged: error starting server: Error: connect ECONNREFUSED 172.19.0.3:5672). Resolved it the same way — restarting the dependent services once RabbitMQ was warmed up.</w:t>
      </w:r>
    </w:p>
    <w:p>
      <w:pPr>
        <w:spacing w:after="120"/>
      </w:pPr>
      <w:r>
        <w:rPr>
          <w:sz w:val="22"/>
          <w:szCs w:val="22"/>
        </w:rPr>
        <w:t xml:space="preserve">End-to-end verification: curl http://localhost:3001/health returned </w:t>
      </w:r>
      <w:r>
        <w:rPr>
          <w:sz w:val="22"/>
          <w:szCs w:val="22"/>
        </w:rPr>
        <w:t xml:space="preserve">{"message":"API Gateway is running"}</w:t>
      </w:r>
      <w:r>
        <w:rPr>
          <w:sz w:val="22"/>
          <w:szCs w:val="22"/>
        </w:rPr>
        <w:t xml:space="preserve">, confirming the gateway and its downstream gRPC dependencies were reachable.</w:t>
      </w:r>
    </w:p>
    <w:p>
      <w:pPr>
        <w:pStyle w:val="Heading1"/>
        <w:spacing w:after="80" w:before="200"/>
      </w:pPr>
      <w:r>
        <w:t xml:space="preserve">4. Finding 1 — Weak JWT Secret Confirmed at Runtime (CFG-01)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shd w:fill="D9E2F3" w:val="clear"/>
          </w:tcPr>
          <w:p>
            <w:pPr>
              <w:spacing w:after="0"/>
            </w:pPr>
            <w:r>
              <w:rPr>
                <w:b/>
                <w:bCs/>
                <w:sz w:val="22"/>
                <w:szCs w:val="22"/>
              </w:rPr>
              <w:t xml:space="preserve">Field</w:t>
            </w:r>
          </w:p>
        </w:tc>
        <w:tc>
          <w:tcPr>
            <w:tcW w:type="dxa" w:w="6360"/>
            <w:shd w:fill="D9E2F3" w:val="clear"/>
          </w:tcPr>
          <w:p>
            <w:pPr>
              <w:spacing w:after="0"/>
            </w:pPr>
            <w:r>
              <w:rPr>
                <w:b/>
                <w:bCs/>
                <w:sz w:val="22"/>
                <w:szCs w:val="22"/>
              </w:rPr>
              <w:t xml:space="preserve">Detail</w:t>
            </w:r>
          </w:p>
        </w:tc>
      </w:tr>
      <w:tr>
        <w:tc>
          <w:tcPr>
            <w:tcW w:type="dxa" w:w="3000"/>
          </w:tcPr>
          <w:p>
            <w:pPr>
              <w:spacing w:after="0"/>
            </w:pPr>
            <w:r>
              <w:rPr>
                <w:b/>
                <w:bCs/>
                <w:sz w:val="22"/>
                <w:szCs w:val="22"/>
              </w:rPr>
              <w:t xml:space="preserve">What was tested</w:t>
            </w:r>
          </w:p>
        </w:tc>
        <w:tc>
          <w:tcPr>
            <w:tcW w:type="dxa" w:w="6360"/>
          </w:tcPr>
          <w:p>
            <w:pPr>
              <w:spacing w:after="0"/>
            </w:pPr>
            <w:r>
              <w:rPr>
                <w:b w:val="false"/>
                <w:bCs w:val="false"/>
                <w:sz w:val="22"/>
                <w:szCs w:val="22"/>
              </w:rPr>
              <w:t xml:space="preserve">Whether the weak secret recorded in CFG-01 is the value actually loaded by the running api-gateway process, not just what appears in the .env file.</w:t>
            </w:r>
          </w:p>
        </w:tc>
      </w:tr>
      <w:tr>
        <w:tc>
          <w:tcPr>
            <w:tcW w:type="dxa" w:w="3000"/>
          </w:tcPr>
          <w:p>
            <w:pPr>
              <w:spacing w:after="0"/>
            </w:pPr>
            <w:r>
              <w:rPr>
                <w:b/>
                <w:bCs/>
                <w:sz w:val="22"/>
                <w:szCs w:val="22"/>
              </w:rPr>
              <w:t xml:space="preserve">Command</w:t>
            </w:r>
          </w:p>
        </w:tc>
        <w:tc>
          <w:tcPr>
            <w:tcW w:type="dxa" w:w="6360"/>
          </w:tcPr>
          <w:p>
            <w:pPr>
              <w:spacing w:after="0"/>
            </w:pPr>
            <w:r>
              <w:rPr>
                <w:b w:val="false"/>
                <w:bCs w:val="false"/>
                <w:sz w:val="22"/>
                <w:szCs w:val="22"/>
              </w:rPr>
              <w:t xml:space="preserve">docker compose exec api-gateway printenv AUTH_JWT_SECRET</w:t>
            </w:r>
          </w:p>
        </w:tc>
      </w:tr>
      <w:tr>
        <w:tc>
          <w:tcPr>
            <w:tcW w:type="dxa" w:w="3000"/>
          </w:tcPr>
          <w:p>
            <w:pPr>
              <w:spacing w:after="0"/>
            </w:pPr>
            <w:r>
              <w:rPr>
                <w:b/>
                <w:bCs/>
                <w:sz w:val="22"/>
                <w:szCs w:val="22"/>
              </w:rPr>
              <w:t xml:space="preserve">Live evidence</w:t>
            </w:r>
          </w:p>
        </w:tc>
        <w:tc>
          <w:tcPr>
            <w:tcW w:type="dxa" w:w="6360"/>
          </w:tcPr>
          <w:p>
            <w:pPr>
              <w:spacing w:after="0"/>
            </w:pPr>
            <w:r>
              <w:rPr>
                <w:b w:val="false"/>
                <w:bCs w:val="false"/>
                <w:sz w:val="22"/>
                <w:szCs w:val="22"/>
              </w:rPr>
              <w:t xml:space="preserve">AUTH_JWT_SECRET=secret123</w:t>
            </w:r>
          </w:p>
        </w:tc>
      </w:tr>
      <w:tr>
        <w:tc>
          <w:tcPr>
            <w:tcW w:type="dxa" w:w="3000"/>
          </w:tcPr>
          <w:p>
            <w:pPr>
              <w:spacing w:after="0"/>
            </w:pPr>
            <w:r>
              <w:rPr>
                <w:b/>
                <w:bCs/>
                <w:sz w:val="22"/>
                <w:szCs w:val="22"/>
              </w:rPr>
              <w:t xml:space="preserve">Result</w:t>
            </w:r>
          </w:p>
        </w:tc>
        <w:tc>
          <w:tcPr>
            <w:tcW w:type="dxa" w:w="6360"/>
          </w:tcPr>
          <w:p>
            <w:pPr>
              <w:spacing w:after="0"/>
            </w:pPr>
            <w:r>
              <w:rPr>
                <w:b w:val="false"/>
                <w:bCs w:val="false"/>
                <w:sz w:val="22"/>
                <w:szCs w:val="22"/>
              </w:rPr>
              <w:t xml:space="preserve">Confirmed. The gateway process is running with the weak, guessable secret secret123.</w:t>
            </w:r>
          </w:p>
        </w:tc>
      </w:tr>
      <w:tr>
        <w:tc>
          <w:tcPr>
            <w:tcW w:type="dxa" w:w="3000"/>
          </w:tcPr>
          <w:p>
            <w:pPr>
              <w:spacing w:after="0"/>
            </w:pPr>
            <w:r>
              <w:rPr>
                <w:b/>
                <w:bCs/>
                <w:sz w:val="22"/>
                <w:szCs w:val="22"/>
              </w:rPr>
              <w:t xml:space="preserve">Severity</w:t>
            </w:r>
          </w:p>
        </w:tc>
        <w:tc>
          <w:tcPr>
            <w:tcW w:type="dxa" w:w="6360"/>
          </w:tcPr>
          <w:p>
            <w:pPr>
              <w:spacing w:after="0"/>
            </w:pPr>
            <w:r>
              <w:rPr>
                <w:b w:val="false"/>
                <w:bCs w:val="false"/>
                <w:sz w:val="22"/>
                <w:szCs w:val="22"/>
              </w:rPr>
              <w:t xml:space="preserve">Critical</w:t>
            </w:r>
          </w:p>
        </w:tc>
      </w:tr>
      <w:tr>
        <w:tc>
          <w:tcPr>
            <w:tcW w:type="dxa" w:w="3000"/>
          </w:tcPr>
          <w:p>
            <w:pPr>
              <w:spacing w:after="0"/>
            </w:pPr>
            <w:r>
              <w:rPr>
                <w:b/>
                <w:bCs/>
                <w:sz w:val="22"/>
                <w:szCs w:val="22"/>
              </w:rPr>
              <w:t xml:space="preserve">Standards</w:t>
            </w:r>
          </w:p>
        </w:tc>
        <w:tc>
          <w:tcPr>
            <w:tcW w:type="dxa" w:w="6360"/>
          </w:tcPr>
          <w:p>
            <w:pPr>
              <w:spacing w:after="0"/>
            </w:pPr>
            <w:r>
              <w:rPr>
                <w:b w:val="false"/>
                <w:bCs w:val="false"/>
                <w:sz w:val="22"/>
                <w:szCs w:val="22"/>
              </w:rPr>
              <w:t xml:space="preserve">OWASP A02:2021 Cryptographic Failures; CWE-798 Use of Hard-coded Credentials</w:t>
            </w:r>
          </w:p>
        </w:tc>
      </w:tr>
    </w:tbl>
    <w:p>
      <w:pPr>
        <w:pStyle w:val="Heading1"/>
        <w:spacing w:after="80" w:before="200"/>
      </w:pPr>
      <w:r>
        <w:t xml:space="preserve">5. Finding 2 — Token Forgery Mechanism Works in Isolation</w:t>
      </w:r>
    </w:p>
    <w:p>
      <w:pPr>
        <w:spacing w:after="120"/>
      </w:pPr>
      <w:r>
        <w:rPr>
          <w:sz w:val="22"/>
          <w:szCs w:val="22"/>
        </w:rPr>
        <w:t xml:space="preserve">Using the jsonwebtoken library already present in the api-gateway container, and the process’s own live secret, a token was signed and then verified inside the same container:</w:t>
      </w:r>
    </w:p>
    <w:p>
      <w:pPr>
        <w:pStyle w:val="ListParagraph"/>
        <w:numPr>
          <w:ilvl w:val="0"/>
          <w:numId w:val="2"/>
        </w:numPr>
        <w:spacing w:after="60"/>
      </w:pPr>
      <w:r>
        <w:rPr>
          <w:sz w:val="22"/>
          <w:szCs w:val="22"/>
        </w:rPr>
        <w:t xml:space="preserve">A token with the payload { user_id: ‘attacker-forged-0001’, role: ‘admin’ } was signed with the process AUTH_JWT_SECRET and verified successfully (VERIFY_OK printed the decoded admin payload).</w:t>
      </w:r>
    </w:p>
    <w:p>
      <w:pPr>
        <w:spacing w:after="120"/>
      </w:pPr>
      <w:r>
        <w:rPr>
          <w:sz w:val="22"/>
          <w:szCs w:val="22"/>
        </w:rPr>
        <w:t xml:space="preserve">This proves the cryptographic step of the attack is trivial: anyone holding the leaked secret can mint a signature the gateway will accept. The token payload shape was taken directly from the application’s own sign call in user-service (jwt.sign({ user_id, role }, JWT_SECRET, { expiresIn })), so the forged token is byte-for-byte plausible.</w:t>
      </w:r>
    </w:p>
    <w:p>
      <w:pPr>
        <w:pStyle w:val="Heading1"/>
        <w:spacing w:after="80" w:before="200"/>
      </w:pPr>
      <w:r>
        <w:t xml:space="preserve">6. Finding 3 — Auth Routes Mounted Under an Unexpected Prefix</w:t>
      </w:r>
    </w:p>
    <w:p>
      <w:pPr>
        <w:spacing w:after="120"/>
      </w:pPr>
      <w:r>
        <w:rPr>
          <w:sz w:val="22"/>
          <w:szCs w:val="22"/>
        </w:rPr>
        <w:t xml:space="preserve">During testing, POST /auth/register returned 404 (Cannot POST /auth/register). Source review of api-gateway/src/app.ts explained why:</w:t>
      </w:r>
    </w:p>
    <w:p>
      <w:pPr>
        <w:pStyle w:val="ListParagraph"/>
        <w:numPr>
          <w:ilvl w:val="0"/>
          <w:numId w:val="2"/>
        </w:numPr>
        <w:spacing w:after="60"/>
      </w:pPr>
      <w:r>
        <w:rPr>
          <w:sz w:val="22"/>
          <w:szCs w:val="22"/>
        </w:rPr>
        <w:t xml:space="preserve">app.use(“/auth”, authRoutes) is commented out.</w:t>
      </w:r>
    </w:p>
    <w:p>
      <w:pPr>
        <w:pStyle w:val="ListParagraph"/>
        <w:numPr>
          <w:ilvl w:val="0"/>
          <w:numId w:val="2"/>
        </w:numPr>
        <w:spacing w:after="60"/>
      </w:pPr>
      <w:r>
        <w:rPr>
          <w:sz w:val="22"/>
          <w:szCs w:val="22"/>
        </w:rPr>
        <w:t xml:space="preserve">The auth routes are instead served by userRoutes, which is mounted at app.use(“/api/users”, userRoutes).</w:t>
      </w:r>
    </w:p>
    <w:p>
      <w:pPr>
        <w:spacing w:after="120"/>
      </w:pPr>
      <w:r>
        <w:rPr>
          <w:sz w:val="22"/>
          <w:szCs w:val="22"/>
        </w:rPr>
        <w:t xml:space="preserve">The real, effective endpoints are therefore </w:t>
      </w:r>
      <w:r>
        <w:rPr>
          <w:b/>
          <w:bCs/>
          <w:sz w:val="22"/>
          <w:szCs w:val="22"/>
        </w:rPr>
        <w:t xml:space="preserve">/api/users/auth/register</w:t>
      </w:r>
      <w:r>
        <w:rPr>
          <w:sz w:val="22"/>
          <w:szCs w:val="22"/>
        </w:rPr>
        <w:t xml:space="preserve"> (admin-gated), </w:t>
      </w:r>
      <w:r>
        <w:rPr>
          <w:b/>
          <w:bCs/>
          <w:sz w:val="22"/>
          <w:szCs w:val="22"/>
        </w:rPr>
        <w:t xml:space="preserve">/api/users/auth/login</w:t>
      </w:r>
      <w:r>
        <w:rPr>
          <w:sz w:val="22"/>
          <w:szCs w:val="22"/>
        </w:rPr>
        <w:t xml:space="preserve">, and </w:t>
      </w:r>
      <w:r>
        <w:rPr>
          <w:b/>
          <w:bCs/>
          <w:sz w:val="22"/>
          <w:szCs w:val="22"/>
        </w:rPr>
        <w:t xml:space="preserve">/api/users/auth/refresh</w:t>
      </w:r>
      <w:r>
        <w:rPr>
          <w:sz w:val="22"/>
          <w:szCs w:val="22"/>
        </w:rPr>
        <w:t xml:space="preserve">. This path discrepancy is documented for the team, as it affects all endpoint-based testing and any endpoint inventory.</w:t>
      </w:r>
    </w:p>
    <w:p>
      <w:pPr>
        <w:pStyle w:val="Heading1"/>
        <w:spacing w:after="80" w:before="200"/>
      </w:pPr>
      <w:r>
        <w:t xml:space="preserve">7. Finding 4 (Key Result) — Session-Binding Check Defeats Naive Forgery</w:t>
      </w:r>
    </w:p>
    <w:p>
      <w:pPr>
        <w:spacing w:after="120"/>
      </w:pPr>
      <w:r>
        <w:rPr>
          <w:sz w:val="22"/>
          <w:szCs w:val="22"/>
        </w:rPr>
        <w:t xml:space="preserve">Firing a correctly-forged admin token at the correct endpoint (/api/users/auth/register) returned 401 {"status":401,"message":"Invalid token"}, even though the signature was valid. A full read of api-gateway/src/middleware/auth.middleware.ts explains this and is the most important result of the week.</w:t>
      </w:r>
    </w:p>
    <w:p>
      <w:pPr>
        <w:spacing w:after="120"/>
      </w:pPr>
      <w:r>
        <w:rPr>
          <w:sz w:val="22"/>
          <w:szCs w:val="22"/>
        </w:rPr>
        <w:t xml:space="preserve">The authenticate middleware does not stop at verifying the signature. After jwt.verify(token, JWT_SECRET) it performs two further checks:</w:t>
      </w:r>
    </w:p>
    <w:p>
      <w:pPr>
        <w:pStyle w:val="ListParagraph"/>
        <w:numPr>
          <w:ilvl w:val="0"/>
          <w:numId w:val="2"/>
        </w:numPr>
        <w:spacing w:after="60"/>
      </w:pPr>
      <w:r>
        <w:rPr>
          <w:sz w:val="22"/>
          <w:szCs w:val="22"/>
        </w:rPr>
        <w:t xml:space="preserve">It looks the user up in the database: UserAccount.findByPk(decoded.user_id).</w:t>
      </w:r>
    </w:p>
    <w:p>
      <w:pPr>
        <w:pStyle w:val="ListParagraph"/>
        <w:numPr>
          <w:ilvl w:val="0"/>
          <w:numId w:val="2"/>
        </w:numPr>
        <w:spacing w:after="60"/>
      </w:pPr>
      <w:r>
        <w:rPr>
          <w:sz w:val="22"/>
          <w:szCs w:val="22"/>
        </w:rPr>
        <w:t xml:space="preserve">It requires the presented token to equal the token currently stored on that account: if (!user || user.access_token !== token) → rejected.</w:t>
      </w:r>
    </w:p>
    <w:p>
      <w:pPr>
        <w:spacing w:after="120"/>
      </w:pPr>
      <w:r>
        <w:rPr>
          <w:sz w:val="22"/>
          <w:szCs w:val="22"/>
        </w:rPr>
        <w:t xml:space="preserve">The live database was then inspected directly. The user table (the UserAccount model maps to the singular table “user”, with primary-key column userid) contains zero rows:</w:t>
      </w:r>
    </w:p>
    <w:p>
      <w:pPr>
        <w:pStyle w:val="ListParagraph"/>
        <w:numPr>
          <w:ilvl w:val="0"/>
          <w:numId w:val="2"/>
        </w:numPr>
        <w:spacing w:after="60"/>
      </w:pPr>
      <w:r>
        <w:rPr>
          <w:sz w:val="22"/>
          <w:szCs w:val="22"/>
        </w:rPr>
        <w:t xml:space="preserve">docker exec phoenix-postgres psql -U phoenix_user -d phoenix_db -c “SELECT COUNT(*) FROM \”user\”;” → count = 0.</w:t>
      </w:r>
    </w:p>
    <w:p>
      <w:pPr>
        <w:spacing w:after="120"/>
      </w:pPr>
      <w:r>
        <w:rPr>
          <w:sz w:val="22"/>
          <w:szCs w:val="22"/>
        </w:rPr>
        <w:t xml:space="preserve">Because the account referenced by the forged token does not exist (and the table is empty), the middleware’s user lookup / access_token comparison fails and the request is rejected as “Invalid token”. Registration is itself admin-gated, and with no admin account seeded, no first user can be created — a chicken-and-egg lockout on this instance.</w:t>
      </w:r>
    </w:p>
    <w:p>
      <w:pPr>
        <w:pStyle w:val="Heading1"/>
        <w:spacing w:after="80" w:before="200"/>
      </w:pPr>
      <w:r>
        <w:t xml:space="preserve">8. Impact &amp; Interpretation</w:t>
      </w:r>
    </w:p>
    <w:p>
      <w:pPr>
        <w:spacing w:after="120"/>
      </w:pPr>
      <w:r>
        <w:rPr>
          <w:sz w:val="22"/>
          <w:szCs w:val="22"/>
        </w:rPr>
        <w:t xml:space="preserve">The weak JWT secret (CFG-01) is real and confirmed at runtime, and forging a valid signature is trivial. However, on this build the weak secret alone does not yield privilege escalation, because the gateway applies defence-in-depth: every token is bound to a live database user whose stored access_token must match the presented token. In effect:</w:t>
      </w:r>
    </w:p>
    <w:p>
      <w:pPr>
        <w:pStyle w:val="ListParagraph"/>
        <w:numPr>
          <w:ilvl w:val="0"/>
          <w:numId w:val="2"/>
        </w:numPr>
        <w:spacing w:after="60"/>
      </w:pPr>
      <w:r>
        <w:rPr>
          <w:sz w:val="22"/>
          <w:szCs w:val="22"/>
        </w:rPr>
        <w:t xml:space="preserve">Forging a token for an arbitrary (non-existent) user → blocked by the user lookup.</w:t>
      </w:r>
    </w:p>
    <w:p>
      <w:pPr>
        <w:pStyle w:val="ListParagraph"/>
        <w:numPr>
          <w:ilvl w:val="0"/>
          <w:numId w:val="2"/>
        </w:numPr>
        <w:spacing w:after="60"/>
      </w:pPr>
      <w:r>
        <w:rPr>
          <w:sz w:val="22"/>
          <w:szCs w:val="22"/>
        </w:rPr>
        <w:t xml:space="preserve">Forging an elevated token that reuses a real user’s user_id → blocked by the user.access_token !== token comparison, unless the attacker already possesses that user’s current stored token — at which point they already hold the session.</w:t>
      </w:r>
    </w:p>
    <w:p>
      <w:pPr>
        <w:spacing w:after="120"/>
      </w:pPr>
      <w:r>
        <w:rPr>
          <w:sz w:val="22"/>
          <w:szCs w:val="22"/>
        </w:rPr>
        <w:t xml:space="preserve">The residual risk is therefore conditional: the weak secret becomes directly dangerous if the access_token binding is ever weakened, removed, or if refresh/short-lived-token handling is changed so a forged token can satisfy the stored-token check. The remediation from Week 3 stands unchanged and is now higher-confidence: rotate both JWT secrets to 256-bit cryptographically-random values held in a secret manager (CFG-01, CFG-02), so signature forgery is not merely mitigated by a second control but eliminated at the source.</w:t>
      </w:r>
    </w:p>
    <w:p>
      <w:pPr>
        <w:pStyle w:val="Heading1"/>
        <w:spacing w:after="80" w:before="200"/>
      </w:pPr>
      <w:r>
        <w:t xml:space="preserve">9. Evidence Appendix — Consolidation</w:t>
      </w:r>
    </w:p>
    <w:p>
      <w:pPr>
        <w:spacing w:after="120"/>
      </w:pPr>
      <w:r>
        <w:rPr>
          <w:sz w:val="22"/>
          <w:szCs w:val="22"/>
        </w:rPr>
        <w:t xml:space="preserve">The following evidence is ready and folded into the shared evidence appendix alongside the escalation-testing evidence from the rest of the team:</w:t>
      </w:r>
    </w:p>
    <w:p>
      <w:pPr>
        <w:pStyle w:val="ListParagraph"/>
        <w:numPr>
          <w:ilvl w:val="0"/>
          <w:numId w:val="2"/>
        </w:numPr>
        <w:spacing w:after="60"/>
      </w:pPr>
      <w:r>
        <w:rPr>
          <w:sz w:val="22"/>
          <w:szCs w:val="22"/>
        </w:rPr>
        <w:t xml:space="preserve">Runtime confirmation of CFG-01 (AUTH_JWT_SECRET=secret123 from inside the api-gateway container).</w:t>
      </w:r>
    </w:p>
    <w:p>
      <w:pPr>
        <w:pStyle w:val="ListParagraph"/>
        <w:numPr>
          <w:ilvl w:val="0"/>
          <w:numId w:val="2"/>
        </w:numPr>
        <w:spacing w:after="60"/>
      </w:pPr>
      <w:r>
        <w:rPr>
          <w:sz w:val="22"/>
          <w:szCs w:val="22"/>
        </w:rPr>
        <w:t xml:space="preserve">Forgery-mechanism proof (sign + verify round-trip inside the container using the live secret).</w:t>
      </w:r>
    </w:p>
    <w:p>
      <w:pPr>
        <w:pStyle w:val="ListParagraph"/>
        <w:numPr>
          <w:ilvl w:val="0"/>
          <w:numId w:val="2"/>
        </w:numPr>
        <w:spacing w:after="60"/>
      </w:pPr>
      <w:r>
        <w:rPr>
          <w:sz w:val="22"/>
          <w:szCs w:val="22"/>
        </w:rPr>
        <w:t xml:space="preserve">Route-mount discrepancy (app.ts — /auth commented out; auth served under /api/users).</w:t>
      </w:r>
    </w:p>
    <w:p>
      <w:pPr>
        <w:pStyle w:val="ListParagraph"/>
        <w:numPr>
          <w:ilvl w:val="0"/>
          <w:numId w:val="2"/>
        </w:numPr>
        <w:spacing w:after="60"/>
      </w:pPr>
      <w:r>
        <w:rPr>
          <w:sz w:val="22"/>
          <w:szCs w:val="22"/>
        </w:rPr>
        <w:t xml:space="preserve">Middleware session-binding logic (auth.middleware.ts — findByPk + access_token equality check).</w:t>
      </w:r>
    </w:p>
    <w:p>
      <w:pPr>
        <w:pStyle w:val="ListParagraph"/>
        <w:numPr>
          <w:ilvl w:val="0"/>
          <w:numId w:val="2"/>
        </w:numPr>
        <w:spacing w:after="60"/>
      </w:pPr>
      <w:r>
        <w:rPr>
          <w:sz w:val="22"/>
          <w:szCs w:val="22"/>
        </w:rPr>
        <w:t xml:space="preserve">Empty user table evidence (COUNT(*) = 0) demonstrating the escalation path is database-gated on this instance.</w:t>
      </w:r>
    </w:p>
    <w:p>
      <w:pPr>
        <w:pStyle w:val="ListParagraph"/>
        <w:numPr>
          <w:ilvl w:val="0"/>
          <w:numId w:val="2"/>
        </w:numPr>
        <w:spacing w:after="60"/>
      </w:pPr>
      <w:r>
        <w:rPr>
          <w:sz w:val="22"/>
          <w:szCs w:val="22"/>
        </w:rPr>
        <w:t xml:space="preserve">B-06 RabbitMQ credential-leak log evidence, the per-service npm audit JSON, and the Week 4/5 dependency and configuration findings, carried from the Dependency &amp; Configuration Audit Report.</w:t>
      </w:r>
    </w:p>
    <w:p>
      <w:pPr>
        <w:pStyle w:val="Heading1"/>
        <w:spacing w:after="80" w:before="200"/>
      </w:pPr>
      <w:r>
        <w:t xml:space="preserve">10. Deliverable</w:t>
      </w:r>
    </w:p>
    <w:p>
      <w:pPr>
        <w:pStyle w:val="ListParagraph"/>
        <w:numPr>
          <w:ilvl w:val="0"/>
          <w:numId w:val="2"/>
        </w:numPr>
        <w:spacing w:after="60"/>
      </w:pPr>
      <w:r>
        <w:rPr>
          <w:sz w:val="22"/>
          <w:szCs w:val="22"/>
        </w:rPr>
        <w:t xml:space="preserve">Verified evidence set — complete. Environment restored and verified; CFG-01 confirmed live; forgery mechanism proven; and the escalation attempt independently reproduced end-to-end, establishing that the weak secret is not independently exploitable on this build due to the token/session-binding check.</w:t>
      </w:r>
    </w:p>
    <w:p>
      <w:pPr>
        <w:spacing w:before="160"/>
      </w:pPr>
      <w:r>
        <w:rPr>
          <w:b/>
          <w:bCs/>
          <w:sz w:val="22"/>
          <w:szCs w:val="22"/>
        </w:rPr>
        <w:t xml:space="preserve">Status: </w:t>
      </w:r>
      <w:r>
        <w:rPr>
          <w:b/>
          <w:bCs/>
          <w:sz w:val="22"/>
          <w:szCs w:val="22"/>
        </w:rPr>
        <w:t xml:space="preserve">Complete — escalation path tested live; weak secret confirmed, and its exploitability characterised (blocked by the access_token session-binding check on the current, empty-user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b w:val="false"/>
      <w:bCs w:val="false"/>
      <w:color w:val="2E74B5"/>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2026-09-02T08:49:11.112Z</dcterms:created>
  <dcterms:modified xsi:type="dcterms:W3CDTF">2026-09-02T08:49:11.124Z</dcterms:modified>
</cp:coreProperties>
</file>

<file path=docProps/custom.xml><?xml version="1.0" encoding="utf-8"?>
<Properties xmlns="http://schemas.openxmlformats.org/officeDocument/2006/custom-properties" xmlns:vt="http://schemas.openxmlformats.org/officeDocument/2006/docPropsVTypes"/>
</file>