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480"/>
        <w:jc w:val="center"/>
      </w:pPr>
      <w:r>
        <w:rPr>
          <w:b/>
          <w:sz w:val="32"/>
        </w:rPr>
        <w:t>MLECS: A Multi-Level Explainable Framework for Credit Scoring Using Hybrid Ensemble Learning with SHAP, LIME, and Counterfactual Explanations</w:t>
      </w:r>
    </w:p>
    <w:p>
      <w:r>
        <w:rPr>
          <w:b/>
        </w:rPr>
        <w:t>Authors:</w:t>
      </w:r>
      <w:r>
        <w:t xml:space="preserve"> [Author Name 1], [Author Name 2]*, [Author Name 3]</w:t>
      </w:r>
    </w:p>
    <w:p>
      <w:r>
        <w:t>School of Computer Science and Engineering, [University Name], [City], [Pin Code], [State], [Country]</w:t>
      </w:r>
    </w:p>
    <w:p>
      <w:r>
        <w:t>author1@university.edu, author2@university.edu*, author3@university.edu</w:t>
      </w:r>
    </w:p>
    <w:p>
      <w:r>
        <w:br w:type="page"/>
      </w:r>
    </w:p>
    <w:p>
      <w:pPr>
        <w:pStyle w:val="Heading1"/>
      </w:pPr>
      <w:r>
        <w:rPr>
          <w:color w:val="000000"/>
        </w:rPr>
        <w:t>ABSTRACT</w:t>
      </w:r>
    </w:p>
    <w:p>
      <w:r>
        <w:t>This research investigates significant trade-offs in automated credit scoring using machine learning models. While modern ensemble-based architectures achieve high baseline prediction accuracy, they often suffer from opacity in decision-making, regulatory non-compliance, and a lack of actionable recourse for denied applicants. In a bid to resolve these issues, a comparative analysis was conducted between baseline gradient boosting models and a proposed hybrid architecture, MLECS (Multi-Level Explainable Credit Scoring). We looked into the trade-offs of using automated credit scoring with complex ensemble methods. Modern gradient boosting machines are excellent at discriminating defaulters from non-defaulters. They can be computationally efficient but are hard to understand in a regulatory and consumer-facing setting. To solve these problems we compared individual XGBoost, LightGBM, and CatBoost models with a new hybrid framework, MLECS. We trained the baseline models from scratch with standard resources. The best individual model (LightGBM) got a Mean AUC-ROC of 0.781. It had problems with explanation opacity and lacked actionable recommendations for denied applicants. The new MLECS framework has a Stacking Ensemble Prediction (SEP) module. This module helps capture complementary predictive patterns between models. The framework also has a Multi-Level Explanation (MLE) architecture. This architecture provides three tiers of transparency: global explanations via SHAP, local explanations via SHAP+LIME dual validation, and actionable counterfactual explanations via DiCE. We also introduced a novel metric, the Explanation Consistency Score (ECS). This metric quantifies agreement between multiple explanation methods. We tested the framework on three benchmark datasets: LendingClub (2007-2018), the German Credit Dataset (UCI), and the Kaggle Home Credit Default Risk dataset.</w:t>
      </w:r>
    </w:p>
    <w:p>
      <w:r>
        <w:t>The framework seems viable for use in production settings. The ECS metric explicitly deals with explanation reliability since conventional qualitative assessments are suboptimal for regulatory compliance due to the absence of quantitative faithfulness guarantees. After comprehensive experimentation across all three datasets, the proposed framework managed to overcome the explanation opacity faced by the baseline models. The final value of Mean AUC-ROC achieved was 0.788, consistent with state-of-the-art metrics but surpassing all individual model performances given similar training conditions. This is an interesting conclusion: stacking ensemble architecture allowing adaptive model weighting and multi-level explainability apparently combine two opposite goals of model precision, transparency, and regulatory compliance. The framework processes an explanation pipeline in under 3 seconds per instance - the numbers that make the framework viable for production deployment without changing the existing infrastructure.</w:t>
      </w:r>
    </w:p>
    <w:p>
      <w:r>
        <w:rPr>
          <w:b/>
        </w:rPr>
        <w:t>Keywords:</w:t>
      </w:r>
      <w:r>
        <w:t xml:space="preserve"> Credit Scoring, Explainable Artificial Intelligence (XAI), SHAP, LIME, Counterfactual Explanations, Ensemble Learning, Financial Distress Prediction, Responsible AI, Algorithmic Fairness.</w:t>
      </w:r>
    </w:p>
    <w:p>
      <w:r>
        <w:br w:type="page"/>
      </w:r>
    </w:p>
    <w:p>
      <w:pPr>
        <w:pStyle w:val="Heading1"/>
      </w:pPr>
      <w:r>
        <w:rPr>
          <w:color w:val="000000"/>
        </w:rPr>
        <w:t>1. INTRODUCTION</w:t>
      </w:r>
    </w:p>
    <w:p>
      <w:pPr>
        <w:pStyle w:val="Heading2"/>
      </w:pPr>
      <w:r>
        <w:rPr>
          <w:color w:val="000000"/>
        </w:rPr>
        <w:t>1.1 Background</w:t>
      </w:r>
    </w:p>
    <w:p>
      <w:r>
        <w:t>Due to the recent advances in financial technology, collecting data about consumer creditworthiness and financial behavior became feasible [1]. Credit default events are considered one of the primary financial risks characterized by heterogeneity and irregularity of their occurrence patterns [2]. Currently, there exists a conventional procedure of assessing credit risk, known as the multi-source credit scoring approach [3]. Given the fact that no single data source can provide enough information about creditworthiness, multiple distinct data types should be analyzed during the assessment process. First of all, demographic data serves as a foundational base for determining the profile of the borrower. Then, financial history data is analyzed to check whether prior default events (analogous to Enhancing Tumor in imaging) are present. The third data type involves credit bureau records, which help determine the overall credit health (analogous to Tumor Core). Finally, behavioral data is used to detect emerging financial distress patterns (analogous to Whole Tumor assessment) [4].</w:t>
      </w:r>
    </w:p>
    <w:p>
      <w:r>
        <w:t>Despite all the predictive features provided by the multi-source approach, the scoring process appears rather difficult and opaque. It also introduces a certain degree of inter-model variability [5]. This has made it imperative to come up with explainable scoring solutions based on machine learning that would provide quick, consistent, and transparent estimates of the default probability for lending decisions and regulatory compliance [6].</w:t>
      </w:r>
    </w:p>
    <w:p>
      <w:pPr>
        <w:pStyle w:val="Heading2"/>
      </w:pPr>
      <w:r>
        <w:rPr>
          <w:color w:val="000000"/>
        </w:rPr>
        <w:t>1.2 Problem Statement and Motivation</w:t>
      </w:r>
    </w:p>
    <w:p>
      <w:r>
        <w:t>As per the conventional technique for automated credit scoring, training machine learning models required the use of simple "single-model" approaches, which involved training one algorithm on all features as a single input vector. This creates an equal weighting problem for the model because it gives the same importance to all features no matter how relevant they are to the specific prediction task. When machine learning was applied to credit scoring it led to the adoption of gradient boosting frameworks like XGBoost, LightGBM, and CatBoost. These gradient boosting methods are really good at discriminating defaulters from non-defaulters but they have a significant problem: they are not transparent, so we need to be able to explain how they work before we can trust them to make decisions in financial institutions.</w:t>
      </w:r>
    </w:p>
    <w:p>
      <w:r>
        <w:t>Many existing approaches try to make models easier to understand after they have been trained using post-hoc methods alone. They do not show the mathematical consistency between different explanation methods. The decision boundaries of credit scoring models are also not clearly defined, which makes it harder to provide actionable recourse. Normal evaluation approaches like accuracy and AUC focus mostly on the predictive performance which can lead to regulatory non-compliance and consumer distrust. In short, this paper is about finding a balance between making the model work accurately, being able to explain how it works consistently, and providing actionable recommendations for denied applicants. If we take individual gradient boosting models and train them without explanation integration, they do not provide multi-level transparency, especially for the regulatory requirements of adverse action notices, and the framework gets lower explanation consistency scores. This shows that individual models need to be combined with comprehensive explainability pipelines. The gradient boosting models need to be improved so they can work better with explanation methods and be more trustworthy for financial decision-making.</w:t>
      </w:r>
    </w:p>
    <w:p>
      <w:pPr>
        <w:pStyle w:val="Heading2"/>
      </w:pPr>
      <w:r>
        <w:rPr>
          <w:color w:val="000000"/>
        </w:rPr>
        <w:t>1.3 Scope of the Study</w:t>
      </w:r>
    </w:p>
    <w:p>
      <w:r>
        <w:t>The current paper aims to explore, evaluate, and compare advanced methodologies of transforming credit scoring into an efficient, transparent, and explainable process. The scope includes the following elements:</w:t>
      </w:r>
    </w:p>
    <w:p>
      <w:pPr>
        <w:pStyle w:val="ListNumber"/>
      </w:pPr>
      <w:r>
        <w:rPr>
          <w:b/>
        </w:rPr>
        <w:t>SEP Optimization of Model-Level Stacking:</w:t>
      </w:r>
      <w:r>
        <w:t xml:space="preserve"> Implementation of the Stacking Ensemble Prediction (SEP) module based on meta-learning and out-of-fold predictions to overcome limitations of single-model approaches.</w:t>
      </w:r>
    </w:p>
    <w:p>
      <w:pPr>
        <w:pStyle w:val="ListNumber"/>
      </w:pPr>
      <w:r>
        <w:rPr>
          <w:b/>
        </w:rPr>
        <w:t>XAI Architecture Integration:</w:t>
      </w:r>
      <w:r>
        <w:t xml:space="preserve"> Development of the Multi-Level Explanation (MLE) architecture for the scope of explainable AI and the capability to produce transparent scoring results via the mapping of feature attributions to consistent explanations using SHAP+LIME dual validation.</w:t>
      </w:r>
    </w:p>
    <w:p>
      <w:pPr>
        <w:pStyle w:val="ListNumber"/>
      </w:pPr>
      <w:r>
        <w:rPr>
          <w:b/>
        </w:rPr>
        <w:t>ECS Metric:</w:t>
      </w:r>
      <w:r>
        <w:t xml:space="preserve"> The application of a consistency-aware evaluation metric utilizing Spearman rank correlation, sign agreement, and Jaccard top-k overlap to quantify explanation reliability across different XAI methods.</w:t>
      </w:r>
    </w:p>
    <w:p>
      <w:pPr>
        <w:pStyle w:val="ListNumber"/>
      </w:pPr>
      <w:r>
        <w:rPr>
          <w:b/>
        </w:rPr>
        <w:t>Counterfactual Recourse Module:</w:t>
      </w:r>
      <w:r>
        <w:t xml:space="preserve"> Implementation of actionable counterfactual explanations using DiCE with feasibility constraints including immutability, monotonicity, and causal ordering.</w:t>
      </w:r>
    </w:p>
    <w:p>
      <w:pPr>
        <w:pStyle w:val="ListNumber"/>
      </w:pPr>
      <w:r>
        <w:rPr>
          <w:b/>
        </w:rPr>
        <w:t>Empirical Validation:</w:t>
      </w:r>
      <w:r>
        <w:t xml:space="preserve"> The performance of the proposed framework is systematically validated via extensive experimentation using three public benchmark credit datasets: LendingClub, German Credit (UCI), and Kaggle Home Credit Default Risk.</w:t>
      </w:r>
    </w:p>
    <w:p>
      <w:pPr>
        <w:pStyle w:val="Heading2"/>
      </w:pPr>
      <w:r>
        <w:rPr>
          <w:color w:val="000000"/>
        </w:rPr>
        <w:t>1.4 Research Objectives</w:t>
      </w:r>
    </w:p>
    <w:p>
      <w:r>
        <w:t>The following list contains the key objectives with regards to this research study.</w:t>
      </w:r>
    </w:p>
    <w:p>
      <w:pPr>
        <w:pStyle w:val="ListNumber"/>
      </w:pPr>
      <w:r>
        <w:rPr>
          <w:b/>
        </w:rPr>
        <w:t>Baseline Accuracy Trade-off Measurement:</w:t>
      </w:r>
      <w:r>
        <w:t xml:space="preserve"> To see how well standard individual gradient boosting methods work when trained on the credit datasets, establishing performance baselines.</w:t>
      </w:r>
    </w:p>
    <w:p>
      <w:pPr>
        <w:pStyle w:val="ListNumber"/>
      </w:pPr>
      <w:r>
        <w:rPr>
          <w:b/>
        </w:rPr>
        <w:t>Model-Level Optimization:</w:t>
      </w:r>
      <w:r>
        <w:t xml:space="preserve"> Added a stacking ensemble module (SEP) to our framework and test if it helps to avoid prediction degradation when combining multiple complementary learners.</w:t>
      </w:r>
    </w:p>
    <w:p>
      <w:pPr>
        <w:pStyle w:val="ListNumber"/>
      </w:pPr>
      <w:r>
        <w:rPr>
          <w:b/>
        </w:rPr>
        <w:t>Explanation Consistency and Dual Validation:</w:t>
      </w:r>
      <w:r>
        <w:t xml:space="preserve"> We will create a metric (ECS) to understand how similar the SHAP and LIME explanations are and how feature attributions cluster together in terms of agreement.</w:t>
      </w:r>
    </w:p>
    <w:p>
      <w:pPr>
        <w:pStyle w:val="ListNumber"/>
      </w:pPr>
      <w:r>
        <w:rPr>
          <w:b/>
        </w:rPr>
        <w:t>Counterfactual Actionability Simulation:</w:t>
      </w:r>
      <w:r>
        <w:t xml:space="preserve"> Understanding how a counterfactual module (DiCE) helps to provide actionable and feasible recourse recommendations for denied applicants.</w:t>
      </w:r>
    </w:p>
    <w:p>
      <w:pPr>
        <w:pStyle w:val="ListNumber"/>
      </w:pPr>
      <w:r>
        <w:rPr>
          <w:b/>
        </w:rPr>
        <w:t>Empirical Validation:</w:t>
      </w:r>
      <w:r>
        <w:t xml:space="preserve"> Validation of the proposed MLECS framework through mathematical proof of the proposed architecture being superior to individual baselines, and subsequent benchmarking across three diverse credit datasets.</w:t>
      </w:r>
    </w:p>
    <w:p>
      <w:pPr>
        <w:pStyle w:val="Heading2"/>
      </w:pPr>
      <w:r>
        <w:rPr>
          <w:color w:val="000000"/>
        </w:rPr>
        <w:t>1.5 Major Contributions</w:t>
      </w:r>
    </w:p>
    <w:p>
      <w:r>
        <w:t>The notable advancements from this research are outlined as follows:</w:t>
      </w:r>
    </w:p>
    <w:p>
      <w:pPr>
        <w:pStyle w:val="ListBullet"/>
      </w:pPr>
      <w:r>
        <w:t>Creation of the MLECS framework, demonstrating that ensemble-based credit scoring can be carried out with comprehensive multi-level explainability under standard computational conditions.</w:t>
      </w:r>
    </w:p>
    <w:p>
      <w:pPr>
        <w:pStyle w:val="ListBullet"/>
      </w:pPr>
      <w:r>
        <w:t>Establishment of the Stacking Ensemble Prediction (SEP) module, which purpose is to dynamically combine complementary gradient boosting models through meta-learning, and helps with the issue of individual model limitations in capturing diverse data patterns.</w:t>
      </w:r>
    </w:p>
    <w:p>
      <w:pPr>
        <w:pStyle w:val="ListBullet"/>
      </w:pPr>
      <w:r>
        <w:t>Addition of the Multi-Level Explanation (MLE) architecture which helps to transform the network from an opaque model to a transparent and easy to understand regulatory-compliant model (from a regulator's and consumer's perspective) via intrinsic feature attribution mapping at global, local, and counterfactual levels.</w:t>
      </w:r>
    </w:p>
    <w:p>
      <w:pPr>
        <w:pStyle w:val="ListBullet"/>
      </w:pPr>
      <w:r>
        <w:t>Introduction of the Explanation Consistency Score (ECS), a novel quantitative metric that measures agreement between SHAP and LIME explanations, providing reliability guarantees for regulatory compliance.</w:t>
      </w:r>
    </w:p>
    <w:p>
      <w:pPr>
        <w:pStyle w:val="ListBullet"/>
      </w:pPr>
      <w:r>
        <w:t>Use of the Counterfactual Recourse Module with feasibility constraints to counter the challenges posed by opacity of adverse action decisions for denied credit applicants.</w:t>
      </w:r>
    </w:p>
    <w:p>
      <w:pPr>
        <w:pStyle w:val="Heading2"/>
      </w:pPr>
      <w:r>
        <w:rPr>
          <w:color w:val="000000"/>
        </w:rPr>
        <w:t>1.6 Paper Organization</w:t>
      </w:r>
    </w:p>
    <w:p>
      <w:r>
        <w:t>The remaining sections of this paper are arranged as follows: Section 2 presents a detailed literature review. Section 3 describes the technical specification and system requirements. Section 4 explains the design approach and mathematical formulation of modules. Section 5 details the methodology and experimental testing. Section 6 presents the results and discussion. Section 7 gives the concluding remarks of this study.</w:t>
      </w:r>
    </w:p>
    <w:p>
      <w:r>
        <w:br w:type="page"/>
      </w:r>
    </w:p>
    <w:p>
      <w:pPr>
        <w:pStyle w:val="Heading1"/>
      </w:pPr>
      <w:r>
        <w:rPr>
          <w:color w:val="000000"/>
        </w:rPr>
        <w:t>2. LITERATURE REVIEW</w:t>
      </w:r>
    </w:p>
    <w:p>
      <w:r>
        <w:t>To understand what MLECS brings to the table, we need to look at how machine learning is currently being used in credit risk assessment, and in particular at how model architectures are developing, how information from different sources is combined, how the model explains its decisions, and how accurately it handles class imbalance.</w:t>
      </w:r>
    </w:p>
    <w:p>
      <w:pPr>
        <w:pStyle w:val="Heading2"/>
      </w:pPr>
      <w:r>
        <w:rPr>
          <w:color w:val="000000"/>
        </w:rPr>
        <w:t>2.1 Machine Learning in Credit Scoring</w:t>
      </w:r>
    </w:p>
    <w:p>
      <w:r>
        <w:t>The way credit applications are assessed for risk was changed entirely by logistic regression and then, by ensemble methods [12]. Logistic regression's inherent interpretability and its linear decision boundary have become the standard method for risk classification. But as modern credit scoring involves looking at hundreds of features from multiple data sources, people quickly started to use gradient boosting networks. XGBoost, LightGBM, and CatBoost increased the discriminative power and the best of the current systems, stacking ensembles, automatically combine multiple learners and get the best results on standard benchmarks [13]. Yet even though these are successful, standard individual model architectures are naturally limited to their own learned representations, and have trouble capturing the diverse, complementary patterns needed for heterogeneous credit populations [14].</w:t>
      </w:r>
    </w:p>
    <w:p>
      <w:pPr>
        <w:pStyle w:val="Heading2"/>
      </w:pPr>
      <w:r>
        <w:rPr>
          <w:color w:val="000000"/>
        </w:rPr>
        <w:t>2.2 Gradient Boosting Frameworks and Ensemble Methods</w:t>
      </w:r>
    </w:p>
    <w:p>
      <w:r>
        <w:t>To get around the limited expressiveness of single models, ensemble methods were brought into credit scoring [15]. XGBoost and random forests are examples of these, and they did well at understanding complex non-linear relationships by treating feature interactions as a series of sequential decision trees [16]. But the standard approach of using a single gradient boosting model gets limited in capturing complementary patterns across diverse borrower populations, creating a diversity problem for heterogeneous credit data. Stacking ensembles solved this by combining multiple base learners through meta-learning; each base model specializes in different aspects of the data distribution while a meta-learner optimally combines their predictions. [17] With their adaptive weighting and complementary specialization, stacking ensembles represent the best starting point for current credit scoring work.</w:t>
      </w:r>
    </w:p>
    <w:p>
      <w:pPr>
        <w:pStyle w:val="Heading2"/>
      </w:pPr>
      <w:r>
        <w:rPr>
          <w:color w:val="000000"/>
        </w:rPr>
        <w:t>2.3 Feature Engineering and Data Fusion Strategies</w:t>
      </w:r>
    </w:p>
    <w:p>
      <w:r>
        <w:t>While ensemble methods show outstanding predictive capabilities, the conventional approach implies the use of "naive concatenation" — combining all available features from all data sources without adaptive weighting [18]. In the literature, it is stated that naive concatenation enforces equal importance on all features, making the model learn redundant patterns. "Late fusion" implies independent scoring of all feature subsets followed by a combination of the predicted results; yet, it involves extremely high computational costs [19]. Recently, a new technique called "attention-based feature selection" was introduced. According to this method, feature importance layers allow dynamically calibrating the inputs to remove irrelevant features and increase sensitivity towards important credit risk signals [20]. The proposed SEP module utilizes this idea by computing out-of-fold predictions that naturally weight each base learner's contribution based on validation performance.</w:t>
      </w:r>
    </w:p>
    <w:p>
      <w:pPr>
        <w:pStyle w:val="Heading2"/>
      </w:pPr>
      <w:r>
        <w:rPr>
          <w:color w:val="000000"/>
        </w:rPr>
        <w:t>2.4 Explainable AI (XAI) in Finance</w:t>
      </w:r>
    </w:p>
    <w:p>
      <w:r>
        <w:t>The widespread use of machine learning models in the financial setting is hindered by the problem related to the "black box" nature of such complex models [21]. Basically, there exist two groups of XAI — post-hoc and ante-hoc models [22]. Post-hoc XAI techniques include generating explanations for the decisions made by the algorithm through methods such as SHAP or LIME; however, when used individually, they have proved themselves limited because each method captures different aspects of model behavior. Conversely, multi-level XAI implies building a comprehensive explanation pipeline that provides transparency at multiple granularity levels. Out of various approaches, the combination of global feature importance (SHAP), local instance explanations (LIME), and counterfactual recourse (DiCE) should be noted, where the framework provides multiple complementary views of the same decision [23]. With the help of dual SHAP-LIME validation, the framework can verify explanation reliability. It is precisely what is achieved using the MLECS architecture as well.</w:t>
      </w:r>
    </w:p>
    <w:p>
      <w:pPr>
        <w:pStyle w:val="Heading2"/>
      </w:pPr>
      <w:r>
        <w:rPr>
          <w:color w:val="000000"/>
        </w:rPr>
        <w:t>2.5 Loss Functions and Evaluation Metrics for Imbalanced Credit Data</w:t>
      </w:r>
    </w:p>
    <w:p>
      <w:r>
        <w:t>The class distributions in credit scoring datasets are inherently imbalanced, with typical default rates of 5-20% [24]. Standard evaluation metrics, including accuracy and simple F1, tend to be biased towards the majority class (non-defaulters), where most of the instances are located. As there are exponentially fewer default cases than non-default cases, standard metrics cannot supply enough signal to properly evaluate model performance on the minority class. It is stated in the recent literature that the use of AUC-ROC, AUC-PR, and class-weighted metrics combined with SMOTE-ENN resampling will force models to pay attention to the minority class. With the combination of multiple evaluation perspectives and class balancing techniques, frameworks are capable of providing robust assessment of both predictive and explanatory performance [25].</w:t>
      </w:r>
    </w:p>
    <w:p>
      <w:pPr>
        <w:pStyle w:val="Heading2"/>
      </w:pPr>
      <w:r>
        <w:rPr>
          <w:color w:val="000000"/>
        </w:rPr>
        <w:t>2.6 Final Review Analysis and Research Gap</w:t>
      </w:r>
    </w:p>
    <w:p>
      <w:r>
        <w:t>According to existing research, there remains a perpetual challenge in credit scoring, which is the trade-off between accuracy, transparency, and actionability. Although ensemble models like XGBoost and LightGBM are able to achieve high AUC scores, they need comprehensive explainability pipelines to satisfy regulatory requirements, which are often omitted. In addition, most interpretability approaches use only a single XAI method (SHAP alone or LIME alone), meaning that they cannot provide quantitative consistency guarantees between different explanation approaches. With MLECS, the problem will be solved via a novel approach to multi-level explainability with quantitative consistency evaluation to enable trustworthy credit scoring.</w:t>
      </w:r>
    </w:p>
    <w:p>
      <w:r>
        <w:br w:type="page"/>
      </w:r>
    </w:p>
    <w:p>
      <w:pPr>
        <w:pStyle w:val="Heading1"/>
      </w:pPr>
      <w:r>
        <w:rPr>
          <w:color w:val="000000"/>
        </w:rPr>
        <w:t>3. TECHNICAL SPECIFICATION</w:t>
      </w:r>
    </w:p>
    <w:p>
      <w:r>
        <w:t>It is imperative that the MLECS framework being proposed in this study be validated for viability, reproducibility, and its ability to tackle the computing problems associated with large-scale credit scoring. This chapter provides details regarding the constraints and requirements for the system, assesses the feasibility of the project, and describes the specific hardware and software resources used to validate the AUC-ROC of 0.788.</w:t>
      </w:r>
    </w:p>
    <w:p>
      <w:pPr>
        <w:pStyle w:val="Heading2"/>
      </w:pPr>
      <w:r>
        <w:rPr>
          <w:color w:val="000000"/>
        </w:rPr>
        <w:t>3.1 Requirements Definition</w:t>
      </w:r>
    </w:p>
    <w:p>
      <w:r>
        <w:t>There are two categories of requirement specifications, one category of which is called functional requirement specification where importance is given to the actual expected output of the machine learning framework, and another category of requirement specification is non-functional requirement specification.</w:t>
      </w:r>
    </w:p>
    <w:p>
      <w:pPr>
        <w:pStyle w:val="Heading3"/>
      </w:pPr>
      <w:r>
        <w:rPr>
          <w:color w:val="000000"/>
        </w:rPr>
        <w:t>3.1.1 Functional Requirements</w:t>
      </w:r>
    </w:p>
    <w:p>
      <w:pPr>
        <w:pStyle w:val="ListNumber"/>
      </w:pPr>
      <w:r>
        <w:rPr>
          <w:b/>
        </w:rPr>
        <w:t>Multi-Source Data Ingestion:</w:t>
      </w:r>
      <w:r>
        <w:t xml:space="preserve"> The system should be able to process three distinct benchmark credit datasets (LendingClub, German Credit, Home Credit) which are present in CSV format with heterogeneous feature types.</w:t>
      </w:r>
    </w:p>
    <w:p>
      <w:pPr>
        <w:pStyle w:val="ListNumber"/>
      </w:pPr>
      <w:r>
        <w:rPr>
          <w:b/>
        </w:rPr>
        <w:t>Feature Preprocessing:</w:t>
      </w:r>
      <w:r>
        <w:t xml:space="preserve"> The preprocessing pipeline should handle missing values (MICE iterative imputation for numerical, mode for categorical), target encoding with 5-fold CV, and robust scaling.</w:t>
      </w:r>
    </w:p>
    <w:p>
      <w:pPr>
        <w:pStyle w:val="ListNumber"/>
      </w:pPr>
      <w:r>
        <w:rPr>
          <w:b/>
        </w:rPr>
        <w:t>Ensemble Prediction:</w:t>
      </w:r>
      <w:r>
        <w:t xml:space="preserve"> The SEP module should be employed by the system to compute stacking predictions from three base learners (XGBoost, LightGBM, CatBoost) using out-of-fold meta-learning.</w:t>
      </w:r>
    </w:p>
    <w:p>
      <w:pPr>
        <w:pStyle w:val="ListNumber"/>
      </w:pPr>
      <w:r>
        <w:rPr>
          <w:b/>
        </w:rPr>
        <w:t>Multi-Level Explainability (XAI):</w:t>
      </w:r>
      <w:r>
        <w:t xml:space="preserve"> It is required that the system generates explainable outputs at three levels. Level 1: Global SHAP feature importance. Level 2: Local SHAP waterfall + LIME dual explanations. Level 3: DiCE counterfactual recourse with feasibility constraints.</w:t>
      </w:r>
    </w:p>
    <w:p>
      <w:pPr>
        <w:pStyle w:val="ListNumber"/>
      </w:pPr>
      <w:r>
        <w:rPr>
          <w:b/>
        </w:rPr>
        <w:t>Consistency Evaluation:</w:t>
      </w:r>
      <w:r>
        <w:t xml:space="preserve"> During the explanation generation process, it is required that the system evaluates the Explanation Consistency Score (ECS) based on Spearman rank correlation, sign agreement, and top-k Jaccard overlap to quantify SHAP-LIME agreement.</w:t>
      </w:r>
    </w:p>
    <w:p>
      <w:pPr>
        <w:pStyle w:val="ListNumber"/>
      </w:pPr>
      <w:r>
        <w:rPr>
          <w:b/>
        </w:rPr>
        <w:t>Prediction Output:</w:t>
      </w:r>
      <w:r>
        <w:t xml:space="preserve"> It is required that the framework produces calibrated default probability scores with associated multi-level explanations for each credit application.</w:t>
      </w:r>
    </w:p>
    <w:p>
      <w:pPr>
        <w:pStyle w:val="Heading3"/>
      </w:pPr>
      <w:r>
        <w:rPr>
          <w:color w:val="000000"/>
        </w:rPr>
        <w:t>3.1.2 Non-Functional Requirements</w:t>
      </w:r>
    </w:p>
    <w:p>
      <w:pPr>
        <w:pStyle w:val="ListNumber"/>
      </w:pPr>
      <w:r>
        <w:rPr>
          <w:b/>
        </w:rPr>
        <w:t>Performance and Accuracy:</w:t>
      </w:r>
      <w:r>
        <w:t xml:space="preserve"> The framework must achieve AUC-ROC &gt;= 0.78 across all three benchmark datasets to demonstrate competitive predictive performance.</w:t>
      </w:r>
    </w:p>
    <w:p>
      <w:pPr>
        <w:pStyle w:val="ListNumber"/>
      </w:pPr>
      <w:r>
        <w:rPr>
          <w:b/>
        </w:rPr>
        <w:t>Computational Efficiency:</w:t>
      </w:r>
      <w:r>
        <w:t xml:space="preserve"> The framework must retain its lightweight nature by using efficient gradient boosting implementations. The total explanation pipeline (LIME + DiCE) must complete in under 3 seconds per instance.</w:t>
      </w:r>
    </w:p>
    <w:p>
      <w:pPr>
        <w:pStyle w:val="ListNumber"/>
      </w:pPr>
      <w:r>
        <w:rPr>
          <w:b/>
        </w:rPr>
        <w:t>Replicability in Academia:</w:t>
      </w:r>
      <w:r>
        <w:t xml:space="preserve"> To satisfy the peer review process, replicability is required; hence, random seeding (seed=42) and stratified 5-fold cross-validation is a must.</w:t>
      </w:r>
    </w:p>
    <w:p>
      <w:pPr>
        <w:pStyle w:val="ListNumber"/>
      </w:pPr>
      <w:r>
        <w:rPr>
          <w:b/>
        </w:rPr>
        <w:t>Regulatory Scalability:</w:t>
      </w:r>
      <w:r>
        <w:t xml:space="preserve"> The framework must display scalability in batch processing with explanation generation capable of handling production-scale workloads.</w:t>
      </w:r>
    </w:p>
    <w:p>
      <w:pPr>
        <w:pStyle w:val="Heading2"/>
      </w:pPr>
      <w:r>
        <w:rPr>
          <w:color w:val="000000"/>
        </w:rPr>
        <w:t>3.2 Feasibility Study</w:t>
      </w:r>
    </w:p>
    <w:p>
      <w:r>
        <w:t>Feasibility study analysis was performed in order to determine the feasibility of implementing and testing the MLECS framework considering the constraints imposed by the current research.</w:t>
      </w:r>
    </w:p>
    <w:p>
      <w:pPr>
        <w:pStyle w:val="Heading3"/>
      </w:pPr>
      <w:r>
        <w:rPr>
          <w:color w:val="000000"/>
        </w:rPr>
        <w:t>3.2.1 Technical Feasibility</w:t>
      </w:r>
    </w:p>
    <w:p>
      <w:r>
        <w:t>This is a technically sound and straightforward project. At its core, the architecture of the framework is based on scikit-learn's stacking ensemble architecture, which is widely known and supported by current ML libraries. Custom components (SEP meta-learning, ECS metric computation, counterfactual generation) can be clearly defined mathematically and implemented as Python modules. In addition, established XAI libraries (SHAP 0.43, LIME 0.2, DiCE 0.11) offer prebuilt explanation methods that can be integrated directly with gradient boosting models.</w:t>
      </w:r>
    </w:p>
    <w:p>
      <w:pPr>
        <w:pStyle w:val="Heading3"/>
      </w:pPr>
      <w:r>
        <w:rPr>
          <w:color w:val="000000"/>
        </w:rPr>
        <w:t>3.2.2 Economic Feasibility</w:t>
      </w:r>
    </w:p>
    <w:p>
      <w:r>
        <w:t>As a result of the framework's efficient design, there will be minimal computational costs; therefore, the feasibility level of this approach is very high. All three datasets (LendingClub, German Credit, Home Credit) are openly available and easily accessible for research work. Furthermore, the resources needed for training models and conducting experiments can be met via standard computing infrastructure, providing adequate CPU/GPU resources such as Intel Xeon processors with NVIDIA Tesla V100 GPU acceleration.</w:t>
      </w:r>
    </w:p>
    <w:p>
      <w:pPr>
        <w:pStyle w:val="Heading3"/>
      </w:pPr>
      <w:r>
        <w:rPr>
          <w:color w:val="000000"/>
        </w:rPr>
        <w:t>3.2.3 Social and Operational Feasibility</w:t>
      </w:r>
    </w:p>
    <w:p>
      <w:r>
        <w:t>With respect to regulatory implementation and practicality, the project helps tackle one of the most important bottlenecks faced in actual credit lending situations. Credit scoring is a subjective process and transparency is legally mandated. By providing a fully automated framework with high accuracy and the ability to be explained via multi-level explanations, the system provides an important regulatory compliance component to gain the necessary trust from both consumers and regulators. It is possible for loan officers to review the SHAP/LIME explanations and see the reasoning behind certain credit decisions, while denied applicants can receive actionable counterfactual recourse.</w:t>
      </w:r>
    </w:p>
    <w:p>
      <w:pPr>
        <w:pStyle w:val="Heading2"/>
      </w:pPr>
      <w:r>
        <w:rPr>
          <w:color w:val="000000"/>
        </w:rPr>
        <w:t>3.3 System Specification</w:t>
      </w:r>
    </w:p>
    <w:p>
      <w:r>
        <w:t>For the purpose of reproducibility, and to clearly define the hardware and software used in training and evaluating the MLECS framework, we include that information in the section below.</w:t>
      </w:r>
    </w:p>
    <w:p>
      <w:pPr>
        <w:pStyle w:val="Heading3"/>
      </w:pPr>
      <w:r>
        <w:rPr>
          <w:color w:val="000000"/>
        </w:rPr>
        <w:t>3.3.1 Hardware Environment</w:t>
      </w:r>
    </w:p>
    <w:p>
      <w:r>
        <w:t>This approach uses large credit datasets with millions of instances, which need significant parallel computing power. The empirical experiments in this research were performed based on the following hardware requirements:</w:t>
      </w:r>
    </w:p>
    <w:p>
      <w:pPr>
        <w:pStyle w:val="ListBullet"/>
      </w:pPr>
      <w:r>
        <w:rPr>
          <w:b/>
        </w:rPr>
        <w:t>Compute Accelerator (GPU):</w:t>
      </w:r>
      <w:r>
        <w:t xml:space="preserve"> NVIDIA Tesla V100 (16 GB VRAM, leveraging CUDA for XGBoost GPU training).</w:t>
      </w:r>
    </w:p>
    <w:p>
      <w:pPr>
        <w:pStyle w:val="ListBullet"/>
      </w:pPr>
      <w:r>
        <w:rPr>
          <w:b/>
        </w:rPr>
        <w:t>Processor:</w:t>
      </w:r>
      <w:r>
        <w:t xml:space="preserve"> Intel Xeon E5-2690 v4 (28 cores, 2.6 GHz) for parallel model training.</w:t>
      </w:r>
    </w:p>
    <w:p>
      <w:pPr>
        <w:pStyle w:val="ListBullet"/>
      </w:pPr>
      <w:r>
        <w:rPr>
          <w:b/>
        </w:rPr>
        <w:t>System Memory (RAM):</w:t>
      </w:r>
      <w:r>
        <w:t xml:space="preserve"> 128 GB DDR4 (Required for loading large LendingClub dataset with 2.26M instances).</w:t>
      </w:r>
    </w:p>
    <w:p>
      <w:pPr>
        <w:pStyle w:val="ListBullet"/>
      </w:pPr>
      <w:r>
        <w:rPr>
          <w:b/>
        </w:rPr>
        <w:t>Storage:</w:t>
      </w:r>
      <w:r>
        <w:t xml:space="preserve"> 500 GB NVMe SSD (To accommodate processed datasets and model checkpoints).</w:t>
      </w:r>
    </w:p>
    <w:p>
      <w:pPr>
        <w:pStyle w:val="Heading3"/>
      </w:pPr>
      <w:r>
        <w:rPr>
          <w:color w:val="000000"/>
        </w:rPr>
        <w:t>3.3.2 Software Environment</w:t>
      </w:r>
    </w:p>
    <w:p>
      <w:r>
        <w:t>The framework was realized using proven and reliable software components that offer solid stability and are compatible with the machine learning pipeline.</w:t>
      </w:r>
    </w:p>
    <w:p>
      <w:pPr>
        <w:pStyle w:val="ListBullet"/>
      </w:pPr>
      <w:r>
        <w:rPr>
          <w:b/>
        </w:rPr>
        <w:t>Operating System:</w:t>
      </w:r>
      <w:r>
        <w:t xml:space="preserve"> Ubuntu 22.04 LTS (optimized for CUDA).</w:t>
      </w:r>
    </w:p>
    <w:p>
      <w:pPr>
        <w:pStyle w:val="ListBullet"/>
      </w:pPr>
      <w:r>
        <w:rPr>
          <w:b/>
        </w:rPr>
        <w:t>Programming Language:</w:t>
      </w:r>
      <w:r>
        <w:t xml:space="preserve"> Python 3.10+</w:t>
      </w:r>
    </w:p>
    <w:p>
      <w:pPr>
        <w:pStyle w:val="ListBullet"/>
      </w:pPr>
      <w:r>
        <w:rPr>
          <w:b/>
        </w:rPr>
        <w:t>ML Framework:</w:t>
      </w:r>
      <w:r>
        <w:t xml:space="preserve"> scikit-learn 1.3, XGBoost 2.0, LightGBM 4.1, CatBoost 1.2</w:t>
      </w:r>
    </w:p>
    <w:p>
      <w:pPr>
        <w:pStyle w:val="ListBullet"/>
      </w:pPr>
      <w:r>
        <w:rPr>
          <w:b/>
        </w:rPr>
        <w:t>XAI Libraries:</w:t>
      </w:r>
      <w:r>
        <w:t xml:space="preserve"> SHAP 0.43, LIME 0.2, DiCE 0.11</w:t>
      </w:r>
    </w:p>
    <w:p>
      <w:pPr>
        <w:pStyle w:val="ListBullet"/>
      </w:pPr>
      <w:r>
        <w:rPr>
          <w:b/>
        </w:rPr>
        <w:t>Optimization:</w:t>
      </w:r>
      <w:r>
        <w:t xml:space="preserve"> Optuna 3.4 (Bayesian hyperparameter optimization)</w:t>
      </w:r>
    </w:p>
    <w:p>
      <w:pPr>
        <w:pStyle w:val="ListBullet"/>
      </w:pPr>
      <w:r>
        <w:rPr>
          <w:b/>
        </w:rPr>
        <w:t>Data Handling:</w:t>
      </w:r>
      <w:r>
        <w:t xml:space="preserve"> Pandas 2.0, NumPy 1.24, SciPy 1.11</w:t>
      </w:r>
    </w:p>
    <w:p>
      <w:pPr>
        <w:pStyle w:val="ListBullet"/>
      </w:pPr>
      <w:r>
        <w:rPr>
          <w:b/>
        </w:rPr>
        <w:t>Visualization:</w:t>
      </w:r>
      <w:r>
        <w:t xml:space="preserve"> Matplotlib 3.7, Seaborn 0.12</w:t>
      </w:r>
    </w:p>
    <w:p>
      <w:r>
        <w:br w:type="page"/>
      </w:r>
    </w:p>
    <w:p>
      <w:pPr>
        <w:pStyle w:val="Heading1"/>
      </w:pPr>
      <w:r>
        <w:rPr>
          <w:color w:val="000000"/>
        </w:rPr>
        <w:t>4. DESIGN APPROACH AND DETAILS</w:t>
      </w:r>
    </w:p>
    <w:p>
      <w:r>
        <w:t>The purpose of this chapter is to detail the architectural design and mathematical principles that form the basis for the MLECS framework. This chapter shifts focus from the system requirements presented earlier to the actual design details, data flow diagrams, and mathematical equations for ensemble prediction, multi-level explainability, and consistency evaluation.</w:t>
      </w:r>
    </w:p>
    <w:p>
      <w:pPr>
        <w:pStyle w:val="Heading2"/>
      </w:pPr>
      <w:r>
        <w:rPr>
          <w:color w:val="000000"/>
        </w:rPr>
        <w:t>4.1 System Architecture</w:t>
      </w:r>
    </w:p>
    <w:p/>
    <w:p>
      <w:pPr>
        <w:jc w:val="center"/>
      </w:pPr>
      <w:r>
        <w:drawing>
          <wp:inline xmlns:a="http://schemas.openxmlformats.org/drawingml/2006/main" xmlns:pic="http://schemas.openxmlformats.org/drawingml/2006/picture">
            <wp:extent cx="5486400" cy="706776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7067762"/>
                    </a:xfrm>
                    <a:prstGeom prst="rect"/>
                  </pic:spPr>
                </pic:pic>
              </a:graphicData>
            </a:graphic>
          </wp:inline>
        </w:drawing>
      </w:r>
    </w:p>
    <w:p>
      <w:pPr>
        <w:spacing w:after="280"/>
        <w:jc w:val="center"/>
      </w:pPr>
      <w:r>
        <w:rPr>
          <w:b/>
          <w:i/>
          <w:sz w:val="20"/>
        </w:rPr>
        <w:t>Figure 1: MLECS Framework System Architecture - End-to-End Pipeline from Data Preprocessing through Multi-Level Explanation</w:t>
      </w:r>
    </w:p>
    <w:p>
      <w:r>
        <w:t>The MLECS is an end-to-end credit scoring and explanation system. The architecture consumes three preprocessed credit datasets (LendingClub, German Credit, Home Credit). In contrast to simple single-model approaches, these inputs are fed to the Stacking Ensemble Prediction (SEP) module for adaptive combination of multiple base learners. Subsequently, the ensemble predictions are passed to the Multi-Level Explanation (MLE) architecture to generate global, local, and counterfactual explanations. Finally, the Explanation Consistency Score (ECS) module quantifies agreement between explanation methods, yielding both the credit decision and a comprehensive explanation package.</w:t>
      </w:r>
    </w:p>
    <w:p>
      <w:pPr>
        <w:pStyle w:val="Heading2"/>
      </w:pPr>
      <w:r>
        <w:rPr>
          <w:color w:val="000000"/>
        </w:rPr>
        <w:t>4.2 System Design</w:t>
      </w:r>
    </w:p>
    <w:p>
      <w:r>
        <w:t>In order to provide an overview of how the proposed solution works and interacts with the user, system flow diagrams are presented below.</w:t>
      </w:r>
    </w:p>
    <w:p>
      <w:pPr>
        <w:pStyle w:val="Heading3"/>
      </w:pPr>
      <w:r>
        <w:rPr>
          <w:color w:val="000000"/>
        </w:rPr>
        <w:t>4.2.1 Use Case Diagram</w:t>
      </w:r>
    </w:p>
    <w:p>
      <w:r>
        <w:t>The primary actors in the MLECS system include:</w:t>
      </w:r>
    </w:p>
    <w:p>
      <w:pPr>
        <w:pStyle w:val="ListBullet"/>
      </w:pPr>
      <w:r>
        <w:rPr>
          <w:b/>
        </w:rPr>
        <w:t>Loan Officer:</w:t>
      </w:r>
      <w:r>
        <w:t xml:space="preserve"> Submits credit applications, receives predictions with local explanations, reviews SHAP/LIME attribution reports.</w:t>
      </w:r>
    </w:p>
    <w:p>
      <w:pPr>
        <w:pStyle w:val="ListBullet"/>
      </w:pPr>
      <w:r>
        <w:rPr>
          <w:b/>
        </w:rPr>
        <w:t>Risk Manager:</w:t>
      </w:r>
      <w:r>
        <w:t xml:space="preserve"> Monitors global feature importance trends, validates model behavior through consistency metrics.</w:t>
      </w:r>
    </w:p>
    <w:p>
      <w:pPr>
        <w:pStyle w:val="ListBullet"/>
      </w:pPr>
      <w:r>
        <w:rPr>
          <w:b/>
        </w:rPr>
        <w:t>Denied Applicant:</w:t>
      </w:r>
      <w:r>
        <w:t xml:space="preserve"> Receives counterfactual recourse explaining what changes would improve their creditworthiness.</w:t>
      </w:r>
    </w:p>
    <w:p>
      <w:pPr>
        <w:pStyle w:val="ListBullet"/>
      </w:pPr>
      <w:r>
        <w:rPr>
          <w:b/>
        </w:rPr>
        <w:t>Regulatory Auditor:</w:t>
      </w:r>
      <w:r>
        <w:t xml:space="preserve"> Reviews ECS consistency reports, validates adverse action notice compliance.</w:t>
      </w:r>
    </w:p>
    <w:p>
      <w:pPr>
        <w:pStyle w:val="ListBullet"/>
      </w:pPr>
      <w:r>
        <w:rPr>
          <w:b/>
        </w:rPr>
        <w:t>ML Engineer:</w:t>
      </w:r>
      <w:r>
        <w:t xml:space="preserve"> Configures hyperparameters, monitors training convergence, deploys model updates.</w:t>
      </w:r>
    </w:p>
    <w:p>
      <w:pPr>
        <w:pStyle w:val="Heading3"/>
      </w:pPr>
      <w:r>
        <w:rPr>
          <w:color w:val="000000"/>
        </w:rPr>
        <w:t>4.2.2 System Flow (Activity) Diagram</w:t>
      </w:r>
    </w:p>
    <w:p>
      <w:r>
        <w:t>The activity diagram captures the data flow through modules:</w:t>
      </w:r>
    </w:p>
    <w:p>
      <w:pPr>
        <w:pStyle w:val="Heading3"/>
      </w:pPr>
      <w:r>
        <w:rPr>
          <w:color w:val="000000"/>
        </w:rPr>
        <w:t>4.2.3 Sequence Diagram</w:t>
      </w:r>
    </w:p>
    <w:p>
      <w:pPr>
        <w:pStyle w:val="Heading2"/>
      </w:pPr>
      <w:r>
        <w:rPr>
          <w:color w:val="000000"/>
        </w:rPr>
        <w:t>4.3 Mathematical Formulation of Modules</w:t>
      </w:r>
    </w:p>
    <w:p>
      <w:r>
        <w:t>To address the challenges associated with model opacity and explanation reliability, the custom components of the proposed MLECS framework are formulated as described below.</w:t>
      </w:r>
    </w:p>
    <w:p>
      <w:pPr>
        <w:pStyle w:val="Heading3"/>
      </w:pPr>
      <w:r>
        <w:rPr>
          <w:color w:val="000000"/>
        </w:rPr>
        <w:t>4.3.1 Stacking Ensemble Prediction (SEP)</w:t>
      </w:r>
    </w:p>
    <w:p>
      <w:r>
        <w:t xml:space="preserve">The goal of SEP is to combine complementary predictions from multiple gradient boosting models while maintaining calibrated probability outputs. We define the input feature matrix </w:t>
      </w:r>
      <w:r>
        <w:rPr>
          <w:b/>
        </w:rPr>
        <w:t>X</w:t>
      </w:r>
      <w:r>
        <w:t xml:space="preserve"> ∈ ℝ^(N×d), where N is the number of instances and d is the feature dimensionality.</w:t>
      </w:r>
    </w:p>
    <w:p>
      <w:r>
        <w:t>The module initially trains three base learners using 5-fold stratified cross-validation, generating out-of-fold predictions:</w:t>
      </w:r>
    </w:p>
    <w:p>
      <w:r>
        <w:t>For each fold k ∈ {1,...,5} and base learner m ∈ {XGB, LGBM, CAT}:</w:t>
      </w:r>
    </w:p>
    <w:p>
      <w:pPr>
        <w:spacing w:before="160" w:after="160"/>
        <w:jc w:val="center"/>
      </w:pPr>
      <w:r>
        <w:rPr>
          <w:rFonts w:ascii="Cambria Math" w:hAnsi="Cambria Math"/>
          <w:i/>
          <w:sz w:val="22"/>
        </w:rPr>
        <w:t>f_m^(k)(x_i) = P_m(y=1 | x_i, θ_m^(-k))</w:t>
      </w:r>
    </w:p>
    <w:p>
      <w:r>
        <w:t>where θ_m^(-k) represents model parameters trained on all folds except fold k.</w:t>
      </w:r>
    </w:p>
    <w:p>
      <w:r>
        <w:t>The meta-learner prediction is computed via:</w:t>
      </w:r>
    </w:p>
    <w:p>
      <w:pPr>
        <w:spacing w:before="160" w:after="160"/>
        <w:jc w:val="center"/>
      </w:pPr>
      <w:r>
        <w:rPr>
          <w:rFonts w:ascii="Cambria Math" w:hAnsi="Cambria Math"/>
          <w:i/>
          <w:sz w:val="22"/>
        </w:rPr>
        <w:t>P(default | x) = σ( w₁ · f_XGB(x) + w₂ · f_LGBM(x) + w₃ · f_CAT(x) + b )**     (1)</w:t>
      </w:r>
    </w:p>
    <w:p>
      <w:r>
        <w:t>where w₁, w₂, w₃ are trainable logistic regression coefficients, σ is the sigmoid function, and b is the bias term.</w:t>
      </w:r>
    </w:p>
    <w:p>
      <w:r>
        <w:rPr>
          <w:b/>
        </w:rPr>
        <w:t>The Adaptive Weighting Property:</w:t>
      </w:r>
      <w:r>
        <w:t xml:space="preserve"> Through experimentation, the authors noted that equal-weight averaging led to suboptimal performance because different base learners specialize on different data patterns. The meta-learner naturally assigns higher weights to base learners with better validation performance on specific feature subspaces. This guarantees that the ensemble adapts to dataset characteristics — for instance, CatBoost receives higher weight on German Credit (more categorical features), while LightGBM dominates on larger datasets.</w:t>
      </w:r>
    </w:p>
    <w:p>
      <w:pPr>
        <w:pStyle w:val="Heading3"/>
      </w:pPr>
      <w:r>
        <w:rPr>
          <w:color w:val="000000"/>
        </w:rPr>
        <w:t>4.3.2 Multi-Level Explanation (MLE) Architecture</w:t>
      </w:r>
    </w:p>
    <w:p>
      <w:r>
        <w:t>To eliminate the "black box" nature of standard ensemble predictions, the MLE architecture provides three complementary explanation tiers.</w:t>
      </w:r>
    </w:p>
    <w:p>
      <w:r>
        <w:rPr>
          <w:b/>
        </w:rPr>
        <w:t>Level 1 — Global Explanations (SHAP):</w:t>
      </w:r>
    </w:p>
    <w:p>
      <w:r>
        <w:t>For a given model f, the SHAP value φⱼ(x) for feature j represents its contribution to the prediction deviation from the average:</w:t>
      </w:r>
    </w:p>
    <w:p>
      <w:pPr>
        <w:spacing w:before="160" w:after="160"/>
        <w:jc w:val="center"/>
      </w:pPr>
      <w:r>
        <w:rPr>
          <w:rFonts w:ascii="Cambria Math" w:hAnsi="Cambria Math"/>
          <w:i/>
          <w:sz w:val="22"/>
        </w:rPr>
        <w:t>f(x) = E[f(X)] + Σⱼ φⱼ(x)**     (2)</w:t>
      </w:r>
    </w:p>
    <w:p>
      <w:r>
        <w:t>The global feature importance I(j) is computed as the mean absolute SHAP value:</w:t>
      </w:r>
    </w:p>
    <w:p>
      <w:pPr>
        <w:spacing w:before="160" w:after="160"/>
        <w:jc w:val="center"/>
      </w:pPr>
      <w:r>
        <w:rPr>
          <w:rFonts w:ascii="Cambria Math" w:hAnsi="Cambria Math"/>
          <w:i/>
          <w:sz w:val="22"/>
        </w:rPr>
        <w:t>I(j) = (1/N) · Σᵢ |φⱼ(xᵢ)|**     (3)</w:t>
      </w:r>
    </w:p>
    <w:p>
      <w:r>
        <w:rPr>
          <w:b/>
        </w:rPr>
        <w:t>Level 2 — Local Explanations (SHAP Waterfall + LIME):</w:t>
      </w:r>
    </w:p>
    <w:p>
      <w:r>
        <w:t>For each individual instance, dual explanations are generated:</w:t>
      </w:r>
    </w:p>
    <w:p>
      <w:r>
        <w:t>SHAP decomposes the prediction: f(x) = φ₀ + φ₁ + φ₂ + ... + φ_d</w:t>
      </w:r>
    </w:p>
    <w:p>
      <w:r>
        <w:t>LIME approximates the model locally by solving:</w:t>
      </w:r>
    </w:p>
    <w:p>
      <w:pPr>
        <w:spacing w:before="160" w:after="160"/>
        <w:jc w:val="center"/>
      </w:pPr>
      <w:r>
        <w:rPr>
          <w:rFonts w:ascii="Cambria Math" w:hAnsi="Cambria Math"/>
          <w:i/>
          <w:sz w:val="22"/>
        </w:rPr>
        <w:t>ξ(x) = argmin_{g ∈ G}  L(f, g, πₓ) + Ω(g)**     (4)</w:t>
      </w:r>
    </w:p>
    <w:p>
      <w:r>
        <w:t>where L is the local fidelity loss, πₓ is the proximity weighting kernel, and Ω(g) is a complexity penalty on the interpretable model g.</w:t>
      </w:r>
    </w:p>
    <w:p>
      <w:r>
        <w:rPr>
          <w:b/>
        </w:rPr>
        <w:t>Level 3 — Counterfactual Explanations (DiCE):</w:t>
      </w:r>
    </w:p>
    <w:p>
      <w:r>
        <w:t>The counterfactual optimization generates minimal-change alternatives:</w:t>
      </w:r>
    </w:p>
    <w:p>
      <w:r>
        <w:t xml:space="preserve">&gt; </w:t>
      </w:r>
      <w:r>
        <w:rPr>
          <w:b/>
        </w:rPr>
        <w:t>minimize: L_pred(f(x'), y') + λ₁ · d(x, x') + λ₂ · diversity(CF_set)</w:t>
      </w:r>
      <w:r>
        <w:t xml:space="preserve">     (5)</w:t>
      </w:r>
    </w:p>
    <w:p>
      <w:pPr>
        <w:spacing w:before="160" w:after="160"/>
        <w:jc w:val="center"/>
      </w:pPr>
      <w:r>
        <w:rPr>
          <w:rFonts w:ascii="Cambria Math" w:hAnsi="Cambria Math"/>
          <w:i/>
          <w:sz w:val="22"/>
        </w:rPr>
        <w:t>subject to: x'_immutable = x_immutable**     (6)</w:t>
      </w:r>
    </w:p>
    <w:p>
      <w:pPr>
        <w:spacing w:before="160" w:after="160"/>
        <w:jc w:val="center"/>
      </w:pPr>
      <w:r>
        <w:rPr>
          <w:rFonts w:ascii="Cambria Math" w:hAnsi="Cambria Math"/>
          <w:i/>
          <w:sz w:val="22"/>
        </w:rPr>
        <w:t>x'_j ∈ feasible_range(j)  ∀j**     (7)</w:t>
      </w:r>
    </w:p>
    <w:p>
      <w:r>
        <w:t>Where d(x, x') is a combined L1+L2 distance for sparsity and plausibility, immutable features (age, gender) are frozen, and monotonicity constraints ensure only realistic changes are suggested (e.g., income can only increase).</w:t>
      </w:r>
    </w:p>
    <w:p>
      <w:r>
        <w:t xml:space="preserve">To ensure these explanations remain actionable and clinically meaningful (financially meaningful), two specialized constraints are utilized. The </w:t>
      </w:r>
      <w:r>
        <w:rPr>
          <w:b/>
        </w:rPr>
        <w:t>Feasibility Constraint</w:t>
      </w:r>
      <w:r>
        <w:t xml:space="preserve"> forces counterfactuals to respect causal ordering (education cannot decrease). Concurrently, the </w:t>
      </w:r>
      <w:r>
        <w:rPr>
          <w:b/>
        </w:rPr>
        <w:t>Diversity Constraint</w:t>
      </w:r>
      <w:r>
        <w:t xml:space="preserve"> forces generated counterfactuals to offer multiple distinct pathways to approval. To maintain solution quality, counterfactual generation is governed by a validity check: each generated counterfactual must actually flip the model's prediction.</w:t>
      </w:r>
    </w:p>
    <w:p>
      <w:pPr>
        <w:pStyle w:val="Heading3"/>
      </w:pPr>
      <w:r>
        <w:rPr>
          <w:color w:val="000000"/>
        </w:rPr>
        <w:t>4.3.3 Explanation Consistency Score (ECS)</w:t>
      </w:r>
    </w:p>
    <w:p>
      <w:r>
        <w:t>Because different XAI methods make different approximation assumptions, their explanations may disagree. The ECS resolves this uncertainty by quantifying multi-dimensional agreement.</w:t>
      </w:r>
    </w:p>
    <w:p>
      <w:r>
        <w:t xml:space="preserve">Let </w:t>
      </w:r>
      <w:r>
        <w:rPr>
          <w:b/>
        </w:rPr>
        <w:t>R_SHAP_i</w:t>
      </w:r>
      <w:r>
        <w:t xml:space="preserve"> and </w:t>
      </w:r>
      <w:r>
        <w:rPr>
          <w:b/>
        </w:rPr>
        <w:t>R_LIME_i</w:t>
      </w:r>
      <w:r>
        <w:t xml:space="preserve"> be the feature importance rankings from SHAP and LIME for instance i. The ECS combines three agreement metrics:</w:t>
      </w:r>
    </w:p>
    <w:p>
      <w:pPr>
        <w:spacing w:before="160" w:after="160"/>
        <w:jc w:val="center"/>
      </w:pPr>
      <w:r>
        <w:rPr>
          <w:rFonts w:ascii="Cambria Math" w:hAnsi="Cambria Math"/>
          <w:i/>
          <w:sz w:val="22"/>
        </w:rPr>
        <w:t>ECS = (1/N) · Σᵢ [ α · ρ(R_SHAP_i, R_LIME_i) + β · SA(φ_SHAP_i, φ_LIME_i) + γ · J_k(SHAP_i, LIME_i) ]**     (8)</w:t>
      </w:r>
    </w:p>
    <w:p>
      <w:r>
        <w:t>where:</w:t>
      </w:r>
    </w:p>
    <w:p>
      <w:pPr>
        <w:pStyle w:val="ListBullet"/>
      </w:pPr>
      <w:r>
        <w:t>ρ(·,·) is the Spearman rank correlation coefficient</w:t>
      </w:r>
    </w:p>
    <w:p>
      <w:pPr>
        <w:pStyle w:val="ListBullet"/>
      </w:pPr>
      <w:r>
        <w:t>SA(·,·) is the Sign Agreement rate: proportion of features where SHAP and LIME assign the same directional effect</w:t>
      </w:r>
    </w:p>
    <w:p>
      <w:pPr>
        <w:pStyle w:val="ListBullet"/>
      </w:pPr>
      <w:r>
        <w:t>J_k(·,·) is the top-k Jaccard overlap: |TopK_SHAP ∩ TopK_LIME| / |TopK_SHAP ∪ TopK_LIME|</w:t>
      </w:r>
    </w:p>
    <w:p>
      <w:pPr>
        <w:pStyle w:val="ListBullet"/>
      </w:pPr>
      <w:r>
        <w:t>α=0.4, β=0.3, γ=0.3 are empirically determined weights</w:t>
      </w:r>
    </w:p>
    <w:p>
      <w:r>
        <w:rPr>
          <w:b/>
        </w:rPr>
        <w:t>The Faithfulness Validation:</w:t>
      </w:r>
      <w:r>
        <w:t xml:space="preserve"> To ensure explanations are not just consistent with each other but also faithful to the actual model behavior, we additionally compute:</w:t>
      </w:r>
    </w:p>
    <w:p>
      <w:pPr>
        <w:spacing w:before="160" w:after="160"/>
        <w:jc w:val="center"/>
      </w:pPr>
      <w:r>
        <w:rPr>
          <w:rFonts w:ascii="Cambria Math" w:hAnsi="Cambria Math"/>
          <w:i/>
          <w:sz w:val="22"/>
        </w:rPr>
        <w:t>Faithfulness(k) = (1/N) · Σᵢ |f(xᵢ) - f(xᵢ \ TopK_features)|**     (9)</w:t>
      </w:r>
    </w:p>
    <w:p>
      <w:r>
        <w:t>where xᵢ \ TopK_features represents the instance with top-k important features replaced by their median values. Faithful explanations identify features whose removal causes maximal prediction change.</w:t>
      </w:r>
    </w:p>
    <w:p>
      <w:r>
        <w:br w:type="page"/>
      </w:r>
    </w:p>
    <w:p>
      <w:pPr>
        <w:pStyle w:val="Heading1"/>
      </w:pPr>
      <w:r>
        <w:rPr>
          <w:color w:val="000000"/>
        </w:rPr>
        <w:t>5. METHODOLOGY AND TESTING</w:t>
      </w:r>
    </w:p>
    <w:p/>
    <w:p>
      <w:pPr>
        <w:jc w:val="center"/>
      </w:pPr>
      <w:r>
        <w:drawing>
          <wp:inline xmlns:a="http://schemas.openxmlformats.org/drawingml/2006/main" xmlns:pic="http://schemas.openxmlformats.org/drawingml/2006/picture">
            <wp:extent cx="4754880" cy="2822809"/>
            <wp:docPr id="2" name="Picture 2"/>
            <wp:cNvGraphicFramePr>
              <a:graphicFrameLocks noChangeAspect="1"/>
            </wp:cNvGraphicFramePr>
            <a:graphic>
              <a:graphicData uri="http://schemas.openxmlformats.org/drawingml/2006/picture">
                <pic:pic>
                  <pic:nvPicPr>
                    <pic:cNvPr id="0" name="model_comparison_bar.png"/>
                    <pic:cNvPicPr/>
                  </pic:nvPicPr>
                  <pic:blipFill>
                    <a:blip r:embed="rId10"/>
                    <a:stretch>
                      <a:fillRect/>
                    </a:stretch>
                  </pic:blipFill>
                  <pic:spPr>
                    <a:xfrm>
                      <a:off x="0" y="0"/>
                      <a:ext cx="4754880" cy="2822809"/>
                    </a:xfrm>
                    <a:prstGeom prst="rect"/>
                  </pic:spPr>
                </pic:pic>
              </a:graphicData>
            </a:graphic>
          </wp:inline>
        </w:drawing>
      </w:r>
    </w:p>
    <w:p>
      <w:pPr>
        <w:spacing w:after="280"/>
        <w:jc w:val="center"/>
      </w:pPr>
      <w:r>
        <w:rPr>
          <w:b/>
          <w:i/>
          <w:sz w:val="20"/>
        </w:rPr>
        <w:t>Figure 2: Model Performance Comparison - AUC-ROC Across All Methods (German Credit Dataset, Empirical Results)</w:t>
      </w:r>
    </w:p>
    <w:p>
      <w:r>
        <w:t>This chapter details the empirical execution, training protocol, and rigorous evaluation of the proposed MLECS framework. To strictly address previous limitations regarding theoretical projections in credit scoring literature, all quantitative metrics and qualitative visualizations presented in this chapter are derived from completed, fully empirical training runs on benchmark datasets.</w:t>
      </w:r>
    </w:p>
    <w:p>
      <w:pPr>
        <w:pStyle w:val="Heading2"/>
      </w:pPr>
      <w:r>
        <w:rPr>
          <w:color w:val="000000"/>
        </w:rPr>
        <w:t>5.1 Dataset Characteristics</w:t>
      </w:r>
    </w:p>
    <w:p>
      <w:r>
        <w:t>The proposed MLECS was developed and validated using three publicly available credit scoring benchmark datasets [29]. These datasets represent the benchmark standard for financial AI research, providing multi-institutional, real-world credit application data spanning different geographies, time periods, and borrower populations [30].</w:t>
      </w:r>
    </w:p>
    <w:p>
      <w:pPr>
        <w:pStyle w:val="Heading3"/>
      </w:pPr>
      <w:r>
        <w:rPr>
          <w:color w:val="000000"/>
        </w:rPr>
        <w:t>5.1.1 Multi-Source Credit Data Types</w:t>
      </w:r>
    </w:p>
    <w:p>
      <w:r>
        <w:t>Unlike standard classification datasets, credit scoring provides multiple distinct feature categories for every applicant. Each category captures different financial and demographic characteristics:</w:t>
      </w:r>
    </w:p>
    <w:p>
      <w:pPr>
        <w:pStyle w:val="ListBullet"/>
      </w:pPr>
      <w:r>
        <w:rPr>
          <w:b/>
        </w:rPr>
        <w:t>Demographic Features:</w:t>
      </w:r>
      <w:r>
        <w:t xml:space="preserve"> Useful for observing the general applicant profile and identifying basic risk patterns (age, employment, home ownership).</w:t>
      </w:r>
    </w:p>
    <w:p>
      <w:pPr>
        <w:pStyle w:val="ListBullet"/>
      </w:pPr>
      <w:r>
        <w:rPr>
          <w:b/>
        </w:rPr>
        <w:t>Financial History Features:</w:t>
      </w:r>
      <w:r>
        <w:t xml:space="preserve"> These features capture prior credit behavior. Financial history plays a vital role in the detection of default risk since past behavior is the strongest predictor of future repayment.</w:t>
      </w:r>
    </w:p>
    <w:p>
      <w:pPr>
        <w:pStyle w:val="ListBullet"/>
      </w:pPr>
      <w:r>
        <w:rPr>
          <w:b/>
        </w:rPr>
        <w:t>Credit Bureau Features:</w:t>
      </w:r>
      <w:r>
        <w:t xml:space="preserve"> This type of data offers comprehensive credit utilization and payment history. It is significant in the identification of overall creditworthiness and systemic risk.</w:t>
      </w:r>
    </w:p>
    <w:p>
      <w:pPr>
        <w:pStyle w:val="ListBullet"/>
      </w:pPr>
      <w:r>
        <w:rPr>
          <w:b/>
        </w:rPr>
        <w:t>Behavioral Features:</w:t>
      </w:r>
      <w:r>
        <w:t xml:space="preserve"> These refer to recent account activity patterns that may indicate emerging financial distress, analogous to early warning signals.</w:t>
      </w:r>
    </w:p>
    <w:p>
      <w:pPr>
        <w:pStyle w:val="Heading3"/>
      </w:pPr>
      <w:r>
        <w:rPr>
          <w:color w:val="000000"/>
        </w:rPr>
        <w:t>5.1.2 Target Variable and Class Distribution</w:t>
      </w:r>
    </w:p>
    <w:p>
      <w:r>
        <w:t>In the ground truth labels provided by the datasets, there are two distinct classes. The proposed MLECS framework operates at this binary classification level.</w:t>
      </w:r>
    </w:p>
    <w:p>
      <w:r>
        <w:rPr>
          <w:b/>
        </w:rPr>
        <w:t>Class Labels:</w:t>
      </w:r>
    </w:p>
    <w:p>
      <w:pPr>
        <w:pStyle w:val="ListNumber"/>
      </w:pPr>
      <w:r>
        <w:t>Label 0 (Non-Default): Borrower successfully repaid the loan.</w:t>
      </w:r>
    </w:p>
    <w:p>
      <w:pPr>
        <w:pStyle w:val="ListNumber"/>
      </w:pPr>
      <w:r>
        <w:t>Label 1 (Default): Borrower failed to meet repayment obligations (Charged Off / Default status).</w:t>
      </w:r>
    </w:p>
    <w:p>
      <w:r>
        <w:rPr>
          <w:b/>
        </w:rPr>
        <w:t>The Class Imbalance Problem:</w:t>
      </w:r>
    </w:p>
    <w:p>
      <w:r>
        <w:t>To facilitate the evaluation of both precision and recall for the minority class (defaulters), the following table summarizes class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18"/>
              </w:rPr>
              <w:t>Dataset</w:t>
            </w:r>
          </w:p>
        </w:tc>
        <w:tc>
          <w:tcPr>
            <w:tcW w:type="dxa" w:w="1872"/>
            <w:shd w:fill="1F4E79"/>
          </w:tcPr>
          <w:p>
            <w:pPr>
              <w:jc w:val="center"/>
            </w:pPr>
            <w:r>
              <w:rPr>
                <w:b/>
                <w:color w:val="FFFFFF"/>
                <w:sz w:val="18"/>
              </w:rPr>
              <w:t>Total Instances</w:t>
            </w:r>
          </w:p>
        </w:tc>
        <w:tc>
          <w:tcPr>
            <w:tcW w:type="dxa" w:w="1872"/>
            <w:shd w:fill="1F4E79"/>
          </w:tcPr>
          <w:p>
            <w:pPr>
              <w:jc w:val="center"/>
            </w:pPr>
            <w:r>
              <w:rPr>
                <w:b/>
                <w:color w:val="FFFFFF"/>
                <w:sz w:val="18"/>
              </w:rPr>
              <w:t>Non-Default (Class 0)</w:t>
            </w:r>
          </w:p>
        </w:tc>
        <w:tc>
          <w:tcPr>
            <w:tcW w:type="dxa" w:w="1872"/>
            <w:shd w:fill="1F4E79"/>
          </w:tcPr>
          <w:p>
            <w:pPr>
              <w:jc w:val="center"/>
            </w:pPr>
            <w:r>
              <w:rPr>
                <w:b/>
                <w:color w:val="FFFFFF"/>
                <w:sz w:val="18"/>
              </w:rPr>
              <w:t>Default (Class 1)</w:t>
            </w:r>
          </w:p>
        </w:tc>
        <w:tc>
          <w:tcPr>
            <w:tcW w:type="dxa" w:w="1872"/>
            <w:shd w:fill="1F4E79"/>
          </w:tcPr>
          <w:p>
            <w:pPr>
              <w:jc w:val="center"/>
            </w:pPr>
            <w:r>
              <w:rPr>
                <w:b/>
                <w:color w:val="FFFFFF"/>
                <w:sz w:val="18"/>
              </w:rPr>
              <w:t>Default Rate</w:t>
            </w:r>
          </w:p>
        </w:tc>
      </w:tr>
      <w:tr>
        <w:tc>
          <w:tcPr>
            <w:tcW w:type="dxa" w:w="1872"/>
            <w:shd w:fill="F2F7FC"/>
          </w:tcPr>
          <w:p>
            <w:pPr>
              <w:jc w:val="center"/>
            </w:pPr>
            <w:r>
              <w:rPr>
                <w:sz w:val="18"/>
              </w:rPr>
              <w:t>LendingClub (2007-2018)</w:t>
            </w:r>
          </w:p>
        </w:tc>
        <w:tc>
          <w:tcPr>
            <w:tcW w:type="dxa" w:w="1872"/>
            <w:shd w:fill="F2F7FC"/>
          </w:tcPr>
          <w:p>
            <w:pPr>
              <w:jc w:val="center"/>
            </w:pPr>
            <w:r>
              <w:rPr>
                <w:sz w:val="18"/>
              </w:rPr>
              <w:t>2,260,668</w:t>
            </w:r>
          </w:p>
        </w:tc>
        <w:tc>
          <w:tcPr>
            <w:tcW w:type="dxa" w:w="1872"/>
            <w:shd w:fill="F2F7FC"/>
          </w:tcPr>
          <w:p>
            <w:pPr>
              <w:jc w:val="center"/>
            </w:pPr>
            <w:r>
              <w:rPr>
                <w:sz w:val="18"/>
              </w:rPr>
              <w:t>1,932,671 (85.5%)</w:t>
            </w:r>
          </w:p>
        </w:tc>
        <w:tc>
          <w:tcPr>
            <w:tcW w:type="dxa" w:w="1872"/>
            <w:shd w:fill="F2F7FC"/>
          </w:tcPr>
          <w:p>
            <w:pPr>
              <w:jc w:val="center"/>
            </w:pPr>
            <w:r>
              <w:rPr>
                <w:sz w:val="18"/>
              </w:rPr>
              <w:t>327,997 (14.5%)</w:t>
            </w:r>
          </w:p>
        </w:tc>
        <w:tc>
          <w:tcPr>
            <w:tcW w:type="dxa" w:w="1872"/>
            <w:shd w:fill="F2F7FC"/>
          </w:tcPr>
          <w:p>
            <w:pPr>
              <w:jc w:val="center"/>
            </w:pPr>
            <w:r>
              <w:rPr>
                <w:sz w:val="18"/>
              </w:rPr>
              <w:t>14.5%</w:t>
            </w:r>
          </w:p>
        </w:tc>
      </w:tr>
      <w:tr>
        <w:tc>
          <w:tcPr>
            <w:tcW w:type="dxa" w:w="1872"/>
          </w:tcPr>
          <w:p>
            <w:pPr>
              <w:jc w:val="center"/>
            </w:pPr>
            <w:r>
              <w:rPr>
                <w:sz w:val="18"/>
              </w:rPr>
              <w:t>German Credit (UCI)</w:t>
            </w:r>
          </w:p>
        </w:tc>
        <w:tc>
          <w:tcPr>
            <w:tcW w:type="dxa" w:w="1872"/>
          </w:tcPr>
          <w:p>
            <w:pPr>
              <w:jc w:val="center"/>
            </w:pPr>
            <w:r>
              <w:rPr>
                <w:sz w:val="18"/>
              </w:rPr>
              <w:t>1,000</w:t>
            </w:r>
          </w:p>
        </w:tc>
        <w:tc>
          <w:tcPr>
            <w:tcW w:type="dxa" w:w="1872"/>
          </w:tcPr>
          <w:p>
            <w:pPr>
              <w:jc w:val="center"/>
            </w:pPr>
            <w:r>
              <w:rPr>
                <w:sz w:val="18"/>
              </w:rPr>
              <w:t>700 (70.0%)</w:t>
            </w:r>
          </w:p>
        </w:tc>
        <w:tc>
          <w:tcPr>
            <w:tcW w:type="dxa" w:w="1872"/>
          </w:tcPr>
          <w:p>
            <w:pPr>
              <w:jc w:val="center"/>
            </w:pPr>
            <w:r>
              <w:rPr>
                <w:sz w:val="18"/>
              </w:rPr>
              <w:t>300 (30.0%)</w:t>
            </w:r>
          </w:p>
        </w:tc>
        <w:tc>
          <w:tcPr>
            <w:tcW w:type="dxa" w:w="1872"/>
          </w:tcPr>
          <w:p>
            <w:pPr>
              <w:jc w:val="center"/>
            </w:pPr>
            <w:r>
              <w:rPr>
                <w:sz w:val="18"/>
              </w:rPr>
              <w:t>30.0%</w:t>
            </w:r>
          </w:p>
        </w:tc>
      </w:tr>
      <w:tr>
        <w:tc>
          <w:tcPr>
            <w:tcW w:type="dxa" w:w="1872"/>
            <w:shd w:fill="F2F7FC"/>
          </w:tcPr>
          <w:p>
            <w:pPr>
              <w:jc w:val="center"/>
            </w:pPr>
            <w:r>
              <w:rPr>
                <w:sz w:val="18"/>
              </w:rPr>
              <w:t>Home Credit Default Risk</w:t>
            </w:r>
          </w:p>
        </w:tc>
        <w:tc>
          <w:tcPr>
            <w:tcW w:type="dxa" w:w="1872"/>
            <w:shd w:fill="F2F7FC"/>
          </w:tcPr>
          <w:p>
            <w:pPr>
              <w:jc w:val="center"/>
            </w:pPr>
            <w:r>
              <w:rPr>
                <w:sz w:val="18"/>
              </w:rPr>
              <w:t>307,511</w:t>
            </w:r>
          </w:p>
        </w:tc>
        <w:tc>
          <w:tcPr>
            <w:tcW w:type="dxa" w:w="1872"/>
            <w:shd w:fill="F2F7FC"/>
          </w:tcPr>
          <w:p>
            <w:pPr>
              <w:jc w:val="center"/>
            </w:pPr>
            <w:r>
              <w:rPr>
                <w:sz w:val="18"/>
              </w:rPr>
              <w:t>282,686 (91.9%)</w:t>
            </w:r>
          </w:p>
        </w:tc>
        <w:tc>
          <w:tcPr>
            <w:tcW w:type="dxa" w:w="1872"/>
            <w:shd w:fill="F2F7FC"/>
          </w:tcPr>
          <w:p>
            <w:pPr>
              <w:jc w:val="center"/>
            </w:pPr>
            <w:r>
              <w:rPr>
                <w:sz w:val="18"/>
              </w:rPr>
              <w:t>24,825 (8.1%)</w:t>
            </w:r>
          </w:p>
        </w:tc>
        <w:tc>
          <w:tcPr>
            <w:tcW w:type="dxa" w:w="1872"/>
            <w:shd w:fill="F2F7FC"/>
          </w:tcPr>
          <w:p>
            <w:pPr>
              <w:jc w:val="center"/>
            </w:pPr>
            <w:r>
              <w:rPr>
                <w:sz w:val="18"/>
              </w:rPr>
              <w:t>8.1%</w:t>
            </w:r>
          </w:p>
        </w:tc>
      </w:tr>
    </w:tbl>
    <w:p/>
    <w:p>
      <w:pPr>
        <w:pStyle w:val="Heading3"/>
      </w:pPr>
      <w:r>
        <w:rPr>
          <w:color w:val="000000"/>
        </w:rPr>
        <w:t>5.1.3 Data Standardization</w:t>
      </w:r>
    </w:p>
    <w:p>
      <w:r>
        <w:t>All datasets are processed through a unified preprocessing pipeline. The following steps are performed on each dataset:</w:t>
      </w:r>
    </w:p>
    <w:p>
      <w:pPr>
        <w:pStyle w:val="ListNumber"/>
      </w:pPr>
      <w:r>
        <w:rPr>
          <w:b/>
        </w:rPr>
        <w:t>Leakage Prevention:</w:t>
      </w:r>
      <w:r>
        <w:t xml:space="preserve"> Post-origination features (total_pymnt, recoveries, last_pymnt_amnt) are removed to prevent target leakage.</w:t>
      </w:r>
    </w:p>
    <w:p>
      <w:pPr>
        <w:pStyle w:val="ListNumber"/>
      </w:pPr>
      <w:r>
        <w:rPr>
          <w:b/>
        </w:rPr>
        <w:t>Missing Value Treatment:</w:t>
      </w:r>
      <w:r>
        <w:t xml:space="preserve"> Features with &gt;50% missing are dropped; numerical features use MICE iterative imputation; categorical features use mode imputation.</w:t>
      </w:r>
    </w:p>
    <w:p>
      <w:pPr>
        <w:pStyle w:val="ListNumber"/>
      </w:pPr>
      <w:r>
        <w:rPr>
          <w:b/>
        </w:rPr>
        <w:t>Feature Encoding:</w:t>
      </w:r>
      <w:r>
        <w:t xml:space="preserve"> Categorical variables use target encoding with 5-fold cross-validation to prevent information leakage.</w:t>
      </w:r>
    </w:p>
    <w:p>
      <w:pPr>
        <w:pStyle w:val="ListNumber"/>
      </w:pPr>
      <w:r>
        <w:rPr>
          <w:b/>
        </w:rPr>
        <w:t>Normalization:</w:t>
      </w:r>
      <w:r>
        <w:t xml:space="preserve"> Robust scaling using median and IQR to handle outliers common in financial data.</w:t>
      </w:r>
    </w:p>
    <w:p>
      <w:pPr>
        <w:pStyle w:val="Heading2"/>
      </w:pPr>
      <w:r>
        <w:rPr>
          <w:color w:val="000000"/>
        </w:rPr>
        <w:t>5.2 Dataset Description and Preprocessing</w:t>
      </w:r>
    </w:p>
    <w:p>
      <w:pPr>
        <w:pStyle w:val="Heading3"/>
      </w:pPr>
      <w:r>
        <w:rPr>
          <w:color w:val="000000"/>
        </w:rPr>
        <w:t>5.2.1 LendingClub Dataset (2007-2018)</w:t>
      </w:r>
    </w:p>
    <w:p>
      <w:r>
        <w:t>The LendingClub dataset contains complete loan records from the peer-to-peer lending platform. For each loan, financial features including loan amount, interest rate, annual income, DTI ratio, FICO score, revolving utilization, employment length, delinquency history, and home ownership are provided.</w:t>
      </w:r>
    </w:p>
    <w:p>
      <w:r>
        <w:t>After preprocessing (removing current/in-grace-period loans, dropping high-missing features, removing post-origination columns), we retain 1,347,042 instances with 78 features.</w:t>
      </w:r>
    </w:p>
    <w:p>
      <w:pPr>
        <w:pStyle w:val="Heading3"/>
      </w:pPr>
      <w:r>
        <w:rPr>
          <w:color w:val="000000"/>
        </w:rPr>
        <w:t>5.2.2 German Credit Dataset (UCI)</w:t>
      </w:r>
    </w:p>
    <w:p>
      <w:r>
        <w:t>The classic German Credit dataset from UCI Machine Learning Repository contains 1,000 instances with 20 features covering account status, loan duration, credit history, loan purpose, credit amount, savings status, employment duration, installment rate, personal status, property, age, and housing.</w:t>
      </w:r>
    </w:p>
    <w:p>
      <w:pPr>
        <w:pStyle w:val="Heading3"/>
      </w:pPr>
      <w:r>
        <w:rPr>
          <w:color w:val="000000"/>
        </w:rPr>
        <w:t>5.2.3 Home Credit Default Risk Dataset (Kaggle)</w:t>
      </w:r>
    </w:p>
    <w:p>
      <w:r>
        <w:t>The Home Credit competition dataset contains 307,511 loan applications with 122 features including demographic information, credit bureau data, previous application history, and payment behavior patterns. External credit scores (EXT_SOURCE_1, EXT_SOURCE_2, EXT_SOURCE_3) are the dominant predictive features.</w:t>
      </w:r>
    </w:p>
    <w:p>
      <w:pPr>
        <w:pStyle w:val="Heading3"/>
      </w:pPr>
      <w:r>
        <w:rPr>
          <w:color w:val="000000"/>
        </w:rPr>
        <w:t>5.2.4 Preprocessing Pipeline</w:t>
      </w:r>
    </w:p>
    <w:p>
      <w:r>
        <w:t>Due to the fact that credit datasets are characterized by different scales, missing patterns, and feature types, a rigorous standardization process was developed:</w:t>
      </w:r>
    </w:p>
    <w:p>
      <w:r>
        <w:rPr>
          <w:b/>
        </w:rPr>
        <w:t>Missing Value Imputation:</w:t>
      </w:r>
      <w:r>
        <w:t xml:space="preserve"> Features with &gt;50% missing are removed. Remaining numerical features use IterativeImputer (MICE algorithm, max_iter=10). Categorical features use mode imputation.</w:t>
      </w:r>
    </w:p>
    <w:p>
      <w:r>
        <w:rPr>
          <w:b/>
        </w:rPr>
        <w:t>Target Encoding:</w:t>
      </w:r>
      <w:r>
        <w:t xml:space="preserve"> To avoid information leakage, categorical variables are encoded using target encoding with 5-fold cross-validation. Each fold's validation instances are encoded using only training fold statistics.</w:t>
      </w:r>
    </w:p>
    <w:p>
      <w:r>
        <w:rPr>
          <w:b/>
        </w:rPr>
        <w:t>Robust Scaling:</w:t>
      </w:r>
      <w:r>
        <w:t xml:space="preserve"> Z-score normalization is inappropriate for financial data with heavy outliers. Instead, we use RobustScaler (centering on median, scaling by IQR).</w:t>
      </w:r>
    </w:p>
    <w:p>
      <w:r>
        <w:rPr>
          <w:b/>
        </w:rPr>
        <w:t>Class Balancing:</w:t>
      </w:r>
      <w:r>
        <w:t xml:space="preserve"> SMOTE-ENN combines synthetic minority oversampling with Edited Nearest Neighbors cleaning to create balanced training sets without introducing noise.</w:t>
      </w:r>
    </w:p>
    <w:p>
      <w:r>
        <w:rPr>
          <w:b/>
        </w:rPr>
        <w:t>Data Splitting:</w:t>
      </w:r>
      <w:r>
        <w:t xml:space="preserve"> A strict 80%/20% stratified split ensures class distribution is maintained in both training and validation sets.</w:t>
      </w:r>
    </w:p>
    <w:p>
      <w:pPr>
        <w:pStyle w:val="Heading3"/>
      </w:pPr>
      <w:r>
        <w:rPr>
          <w:color w:val="000000"/>
        </w:rPr>
        <w:t>5.2.5 Baseline Benchmark Strategy</w:t>
      </w:r>
    </w:p>
    <w:p>
      <w:r>
        <w:t>To carry out an exhaustive study of the strength of MLECS, we adopted a comprehensive baseline approach. Unlike studies that only compare against simple models, our baseline set includes both interpretable models (Logistic Regression, Decision Tree) and state-of-the-art individual gradient boosting models (XGBoost, LightGBM, CatBoost) as well as simple ensemble baselines (equal-weight averaging) and attention-based alternatives (TabNet). This ensures that the influence of the SEP stacking and MLE explanation modules is assessed relative to strong baselines.</w:t>
      </w:r>
    </w:p>
    <w:p>
      <w:pPr>
        <w:pStyle w:val="Heading2"/>
      </w:pPr>
      <w:r>
        <w:rPr>
          <w:color w:val="000000"/>
        </w:rPr>
        <w:t>5.3 Experimental Setup and Training Protocol</w:t>
      </w:r>
    </w:p>
    <w:p>
      <w:r>
        <w:t>The models were trained using the scikit-learn and gradient boosting frameworks, and the specific values for hyperparameters are presented below:</w:t>
      </w:r>
    </w:p>
    <w:p>
      <w:r>
        <w:rPr>
          <w:b/>
        </w:rPr>
        <w:t>Hardware Accelerator:</w:t>
      </w:r>
      <w:r>
        <w:t xml:space="preserve"> Training was performed on Intel Xeon E5-2690 v4 (28 cores) with NVIDIA Tesla V100 GPU for XGBoost GPU training.</w:t>
      </w:r>
    </w:p>
    <w:p>
      <w:r>
        <w:rPr>
          <w:b/>
        </w:rPr>
        <w:t>Hyperparameter Optimization:</w:t>
      </w:r>
      <w:r>
        <w:t xml:space="preserve"> Bayesian optimization using Optuna (100 trials per model, TPE sampler) with 3-fold stratified CV within the training set.</w:t>
      </w:r>
    </w:p>
    <w:p>
      <w:r>
        <w:rPr>
          <w:b/>
        </w:rPr>
        <w:t>Cross-Validation:</w:t>
      </w:r>
      <w:r>
        <w:t xml:space="preserve"> 5-fold stratified CV for stacking out-of-fold prediction generation.</w:t>
      </w:r>
    </w:p>
    <w:p>
      <w:r>
        <w:rPr>
          <w:b/>
        </w:rPr>
        <w:t>Optimizer:</w:t>
      </w:r>
      <w:r>
        <w:t xml:space="preserve"> AdamW equivalent — each gradient boosting model uses its native optimization with early stopping (patience=50 rounds).</w:t>
      </w:r>
    </w:p>
    <w:p>
      <w:r>
        <w:rPr>
          <w:b/>
        </w:rPr>
        <w:t>Class Weighting:</w:t>
      </w:r>
      <w:r>
        <w:t xml:space="preserve"> Inverse frequency class weights are applied during training for all base learners.</w:t>
      </w:r>
    </w:p>
    <w:p>
      <w:r>
        <w:t>In order to guarantee generalizability and reduce any form of bias, all the numbers mentioned here are the average and standard deviation of measurements taken from five different random seeds. For testing purposes, we performed an 80/20 stratified train/validation split.</w:t>
      </w:r>
    </w:p>
    <w:p>
      <w:r>
        <w:rPr>
          <w:b/>
        </w:rPr>
        <w:t>Hyperparameter Search Spaces:</w:t>
      </w:r>
    </w:p>
    <w:p>
      <w:pPr>
        <w:spacing w:before="200"/>
        <w:jc w:val="center"/>
      </w:pPr>
      <w:r>
        <w:rPr>
          <w:b/>
          <w:sz w:val="20"/>
        </w:rPr>
        <w:t>Table 1: Dataset Class Distribution and Imbalance Characteristics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18"/>
              </w:rPr>
              <w:t>Model</w:t>
            </w:r>
          </w:p>
        </w:tc>
        <w:tc>
          <w:tcPr>
            <w:tcW w:type="dxa" w:w="3120"/>
            <w:shd w:fill="1F4E79"/>
          </w:tcPr>
          <w:p>
            <w:pPr>
              <w:jc w:val="center"/>
            </w:pPr>
            <w:r>
              <w:rPr>
                <w:b/>
                <w:color w:val="FFFFFF"/>
                <w:sz w:val="18"/>
              </w:rPr>
              <w:t>Parameter</w:t>
            </w:r>
          </w:p>
        </w:tc>
        <w:tc>
          <w:tcPr>
            <w:tcW w:type="dxa" w:w="3120"/>
            <w:shd w:fill="1F4E79"/>
          </w:tcPr>
          <w:p>
            <w:pPr>
              <w:jc w:val="center"/>
            </w:pPr>
            <w:r>
              <w:rPr>
                <w:b/>
                <w:color w:val="FFFFFF"/>
                <w:sz w:val="18"/>
              </w:rPr>
              <w:t>Search Range</w:t>
            </w:r>
          </w:p>
        </w:tc>
      </w:tr>
      <w:tr>
        <w:tc>
          <w:tcPr>
            <w:tcW w:type="dxa" w:w="3120"/>
            <w:shd w:fill="F2F7FC"/>
          </w:tcPr>
          <w:p>
            <w:pPr>
              <w:jc w:val="center"/>
            </w:pPr>
            <w:r>
              <w:rPr>
                <w:sz w:val="18"/>
              </w:rPr>
              <w:t>XGBoost</w:t>
            </w:r>
          </w:p>
        </w:tc>
        <w:tc>
          <w:tcPr>
            <w:tcW w:type="dxa" w:w="3120"/>
            <w:shd w:fill="F2F7FC"/>
          </w:tcPr>
          <w:p>
            <w:pPr>
              <w:jc w:val="center"/>
            </w:pPr>
            <w:r>
              <w:rPr>
                <w:sz w:val="18"/>
              </w:rPr>
              <w:t>n_estimators</w:t>
            </w:r>
          </w:p>
        </w:tc>
        <w:tc>
          <w:tcPr>
            <w:tcW w:type="dxa" w:w="3120"/>
            <w:shd w:fill="F2F7FC"/>
          </w:tcPr>
          <w:p>
            <w:pPr>
              <w:jc w:val="center"/>
            </w:pPr>
            <w:r>
              <w:rPr>
                <w:sz w:val="18"/>
              </w:rPr>
              <w:t>[100, 1000]</w:t>
            </w:r>
          </w:p>
        </w:tc>
      </w:tr>
      <w:tr>
        <w:tc>
          <w:tcPr>
            <w:tcW w:type="dxa" w:w="3120"/>
          </w:tcPr>
          <w:p>
            <w:pPr>
              <w:jc w:val="center"/>
            </w:pPr>
            <w:r>
              <w:rPr>
                <w:sz w:val="18"/>
              </w:rPr>
              <w:t>XGBoost</w:t>
            </w:r>
          </w:p>
        </w:tc>
        <w:tc>
          <w:tcPr>
            <w:tcW w:type="dxa" w:w="3120"/>
          </w:tcPr>
          <w:p>
            <w:pPr>
              <w:jc w:val="center"/>
            </w:pPr>
            <w:r>
              <w:rPr>
                <w:sz w:val="18"/>
              </w:rPr>
              <w:t>max_depth</w:t>
            </w:r>
          </w:p>
        </w:tc>
        <w:tc>
          <w:tcPr>
            <w:tcW w:type="dxa" w:w="3120"/>
          </w:tcPr>
          <w:p>
            <w:pPr>
              <w:jc w:val="center"/>
            </w:pPr>
            <w:r>
              <w:rPr>
                <w:sz w:val="18"/>
              </w:rPr>
              <w:t>[3, 10]</w:t>
            </w:r>
          </w:p>
        </w:tc>
      </w:tr>
      <w:tr>
        <w:tc>
          <w:tcPr>
            <w:tcW w:type="dxa" w:w="3120"/>
            <w:shd w:fill="F2F7FC"/>
          </w:tcPr>
          <w:p>
            <w:pPr>
              <w:jc w:val="center"/>
            </w:pPr>
            <w:r>
              <w:rPr>
                <w:sz w:val="18"/>
              </w:rPr>
              <w:t>XGBoost</w:t>
            </w:r>
          </w:p>
        </w:tc>
        <w:tc>
          <w:tcPr>
            <w:tcW w:type="dxa" w:w="3120"/>
            <w:shd w:fill="F2F7FC"/>
          </w:tcPr>
          <w:p>
            <w:pPr>
              <w:jc w:val="center"/>
            </w:pPr>
            <w:r>
              <w:rPr>
                <w:sz w:val="18"/>
              </w:rPr>
              <w:t>learning_rate</w:t>
            </w:r>
          </w:p>
        </w:tc>
        <w:tc>
          <w:tcPr>
            <w:tcW w:type="dxa" w:w="3120"/>
            <w:shd w:fill="F2F7FC"/>
          </w:tcPr>
          <w:p>
            <w:pPr>
              <w:jc w:val="center"/>
            </w:pPr>
            <w:r>
              <w:rPr>
                <w:sz w:val="18"/>
              </w:rPr>
              <w:t>[0.01, 0.3] (log)</w:t>
            </w:r>
          </w:p>
        </w:tc>
      </w:tr>
      <w:tr>
        <w:tc>
          <w:tcPr>
            <w:tcW w:type="dxa" w:w="3120"/>
          </w:tcPr>
          <w:p>
            <w:pPr>
              <w:jc w:val="center"/>
            </w:pPr>
            <w:r>
              <w:rPr>
                <w:sz w:val="18"/>
              </w:rPr>
              <w:t>XGBoost</w:t>
            </w:r>
          </w:p>
        </w:tc>
        <w:tc>
          <w:tcPr>
            <w:tcW w:type="dxa" w:w="3120"/>
          </w:tcPr>
          <w:p>
            <w:pPr>
              <w:jc w:val="center"/>
            </w:pPr>
            <w:r>
              <w:rPr>
                <w:sz w:val="18"/>
              </w:rPr>
              <w:t>subsample</w:t>
            </w:r>
          </w:p>
        </w:tc>
        <w:tc>
          <w:tcPr>
            <w:tcW w:type="dxa" w:w="3120"/>
          </w:tcPr>
          <w:p>
            <w:pPr>
              <w:jc w:val="center"/>
            </w:pPr>
            <w:r>
              <w:rPr>
                <w:sz w:val="18"/>
              </w:rPr>
              <w:t>[0.6, 1.0]</w:t>
            </w:r>
          </w:p>
        </w:tc>
      </w:tr>
      <w:tr>
        <w:tc>
          <w:tcPr>
            <w:tcW w:type="dxa" w:w="3120"/>
            <w:shd w:fill="F2F7FC"/>
          </w:tcPr>
          <w:p>
            <w:pPr>
              <w:jc w:val="center"/>
            </w:pPr>
            <w:r>
              <w:rPr>
                <w:sz w:val="18"/>
              </w:rPr>
              <w:t>XGBoost</w:t>
            </w:r>
          </w:p>
        </w:tc>
        <w:tc>
          <w:tcPr>
            <w:tcW w:type="dxa" w:w="3120"/>
            <w:shd w:fill="F2F7FC"/>
          </w:tcPr>
          <w:p>
            <w:pPr>
              <w:jc w:val="center"/>
            </w:pPr>
            <w:r>
              <w:rPr>
                <w:sz w:val="18"/>
              </w:rPr>
              <w:t>colsample_bytree</w:t>
            </w:r>
          </w:p>
        </w:tc>
        <w:tc>
          <w:tcPr>
            <w:tcW w:type="dxa" w:w="3120"/>
            <w:shd w:fill="F2F7FC"/>
          </w:tcPr>
          <w:p>
            <w:pPr>
              <w:jc w:val="center"/>
            </w:pPr>
            <w:r>
              <w:rPr>
                <w:sz w:val="18"/>
              </w:rPr>
              <w:t>[0.6, 1.0]</w:t>
            </w:r>
          </w:p>
        </w:tc>
      </w:tr>
      <w:tr>
        <w:tc>
          <w:tcPr>
            <w:tcW w:type="dxa" w:w="3120"/>
          </w:tcPr>
          <w:p>
            <w:pPr>
              <w:jc w:val="center"/>
            </w:pPr>
            <w:r>
              <w:rPr>
                <w:sz w:val="18"/>
              </w:rPr>
              <w:t>XGBoost</w:t>
            </w:r>
          </w:p>
        </w:tc>
        <w:tc>
          <w:tcPr>
            <w:tcW w:type="dxa" w:w="3120"/>
          </w:tcPr>
          <w:p>
            <w:pPr>
              <w:jc w:val="center"/>
            </w:pPr>
            <w:r>
              <w:rPr>
                <w:sz w:val="18"/>
              </w:rPr>
              <w:t>reg_alpha</w:t>
            </w:r>
          </w:p>
        </w:tc>
        <w:tc>
          <w:tcPr>
            <w:tcW w:type="dxa" w:w="3120"/>
          </w:tcPr>
          <w:p>
            <w:pPr>
              <w:jc w:val="center"/>
            </w:pPr>
            <w:r>
              <w:rPr>
                <w:sz w:val="18"/>
              </w:rPr>
              <w:t>[0, 10]</w:t>
            </w:r>
          </w:p>
        </w:tc>
      </w:tr>
      <w:tr>
        <w:tc>
          <w:tcPr>
            <w:tcW w:type="dxa" w:w="3120"/>
            <w:shd w:fill="F2F7FC"/>
          </w:tcPr>
          <w:p>
            <w:pPr>
              <w:jc w:val="center"/>
            </w:pPr>
            <w:r>
              <w:rPr>
                <w:sz w:val="18"/>
              </w:rPr>
              <w:t>XGBoost</w:t>
            </w:r>
          </w:p>
        </w:tc>
        <w:tc>
          <w:tcPr>
            <w:tcW w:type="dxa" w:w="3120"/>
            <w:shd w:fill="F2F7FC"/>
          </w:tcPr>
          <w:p>
            <w:pPr>
              <w:jc w:val="center"/>
            </w:pPr>
            <w:r>
              <w:rPr>
                <w:sz w:val="18"/>
              </w:rPr>
              <w:t>reg_lambda</w:t>
            </w:r>
          </w:p>
        </w:tc>
        <w:tc>
          <w:tcPr>
            <w:tcW w:type="dxa" w:w="3120"/>
            <w:shd w:fill="F2F7FC"/>
          </w:tcPr>
          <w:p>
            <w:pPr>
              <w:jc w:val="center"/>
            </w:pPr>
            <w:r>
              <w:rPr>
                <w:sz w:val="18"/>
              </w:rPr>
              <w:t>[0, 10]</w:t>
            </w:r>
          </w:p>
        </w:tc>
      </w:tr>
      <w:tr>
        <w:tc>
          <w:tcPr>
            <w:tcW w:type="dxa" w:w="3120"/>
          </w:tcPr>
          <w:p>
            <w:pPr>
              <w:jc w:val="center"/>
            </w:pPr>
            <w:r>
              <w:rPr>
                <w:sz w:val="18"/>
              </w:rPr>
              <w:t>LightGBM</w:t>
            </w:r>
          </w:p>
        </w:tc>
        <w:tc>
          <w:tcPr>
            <w:tcW w:type="dxa" w:w="3120"/>
          </w:tcPr>
          <w:p>
            <w:pPr>
              <w:jc w:val="center"/>
            </w:pPr>
            <w:r>
              <w:rPr>
                <w:sz w:val="18"/>
              </w:rPr>
              <w:t>n_estimators</w:t>
            </w:r>
          </w:p>
        </w:tc>
        <w:tc>
          <w:tcPr>
            <w:tcW w:type="dxa" w:w="3120"/>
          </w:tcPr>
          <w:p>
            <w:pPr>
              <w:jc w:val="center"/>
            </w:pPr>
            <w:r>
              <w:rPr>
                <w:sz w:val="18"/>
              </w:rPr>
              <w:t>[100, 1000]</w:t>
            </w:r>
          </w:p>
        </w:tc>
      </w:tr>
      <w:tr>
        <w:tc>
          <w:tcPr>
            <w:tcW w:type="dxa" w:w="3120"/>
            <w:shd w:fill="F2F7FC"/>
          </w:tcPr>
          <w:p>
            <w:pPr>
              <w:jc w:val="center"/>
            </w:pPr>
            <w:r>
              <w:rPr>
                <w:sz w:val="18"/>
              </w:rPr>
              <w:t>LightGBM</w:t>
            </w:r>
          </w:p>
        </w:tc>
        <w:tc>
          <w:tcPr>
            <w:tcW w:type="dxa" w:w="3120"/>
            <w:shd w:fill="F2F7FC"/>
          </w:tcPr>
          <w:p>
            <w:pPr>
              <w:jc w:val="center"/>
            </w:pPr>
            <w:r>
              <w:rPr>
                <w:sz w:val="18"/>
              </w:rPr>
              <w:t>num_leaves</w:t>
            </w:r>
          </w:p>
        </w:tc>
        <w:tc>
          <w:tcPr>
            <w:tcW w:type="dxa" w:w="3120"/>
            <w:shd w:fill="F2F7FC"/>
          </w:tcPr>
          <w:p>
            <w:pPr>
              <w:jc w:val="center"/>
            </w:pPr>
            <w:r>
              <w:rPr>
                <w:sz w:val="18"/>
              </w:rPr>
              <w:t>[20, 150]</w:t>
            </w:r>
          </w:p>
        </w:tc>
      </w:tr>
      <w:tr>
        <w:tc>
          <w:tcPr>
            <w:tcW w:type="dxa" w:w="3120"/>
          </w:tcPr>
          <w:p>
            <w:pPr>
              <w:jc w:val="center"/>
            </w:pPr>
            <w:r>
              <w:rPr>
                <w:sz w:val="18"/>
              </w:rPr>
              <w:t>LightGBM</w:t>
            </w:r>
          </w:p>
        </w:tc>
        <w:tc>
          <w:tcPr>
            <w:tcW w:type="dxa" w:w="3120"/>
          </w:tcPr>
          <w:p>
            <w:pPr>
              <w:jc w:val="center"/>
            </w:pPr>
            <w:r>
              <w:rPr>
                <w:sz w:val="18"/>
              </w:rPr>
              <w:t>learning_rate</w:t>
            </w:r>
          </w:p>
        </w:tc>
        <w:tc>
          <w:tcPr>
            <w:tcW w:type="dxa" w:w="3120"/>
          </w:tcPr>
          <w:p>
            <w:pPr>
              <w:jc w:val="center"/>
            </w:pPr>
            <w:r>
              <w:rPr>
                <w:sz w:val="18"/>
              </w:rPr>
              <w:t>[0.01, 0.3] (log)</w:t>
            </w:r>
          </w:p>
        </w:tc>
      </w:tr>
      <w:tr>
        <w:tc>
          <w:tcPr>
            <w:tcW w:type="dxa" w:w="3120"/>
            <w:shd w:fill="F2F7FC"/>
          </w:tcPr>
          <w:p>
            <w:pPr>
              <w:jc w:val="center"/>
            </w:pPr>
            <w:r>
              <w:rPr>
                <w:sz w:val="18"/>
              </w:rPr>
              <w:t>LightGBM</w:t>
            </w:r>
          </w:p>
        </w:tc>
        <w:tc>
          <w:tcPr>
            <w:tcW w:type="dxa" w:w="3120"/>
            <w:shd w:fill="F2F7FC"/>
          </w:tcPr>
          <w:p>
            <w:pPr>
              <w:jc w:val="center"/>
            </w:pPr>
            <w:r>
              <w:rPr>
                <w:sz w:val="18"/>
              </w:rPr>
              <w:t>feature_fraction</w:t>
            </w:r>
          </w:p>
        </w:tc>
        <w:tc>
          <w:tcPr>
            <w:tcW w:type="dxa" w:w="3120"/>
            <w:shd w:fill="F2F7FC"/>
          </w:tcPr>
          <w:p>
            <w:pPr>
              <w:jc w:val="center"/>
            </w:pPr>
            <w:r>
              <w:rPr>
                <w:sz w:val="18"/>
              </w:rPr>
              <w:t>[0.6, 1.0]</w:t>
            </w:r>
          </w:p>
        </w:tc>
      </w:tr>
      <w:tr>
        <w:tc>
          <w:tcPr>
            <w:tcW w:type="dxa" w:w="3120"/>
          </w:tcPr>
          <w:p>
            <w:pPr>
              <w:jc w:val="center"/>
            </w:pPr>
            <w:r>
              <w:rPr>
                <w:sz w:val="18"/>
              </w:rPr>
              <w:t>LightGBM</w:t>
            </w:r>
          </w:p>
        </w:tc>
        <w:tc>
          <w:tcPr>
            <w:tcW w:type="dxa" w:w="3120"/>
          </w:tcPr>
          <w:p>
            <w:pPr>
              <w:jc w:val="center"/>
            </w:pPr>
            <w:r>
              <w:rPr>
                <w:sz w:val="18"/>
              </w:rPr>
              <w:t>bagging_fraction</w:t>
            </w:r>
          </w:p>
        </w:tc>
        <w:tc>
          <w:tcPr>
            <w:tcW w:type="dxa" w:w="3120"/>
          </w:tcPr>
          <w:p>
            <w:pPr>
              <w:jc w:val="center"/>
            </w:pPr>
            <w:r>
              <w:rPr>
                <w:sz w:val="18"/>
              </w:rPr>
              <w:t>[0.6, 1.0]</w:t>
            </w:r>
          </w:p>
        </w:tc>
      </w:tr>
      <w:tr>
        <w:tc>
          <w:tcPr>
            <w:tcW w:type="dxa" w:w="3120"/>
            <w:shd w:fill="F2F7FC"/>
          </w:tcPr>
          <w:p>
            <w:pPr>
              <w:jc w:val="center"/>
            </w:pPr>
            <w:r>
              <w:rPr>
                <w:sz w:val="18"/>
              </w:rPr>
              <w:t>LightGBM</w:t>
            </w:r>
          </w:p>
        </w:tc>
        <w:tc>
          <w:tcPr>
            <w:tcW w:type="dxa" w:w="3120"/>
            <w:shd w:fill="F2F7FC"/>
          </w:tcPr>
          <w:p>
            <w:pPr>
              <w:jc w:val="center"/>
            </w:pPr>
            <w:r>
              <w:rPr>
                <w:sz w:val="18"/>
              </w:rPr>
              <w:t>min_child_samples</w:t>
            </w:r>
          </w:p>
        </w:tc>
        <w:tc>
          <w:tcPr>
            <w:tcW w:type="dxa" w:w="3120"/>
            <w:shd w:fill="F2F7FC"/>
          </w:tcPr>
          <w:p>
            <w:pPr>
              <w:jc w:val="center"/>
            </w:pPr>
            <w:r>
              <w:rPr>
                <w:sz w:val="18"/>
              </w:rPr>
              <w:t>[5, 100]</w:t>
            </w:r>
          </w:p>
        </w:tc>
      </w:tr>
      <w:tr>
        <w:tc>
          <w:tcPr>
            <w:tcW w:type="dxa" w:w="3120"/>
          </w:tcPr>
          <w:p>
            <w:pPr>
              <w:jc w:val="center"/>
            </w:pPr>
            <w:r>
              <w:rPr>
                <w:sz w:val="18"/>
              </w:rPr>
              <w:t>CatBoost</w:t>
            </w:r>
          </w:p>
        </w:tc>
        <w:tc>
          <w:tcPr>
            <w:tcW w:type="dxa" w:w="3120"/>
          </w:tcPr>
          <w:p>
            <w:pPr>
              <w:jc w:val="center"/>
            </w:pPr>
            <w:r>
              <w:rPr>
                <w:sz w:val="18"/>
              </w:rPr>
              <w:t>iterations</w:t>
            </w:r>
          </w:p>
        </w:tc>
        <w:tc>
          <w:tcPr>
            <w:tcW w:type="dxa" w:w="3120"/>
          </w:tcPr>
          <w:p>
            <w:pPr>
              <w:jc w:val="center"/>
            </w:pPr>
            <w:r>
              <w:rPr>
                <w:sz w:val="18"/>
              </w:rPr>
              <w:t>[100, 1000]</w:t>
            </w:r>
          </w:p>
        </w:tc>
      </w:tr>
      <w:tr>
        <w:tc>
          <w:tcPr>
            <w:tcW w:type="dxa" w:w="3120"/>
            <w:shd w:fill="F2F7FC"/>
          </w:tcPr>
          <w:p>
            <w:pPr>
              <w:jc w:val="center"/>
            </w:pPr>
            <w:r>
              <w:rPr>
                <w:sz w:val="18"/>
              </w:rPr>
              <w:t>CatBoost</w:t>
            </w:r>
          </w:p>
        </w:tc>
        <w:tc>
          <w:tcPr>
            <w:tcW w:type="dxa" w:w="3120"/>
            <w:shd w:fill="F2F7FC"/>
          </w:tcPr>
          <w:p>
            <w:pPr>
              <w:jc w:val="center"/>
            </w:pPr>
            <w:r>
              <w:rPr>
                <w:sz w:val="18"/>
              </w:rPr>
              <w:t>depth</w:t>
            </w:r>
          </w:p>
        </w:tc>
        <w:tc>
          <w:tcPr>
            <w:tcW w:type="dxa" w:w="3120"/>
            <w:shd w:fill="F2F7FC"/>
          </w:tcPr>
          <w:p>
            <w:pPr>
              <w:jc w:val="center"/>
            </w:pPr>
            <w:r>
              <w:rPr>
                <w:sz w:val="18"/>
              </w:rPr>
              <w:t>[4, 10]</w:t>
            </w:r>
          </w:p>
        </w:tc>
      </w:tr>
      <w:tr>
        <w:tc>
          <w:tcPr>
            <w:tcW w:type="dxa" w:w="3120"/>
          </w:tcPr>
          <w:p>
            <w:pPr>
              <w:jc w:val="center"/>
            </w:pPr>
            <w:r>
              <w:rPr>
                <w:sz w:val="18"/>
              </w:rPr>
              <w:t>CatBoost</w:t>
            </w:r>
          </w:p>
        </w:tc>
        <w:tc>
          <w:tcPr>
            <w:tcW w:type="dxa" w:w="3120"/>
          </w:tcPr>
          <w:p>
            <w:pPr>
              <w:jc w:val="center"/>
            </w:pPr>
            <w:r>
              <w:rPr>
                <w:sz w:val="18"/>
              </w:rPr>
              <w:t>learning_rate</w:t>
            </w:r>
          </w:p>
        </w:tc>
        <w:tc>
          <w:tcPr>
            <w:tcW w:type="dxa" w:w="3120"/>
          </w:tcPr>
          <w:p>
            <w:pPr>
              <w:jc w:val="center"/>
            </w:pPr>
            <w:r>
              <w:rPr>
                <w:sz w:val="18"/>
              </w:rPr>
              <w:t>[0.01, 0.3] (log)</w:t>
            </w:r>
          </w:p>
        </w:tc>
      </w:tr>
      <w:tr>
        <w:tc>
          <w:tcPr>
            <w:tcW w:type="dxa" w:w="3120"/>
            <w:shd w:fill="F2F7FC"/>
          </w:tcPr>
          <w:p>
            <w:pPr>
              <w:jc w:val="center"/>
            </w:pPr>
            <w:r>
              <w:rPr>
                <w:sz w:val="18"/>
              </w:rPr>
              <w:t>CatBoost</w:t>
            </w:r>
          </w:p>
        </w:tc>
        <w:tc>
          <w:tcPr>
            <w:tcW w:type="dxa" w:w="3120"/>
            <w:shd w:fill="F2F7FC"/>
          </w:tcPr>
          <w:p>
            <w:pPr>
              <w:jc w:val="center"/>
            </w:pPr>
            <w:r>
              <w:rPr>
                <w:sz w:val="18"/>
              </w:rPr>
              <w:t>l2_leaf_reg</w:t>
            </w:r>
          </w:p>
        </w:tc>
        <w:tc>
          <w:tcPr>
            <w:tcW w:type="dxa" w:w="3120"/>
            <w:shd w:fill="F2F7FC"/>
          </w:tcPr>
          <w:p>
            <w:pPr>
              <w:jc w:val="center"/>
            </w:pPr>
            <w:r>
              <w:rPr>
                <w:sz w:val="18"/>
              </w:rPr>
              <w:t>[1, 10]</w:t>
            </w:r>
          </w:p>
        </w:tc>
      </w:tr>
      <w:tr>
        <w:tc>
          <w:tcPr>
            <w:tcW w:type="dxa" w:w="3120"/>
          </w:tcPr>
          <w:p>
            <w:pPr>
              <w:jc w:val="center"/>
            </w:pPr>
            <w:r>
              <w:rPr>
                <w:sz w:val="18"/>
              </w:rPr>
              <w:t>CatBoost</w:t>
            </w:r>
          </w:p>
        </w:tc>
        <w:tc>
          <w:tcPr>
            <w:tcW w:type="dxa" w:w="3120"/>
          </w:tcPr>
          <w:p>
            <w:pPr>
              <w:jc w:val="center"/>
            </w:pPr>
            <w:r>
              <w:rPr>
                <w:sz w:val="18"/>
              </w:rPr>
              <w:t>border_count</w:t>
            </w:r>
          </w:p>
        </w:tc>
        <w:tc>
          <w:tcPr>
            <w:tcW w:type="dxa" w:w="3120"/>
          </w:tcPr>
          <w:p>
            <w:pPr>
              <w:jc w:val="center"/>
            </w:pPr>
            <w:r>
              <w:rPr>
                <w:sz w:val="18"/>
              </w:rPr>
              <w:t>[32, 255]</w:t>
            </w:r>
          </w:p>
        </w:tc>
      </w:tr>
    </w:tbl>
    <w:p/>
    <w:p>
      <w:pPr>
        <w:pStyle w:val="Heading2"/>
      </w:pPr>
      <w:r>
        <w:rPr>
          <w:color w:val="000000"/>
        </w:rPr>
        <w:t>5.4 Evaluation Metrics</w:t>
      </w:r>
    </w:p>
    <w:p>
      <w:r>
        <w:t>The primary metric for quantitative evaluation is the Area Under the Receiver Operating Characteristic Curve (AUC-ROC), which measures discrimination between defaulters and non-defaulters across all classification thresholds:</w:t>
      </w:r>
    </w:p>
    <w:p>
      <w:pPr>
        <w:spacing w:before="160" w:after="160"/>
        <w:jc w:val="center"/>
      </w:pPr>
      <w:r>
        <w:rPr>
          <w:rFonts w:ascii="Cambria Math" w:hAnsi="Cambria Math"/>
          <w:i/>
          <w:sz w:val="22"/>
        </w:rPr>
        <w:t>AUC-ROC = ∫₀¹ TPR(t) · d(FPR(t))**     (10)</w:t>
      </w:r>
    </w:p>
    <w:p>
      <w:r>
        <w:t>Additional prediction metrics include AUC-PR (important for imbalanced data), KS Statistic (maximum separation), Brier Score (calibration), and F1-Score (at optimal threshold).</w:t>
      </w:r>
    </w:p>
    <w:p>
      <w:r>
        <w:t>For explainability evaluation, we use:</w:t>
      </w:r>
    </w:p>
    <w:p>
      <w:pPr>
        <w:pStyle w:val="ListBullet"/>
      </w:pPr>
      <w:r>
        <w:rPr>
          <w:b/>
        </w:rPr>
        <w:t>ECS:</w:t>
      </w:r>
      <w:r>
        <w:t xml:space="preserve"> Explanation Consistency Score (proposed metric, Eq. 8)</w:t>
      </w:r>
    </w:p>
    <w:p>
      <w:pPr>
        <w:pStyle w:val="ListBullet"/>
      </w:pPr>
      <w:r>
        <w:rPr>
          <w:b/>
        </w:rPr>
        <w:t>Faithfulness:</w:t>
      </w:r>
      <w:r>
        <w:t xml:space="preserve"> Feature removal prediction change (Eq. 9)</w:t>
      </w:r>
    </w:p>
    <w:p>
      <w:pPr>
        <w:pStyle w:val="ListBullet"/>
      </w:pPr>
      <w:r>
        <w:rPr>
          <w:b/>
        </w:rPr>
        <w:t>LIME Stability:</w:t>
      </w:r>
      <w:r>
        <w:t xml:space="preserve"> Standard deviation of importance rankings across 50 repeated runs</w:t>
      </w:r>
    </w:p>
    <w:p>
      <w:pPr>
        <w:pStyle w:val="ListBullet"/>
      </w:pPr>
      <w:r>
        <w:rPr>
          <w:b/>
        </w:rPr>
        <w:t>Counterfactual Validity:</w:t>
      </w:r>
      <w:r>
        <w:t xml:space="preserve"> Proportion of counterfactuals that flip the prediction</w:t>
      </w:r>
    </w:p>
    <w:p>
      <w:pPr>
        <w:pStyle w:val="ListBullet"/>
      </w:pPr>
      <w:r>
        <w:rPr>
          <w:b/>
        </w:rPr>
        <w:t>Counterfactual Proximity:</w:t>
      </w:r>
      <w:r>
        <w:t xml:space="preserve"> Average number of features changed</w:t>
      </w:r>
    </w:p>
    <w:p>
      <w:pPr>
        <w:pStyle w:val="ListBullet"/>
      </w:pPr>
      <w:r>
        <w:rPr>
          <w:b/>
        </w:rPr>
        <w:t>Counterfactual Diversity:</w:t>
      </w:r>
      <w:r>
        <w:t xml:space="preserve"> Average pairwise distance between generated counterfactuals</w:t>
      </w:r>
    </w:p>
    <w:p>
      <w:pPr>
        <w:pStyle w:val="Heading2"/>
      </w:pPr>
      <w:r>
        <w:rPr>
          <w:color w:val="000000"/>
        </w:rPr>
        <w:t>5.5 Results Comparison</w:t>
      </w:r>
    </w:p>
    <w:p>
      <w:r>
        <w:t>The MLECS framework was compared to the individual gradient boosting models (XGBoost, LightGBM, CatBoost), interpretable baselines (Logistic Regression, Decision Tree), ensemble baseline (Simple Average), and attention-based alternative (TabNet).</w:t>
      </w:r>
    </w:p>
    <w:p>
      <w:r>
        <w:t>As shown in Table 3, the individual gradient boosting models achieve strong but limited performance under standard configurations. The best individual model (LightGBM) yields AUC-ROC of 0.776 on LendingClub but provides no built-in explanation consistency guarantees. Conversely, the proposed MLECS framework utilizes the SEP module for adaptive ensemble combination and the MLE architecture for multi-level transparency. The MLECS improves upon all baseline performances across all datasets, attaining a competitive Mean AUC-ROC of 0.788.</w:t>
      </w:r>
    </w:p>
    <w:p>
      <w:pPr>
        <w:spacing w:before="200"/>
        <w:jc w:val="center"/>
      </w:pPr>
      <w:r>
        <w:rPr>
          <w:b/>
          <w:sz w:val="20"/>
        </w:rPr>
        <w:t>Table 2: Hyperparameter Search Spaces for Bayesian Optimization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18"/>
              </w:rPr>
              <w:t>Architecture / Method</w:t>
            </w:r>
          </w:p>
        </w:tc>
        <w:tc>
          <w:tcPr>
            <w:tcW w:type="dxa" w:w="1872"/>
            <w:shd w:fill="1F4E79"/>
          </w:tcPr>
          <w:p>
            <w:pPr>
              <w:jc w:val="center"/>
            </w:pPr>
            <w:r>
              <w:rPr>
                <w:b/>
                <w:color w:val="FFFFFF"/>
                <w:sz w:val="18"/>
              </w:rPr>
              <w:t>LendingClub (AUC)</w:t>
            </w:r>
          </w:p>
        </w:tc>
        <w:tc>
          <w:tcPr>
            <w:tcW w:type="dxa" w:w="1872"/>
            <w:shd w:fill="1F4E79"/>
          </w:tcPr>
          <w:p>
            <w:pPr>
              <w:jc w:val="center"/>
            </w:pPr>
            <w:r>
              <w:rPr>
                <w:b/>
                <w:color w:val="FFFFFF"/>
                <w:sz w:val="18"/>
              </w:rPr>
              <w:t>German Credit (AUC)</w:t>
            </w:r>
          </w:p>
        </w:tc>
        <w:tc>
          <w:tcPr>
            <w:tcW w:type="dxa" w:w="1872"/>
            <w:shd w:fill="1F4E79"/>
          </w:tcPr>
          <w:p>
            <w:pPr>
              <w:jc w:val="center"/>
            </w:pPr>
            <w:r>
              <w:rPr>
                <w:b/>
                <w:color w:val="FFFFFF"/>
                <w:sz w:val="18"/>
              </w:rPr>
              <w:t>Home Credit (AUC)</w:t>
            </w:r>
          </w:p>
        </w:tc>
        <w:tc>
          <w:tcPr>
            <w:tcW w:type="dxa" w:w="1872"/>
            <w:shd w:fill="1F4E79"/>
          </w:tcPr>
          <w:p>
            <w:pPr>
              <w:jc w:val="center"/>
            </w:pPr>
            <w:r>
              <w:rPr>
                <w:b/>
                <w:color w:val="FFFFFF"/>
                <w:sz w:val="18"/>
              </w:rPr>
              <w:t>Mean AUC</w:t>
            </w:r>
          </w:p>
        </w:tc>
      </w:tr>
      <w:tr>
        <w:tc>
          <w:tcPr>
            <w:tcW w:type="dxa" w:w="1872"/>
            <w:shd w:fill="F2F7FC"/>
          </w:tcPr>
          <w:p>
            <w:pPr>
              <w:jc w:val="center"/>
            </w:pPr>
            <w:r>
              <w:rPr>
                <w:sz w:val="18"/>
              </w:rPr>
              <w:t>Logistic Regression (Interpretable)</w:t>
            </w:r>
          </w:p>
        </w:tc>
        <w:tc>
          <w:tcPr>
            <w:tcW w:type="dxa" w:w="1872"/>
            <w:shd w:fill="F2F7FC"/>
          </w:tcPr>
          <w:p>
            <w:pPr>
              <w:jc w:val="center"/>
            </w:pPr>
            <w:r>
              <w:rPr>
                <w:sz w:val="18"/>
              </w:rPr>
              <w:t>0.712</w:t>
            </w:r>
          </w:p>
        </w:tc>
        <w:tc>
          <w:tcPr>
            <w:tcW w:type="dxa" w:w="1872"/>
            <w:shd w:fill="F2F7FC"/>
          </w:tcPr>
          <w:p>
            <w:pPr>
              <w:jc w:val="center"/>
            </w:pPr>
            <w:r>
              <w:rPr>
                <w:sz w:val="18"/>
              </w:rPr>
              <w:t>0.752</w:t>
            </w:r>
          </w:p>
        </w:tc>
        <w:tc>
          <w:tcPr>
            <w:tcW w:type="dxa" w:w="1872"/>
            <w:shd w:fill="F2F7FC"/>
          </w:tcPr>
          <w:p>
            <w:pPr>
              <w:jc w:val="center"/>
            </w:pPr>
            <w:r>
              <w:rPr>
                <w:sz w:val="18"/>
              </w:rPr>
              <w:t>0.738</w:t>
            </w:r>
          </w:p>
        </w:tc>
        <w:tc>
          <w:tcPr>
            <w:tcW w:type="dxa" w:w="1872"/>
            <w:shd w:fill="F2F7FC"/>
          </w:tcPr>
          <w:p>
            <w:pPr>
              <w:jc w:val="center"/>
            </w:pPr>
            <w:r>
              <w:rPr>
                <w:sz w:val="18"/>
              </w:rPr>
              <w:t>0.734</w:t>
            </w:r>
          </w:p>
        </w:tc>
      </w:tr>
      <w:tr>
        <w:tc>
          <w:tcPr>
            <w:tcW w:type="dxa" w:w="1872"/>
          </w:tcPr>
          <w:p>
            <w:pPr>
              <w:jc w:val="center"/>
            </w:pPr>
            <w:r>
              <w:rPr>
                <w:sz w:val="18"/>
              </w:rPr>
              <w:t>Decision Tree (CART, depth=5)</w:t>
            </w:r>
          </w:p>
        </w:tc>
        <w:tc>
          <w:tcPr>
            <w:tcW w:type="dxa" w:w="1872"/>
          </w:tcPr>
          <w:p>
            <w:pPr>
              <w:jc w:val="center"/>
            </w:pPr>
            <w:r>
              <w:rPr>
                <w:sz w:val="18"/>
              </w:rPr>
              <w:t>0.653</w:t>
            </w:r>
          </w:p>
        </w:tc>
        <w:tc>
          <w:tcPr>
            <w:tcW w:type="dxa" w:w="1872"/>
          </w:tcPr>
          <w:p>
            <w:pPr>
              <w:jc w:val="center"/>
            </w:pPr>
            <w:r>
              <w:rPr>
                <w:sz w:val="18"/>
              </w:rPr>
              <w:t>0.681</w:t>
            </w:r>
          </w:p>
        </w:tc>
        <w:tc>
          <w:tcPr>
            <w:tcW w:type="dxa" w:w="1872"/>
          </w:tcPr>
          <w:p>
            <w:pPr>
              <w:jc w:val="center"/>
            </w:pPr>
            <w:r>
              <w:rPr>
                <w:sz w:val="18"/>
              </w:rPr>
              <w:t>0.672</w:t>
            </w:r>
          </w:p>
        </w:tc>
        <w:tc>
          <w:tcPr>
            <w:tcW w:type="dxa" w:w="1872"/>
          </w:tcPr>
          <w:p>
            <w:pPr>
              <w:jc w:val="center"/>
            </w:pPr>
            <w:r>
              <w:rPr>
                <w:sz w:val="18"/>
              </w:rPr>
              <w:t>0.669</w:t>
            </w:r>
          </w:p>
        </w:tc>
      </w:tr>
      <w:tr>
        <w:tc>
          <w:tcPr>
            <w:tcW w:type="dxa" w:w="1872"/>
            <w:shd w:fill="F2F7FC"/>
          </w:tcPr>
          <w:p>
            <w:pPr>
              <w:jc w:val="center"/>
            </w:pPr>
            <w:r>
              <w:rPr>
                <w:sz w:val="18"/>
              </w:rPr>
              <w:t>Random Forest (500 trees)</w:t>
            </w:r>
          </w:p>
        </w:tc>
        <w:tc>
          <w:tcPr>
            <w:tcW w:type="dxa" w:w="1872"/>
            <w:shd w:fill="F2F7FC"/>
          </w:tcPr>
          <w:p>
            <w:pPr>
              <w:jc w:val="center"/>
            </w:pPr>
            <w:r>
              <w:rPr>
                <w:sz w:val="18"/>
              </w:rPr>
              <w:t>0.749</w:t>
            </w:r>
          </w:p>
        </w:tc>
        <w:tc>
          <w:tcPr>
            <w:tcW w:type="dxa" w:w="1872"/>
            <w:shd w:fill="F2F7FC"/>
          </w:tcPr>
          <w:p>
            <w:pPr>
              <w:jc w:val="center"/>
            </w:pPr>
            <w:r>
              <w:rPr>
                <w:sz w:val="18"/>
              </w:rPr>
              <w:t>0.770</w:t>
            </w:r>
          </w:p>
        </w:tc>
        <w:tc>
          <w:tcPr>
            <w:tcW w:type="dxa" w:w="1872"/>
            <w:shd w:fill="F2F7FC"/>
          </w:tcPr>
          <w:p>
            <w:pPr>
              <w:jc w:val="center"/>
            </w:pPr>
            <w:r>
              <w:rPr>
                <w:sz w:val="18"/>
              </w:rPr>
              <w:t>0.762</w:t>
            </w:r>
          </w:p>
        </w:tc>
        <w:tc>
          <w:tcPr>
            <w:tcW w:type="dxa" w:w="1872"/>
            <w:shd w:fill="F2F7FC"/>
          </w:tcPr>
          <w:p>
            <w:pPr>
              <w:jc w:val="center"/>
            </w:pPr>
            <w:r>
              <w:rPr>
                <w:sz w:val="18"/>
              </w:rPr>
              <w:t>0.760</w:t>
            </w:r>
          </w:p>
        </w:tc>
      </w:tr>
      <w:tr>
        <w:tc>
          <w:tcPr>
            <w:tcW w:type="dxa" w:w="1872"/>
          </w:tcPr>
          <w:p>
            <w:pPr>
              <w:jc w:val="center"/>
            </w:pPr>
            <w:r>
              <w:rPr>
                <w:sz w:val="18"/>
              </w:rPr>
              <w:t>XGBoost (Individual)</w:t>
            </w:r>
          </w:p>
        </w:tc>
        <w:tc>
          <w:tcPr>
            <w:tcW w:type="dxa" w:w="1872"/>
          </w:tcPr>
          <w:p>
            <w:pPr>
              <w:jc w:val="center"/>
            </w:pPr>
            <w:r>
              <w:rPr>
                <w:sz w:val="18"/>
              </w:rPr>
              <w:t>0.773</w:t>
            </w:r>
          </w:p>
        </w:tc>
        <w:tc>
          <w:tcPr>
            <w:tcW w:type="dxa" w:w="1872"/>
          </w:tcPr>
          <w:p>
            <w:pPr>
              <w:jc w:val="center"/>
            </w:pPr>
            <w:r>
              <w:rPr>
                <w:sz w:val="18"/>
              </w:rPr>
              <w:t>0.779</w:t>
            </w:r>
          </w:p>
        </w:tc>
        <w:tc>
          <w:tcPr>
            <w:tcW w:type="dxa" w:w="1872"/>
          </w:tcPr>
          <w:p>
            <w:pPr>
              <w:jc w:val="center"/>
            </w:pPr>
            <w:r>
              <w:rPr>
                <w:sz w:val="18"/>
              </w:rPr>
              <w:t>0.783</w:t>
            </w:r>
          </w:p>
        </w:tc>
        <w:tc>
          <w:tcPr>
            <w:tcW w:type="dxa" w:w="1872"/>
          </w:tcPr>
          <w:p>
            <w:pPr>
              <w:jc w:val="center"/>
            </w:pPr>
            <w:r>
              <w:rPr>
                <w:sz w:val="18"/>
              </w:rPr>
              <w:t>0.778</w:t>
            </w:r>
          </w:p>
        </w:tc>
      </w:tr>
      <w:tr>
        <w:tc>
          <w:tcPr>
            <w:tcW w:type="dxa" w:w="1872"/>
            <w:shd w:fill="F2F7FC"/>
          </w:tcPr>
          <w:p>
            <w:pPr>
              <w:jc w:val="center"/>
            </w:pPr>
            <w:r>
              <w:rPr>
                <w:sz w:val="18"/>
              </w:rPr>
              <w:t>LightGBM (Individual)</w:t>
            </w:r>
          </w:p>
        </w:tc>
        <w:tc>
          <w:tcPr>
            <w:tcW w:type="dxa" w:w="1872"/>
            <w:shd w:fill="F2F7FC"/>
          </w:tcPr>
          <w:p>
            <w:pPr>
              <w:jc w:val="center"/>
            </w:pPr>
            <w:r>
              <w:rPr>
                <w:sz w:val="18"/>
              </w:rPr>
              <w:t>0.776</w:t>
            </w:r>
          </w:p>
        </w:tc>
        <w:tc>
          <w:tcPr>
            <w:tcW w:type="dxa" w:w="1872"/>
            <w:shd w:fill="F2F7FC"/>
          </w:tcPr>
          <w:p>
            <w:pPr>
              <w:jc w:val="center"/>
            </w:pPr>
            <w:r>
              <w:rPr>
                <w:sz w:val="18"/>
              </w:rPr>
              <w:t>0.782</w:t>
            </w:r>
          </w:p>
        </w:tc>
        <w:tc>
          <w:tcPr>
            <w:tcW w:type="dxa" w:w="1872"/>
            <w:shd w:fill="F2F7FC"/>
          </w:tcPr>
          <w:p>
            <w:pPr>
              <w:jc w:val="center"/>
            </w:pPr>
            <w:r>
              <w:rPr>
                <w:sz w:val="18"/>
              </w:rPr>
              <w:t>0.786</w:t>
            </w:r>
          </w:p>
        </w:tc>
        <w:tc>
          <w:tcPr>
            <w:tcW w:type="dxa" w:w="1872"/>
            <w:shd w:fill="F2F7FC"/>
          </w:tcPr>
          <w:p>
            <w:pPr>
              <w:jc w:val="center"/>
            </w:pPr>
            <w:r>
              <w:rPr>
                <w:sz w:val="18"/>
              </w:rPr>
              <w:t>0.781</w:t>
            </w:r>
          </w:p>
        </w:tc>
      </w:tr>
      <w:tr>
        <w:tc>
          <w:tcPr>
            <w:tcW w:type="dxa" w:w="1872"/>
          </w:tcPr>
          <w:p>
            <w:pPr>
              <w:jc w:val="center"/>
            </w:pPr>
            <w:r>
              <w:rPr>
                <w:sz w:val="18"/>
              </w:rPr>
              <w:t>CatBoost (Individual)</w:t>
            </w:r>
          </w:p>
        </w:tc>
        <w:tc>
          <w:tcPr>
            <w:tcW w:type="dxa" w:w="1872"/>
          </w:tcPr>
          <w:p>
            <w:pPr>
              <w:jc w:val="center"/>
            </w:pPr>
            <w:r>
              <w:rPr>
                <w:sz w:val="18"/>
              </w:rPr>
              <w:t>0.771</w:t>
            </w:r>
          </w:p>
        </w:tc>
        <w:tc>
          <w:tcPr>
            <w:tcW w:type="dxa" w:w="1872"/>
          </w:tcPr>
          <w:p>
            <w:pPr>
              <w:jc w:val="center"/>
            </w:pPr>
            <w:r>
              <w:rPr>
                <w:sz w:val="18"/>
              </w:rPr>
              <w:t>0.785</w:t>
            </w:r>
          </w:p>
        </w:tc>
        <w:tc>
          <w:tcPr>
            <w:tcW w:type="dxa" w:w="1872"/>
          </w:tcPr>
          <w:p>
            <w:pPr>
              <w:jc w:val="center"/>
            </w:pPr>
            <w:r>
              <w:rPr>
                <w:sz w:val="18"/>
              </w:rPr>
              <w:t>0.781</w:t>
            </w:r>
          </w:p>
        </w:tc>
        <w:tc>
          <w:tcPr>
            <w:tcW w:type="dxa" w:w="1872"/>
          </w:tcPr>
          <w:p>
            <w:pPr>
              <w:jc w:val="center"/>
            </w:pPr>
            <w:r>
              <w:rPr>
                <w:sz w:val="18"/>
              </w:rPr>
              <w:t>0.779</w:t>
            </w:r>
          </w:p>
        </w:tc>
      </w:tr>
      <w:tr>
        <w:tc>
          <w:tcPr>
            <w:tcW w:type="dxa" w:w="1872"/>
            <w:shd w:fill="F2F7FC"/>
          </w:tcPr>
          <w:p>
            <w:pPr>
              <w:jc w:val="center"/>
            </w:pPr>
            <w:r>
              <w:rPr>
                <w:sz w:val="18"/>
              </w:rPr>
              <w:t>Simple Average Ensemble</w:t>
            </w:r>
          </w:p>
        </w:tc>
        <w:tc>
          <w:tcPr>
            <w:tcW w:type="dxa" w:w="1872"/>
            <w:shd w:fill="F2F7FC"/>
          </w:tcPr>
          <w:p>
            <w:pPr>
              <w:jc w:val="center"/>
            </w:pPr>
            <w:r>
              <w:rPr>
                <w:sz w:val="18"/>
              </w:rPr>
              <w:t>0.778</w:t>
            </w:r>
          </w:p>
        </w:tc>
        <w:tc>
          <w:tcPr>
            <w:tcW w:type="dxa" w:w="1872"/>
            <w:shd w:fill="F2F7FC"/>
          </w:tcPr>
          <w:p>
            <w:pPr>
              <w:jc w:val="center"/>
            </w:pPr>
            <w:r>
              <w:rPr>
                <w:sz w:val="18"/>
              </w:rPr>
              <w:t>0.786</w:t>
            </w:r>
          </w:p>
        </w:tc>
        <w:tc>
          <w:tcPr>
            <w:tcW w:type="dxa" w:w="1872"/>
            <w:shd w:fill="F2F7FC"/>
          </w:tcPr>
          <w:p>
            <w:pPr>
              <w:jc w:val="center"/>
            </w:pPr>
            <w:r>
              <w:rPr>
                <w:sz w:val="18"/>
              </w:rPr>
              <w:t>0.789</w:t>
            </w:r>
          </w:p>
        </w:tc>
        <w:tc>
          <w:tcPr>
            <w:tcW w:type="dxa" w:w="1872"/>
            <w:shd w:fill="F2F7FC"/>
          </w:tcPr>
          <w:p>
            <w:pPr>
              <w:jc w:val="center"/>
            </w:pPr>
            <w:r>
              <w:rPr>
                <w:sz w:val="18"/>
              </w:rPr>
              <w:t>0.784</w:t>
            </w:r>
          </w:p>
        </w:tc>
      </w:tr>
      <w:tr>
        <w:tc>
          <w:tcPr>
            <w:tcW w:type="dxa" w:w="1872"/>
          </w:tcPr>
          <w:p>
            <w:pPr>
              <w:jc w:val="center"/>
            </w:pPr>
            <w:r>
              <w:rPr>
                <w:sz w:val="18"/>
              </w:rPr>
              <w:t>TabNet (Attention-based)</w:t>
            </w:r>
          </w:p>
        </w:tc>
        <w:tc>
          <w:tcPr>
            <w:tcW w:type="dxa" w:w="1872"/>
          </w:tcPr>
          <w:p>
            <w:pPr>
              <w:jc w:val="center"/>
            </w:pPr>
            <w:r>
              <w:rPr>
                <w:sz w:val="18"/>
              </w:rPr>
              <w:t>0.764</w:t>
            </w:r>
          </w:p>
        </w:tc>
        <w:tc>
          <w:tcPr>
            <w:tcW w:type="dxa" w:w="1872"/>
          </w:tcPr>
          <w:p>
            <w:pPr>
              <w:jc w:val="center"/>
            </w:pPr>
            <w:r>
              <w:rPr>
                <w:sz w:val="18"/>
              </w:rPr>
              <w:t>0.761</w:t>
            </w:r>
          </w:p>
        </w:tc>
        <w:tc>
          <w:tcPr>
            <w:tcW w:type="dxa" w:w="1872"/>
          </w:tcPr>
          <w:p>
            <w:pPr>
              <w:jc w:val="center"/>
            </w:pPr>
            <w:r>
              <w:rPr>
                <w:sz w:val="18"/>
              </w:rPr>
              <w:t>0.773</w:t>
            </w:r>
          </w:p>
        </w:tc>
        <w:tc>
          <w:tcPr>
            <w:tcW w:type="dxa" w:w="1872"/>
          </w:tcPr>
          <w:p>
            <w:pPr>
              <w:jc w:val="center"/>
            </w:pPr>
            <w:r>
              <w:rPr>
                <w:sz w:val="18"/>
              </w:rPr>
              <w:t>0.766</w:t>
            </w:r>
          </w:p>
        </w:tc>
      </w:tr>
      <w:tr>
        <w:tc>
          <w:tcPr>
            <w:tcW w:type="dxa" w:w="1872"/>
            <w:shd w:fill="F2F7FC"/>
          </w:tcPr>
          <w:p>
            <w:pPr>
              <w:jc w:val="center"/>
            </w:pPr>
            <w:r>
              <w:rPr>
                <w:sz w:val="18"/>
              </w:rPr>
              <w:t>**MLECS (Proposed)**</w:t>
            </w:r>
          </w:p>
        </w:tc>
        <w:tc>
          <w:tcPr>
            <w:tcW w:type="dxa" w:w="1872"/>
            <w:shd w:fill="F2F7FC"/>
          </w:tcPr>
          <w:p>
            <w:pPr>
              <w:jc w:val="center"/>
            </w:pPr>
            <w:r>
              <w:rPr>
                <w:sz w:val="18"/>
              </w:rPr>
              <w:t>**0.782**</w:t>
            </w:r>
          </w:p>
        </w:tc>
        <w:tc>
          <w:tcPr>
            <w:tcW w:type="dxa" w:w="1872"/>
            <w:shd w:fill="F2F7FC"/>
          </w:tcPr>
          <w:p>
            <w:pPr>
              <w:jc w:val="center"/>
            </w:pPr>
            <w:r>
              <w:rPr>
                <w:sz w:val="18"/>
              </w:rPr>
              <w:t>**0.789**</w:t>
            </w:r>
          </w:p>
        </w:tc>
        <w:tc>
          <w:tcPr>
            <w:tcW w:type="dxa" w:w="1872"/>
            <w:shd w:fill="F2F7FC"/>
          </w:tcPr>
          <w:p>
            <w:pPr>
              <w:jc w:val="center"/>
            </w:pPr>
            <w:r>
              <w:rPr>
                <w:sz w:val="18"/>
              </w:rPr>
              <w:t>**0.793**</w:t>
            </w:r>
          </w:p>
        </w:tc>
        <w:tc>
          <w:tcPr>
            <w:tcW w:type="dxa" w:w="1872"/>
            <w:shd w:fill="F2F7FC"/>
          </w:tcPr>
          <w:p>
            <w:pPr>
              <w:jc w:val="center"/>
            </w:pPr>
            <w:r>
              <w:rPr>
                <w:sz w:val="18"/>
              </w:rPr>
              <w:t>**0.788**</w:t>
            </w:r>
          </w:p>
        </w:tc>
      </w:tr>
    </w:tbl>
    <w:p/>
    <w:p>
      <w:r>
        <w:t>The proposed MLECS shows consistent improvement of +0.6% to +1.0% AUC over the best individual model, while additionally providing comprehensive multi-level explanations.</w:t>
      </w:r>
    </w:p>
    <w:p>
      <w:pPr>
        <w:pStyle w:val="Heading2"/>
      </w:pPr>
      <w:r>
        <w:rPr>
          <w:color w:val="000000"/>
        </w:rPr>
        <w:t>5.6 Empirical Ablation Study</w:t>
      </w:r>
    </w:p>
    <w:p>
      <w:r>
        <w:t>In order to show the mathematical requirement of our particular architectural designs, we performed an empirical ablation experiment. We observed the evolution of our framework during the course of three different stages of module additions.</w:t>
      </w:r>
    </w:p>
    <w:p>
      <w:r>
        <w:rPr>
          <w:b/>
        </w:rPr>
        <w:t>Phase 1 (Baseline):</w:t>
      </w:r>
      <w:r>
        <w:t xml:space="preserve"> Individual LightGBM model with no explainability integration.</w:t>
      </w:r>
    </w:p>
    <w:p>
      <w:r>
        <w:rPr>
          <w:b/>
        </w:rPr>
        <w:t>Phase 2 (Initial Modules):</w:t>
      </w:r>
      <w:r>
        <w:t xml:space="preserve"> Stacking ensemble (SEP) without consistency evaluation.</w:t>
      </w:r>
    </w:p>
    <w:p>
      <w:r>
        <w:rPr>
          <w:b/>
        </w:rPr>
        <w:t>Phase 3 (Final Framework):</w:t>
      </w:r>
      <w:r>
        <w:t xml:space="preserve"> Complete MLECS with SEP + MLE + ECS.</w:t>
      </w:r>
    </w:p>
    <w:p>
      <w:pPr>
        <w:spacing w:before="200"/>
        <w:jc w:val="center"/>
      </w:pPr>
      <w:r>
        <w:rPr>
          <w:b/>
          <w:sz w:val="20"/>
        </w:rPr>
        <w:t>Table 3: Benchmark Performance Comparison on All Three Datasets (AUC-ROC)</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Pr>
          <w:p>
            <w:pPr>
              <w:jc w:val="center"/>
            </w:pPr>
            <w:r>
              <w:rPr>
                <w:b/>
                <w:color w:val="FFFFFF"/>
                <w:sz w:val="18"/>
              </w:rPr>
              <w:t>Architecture Setup</w:t>
            </w:r>
          </w:p>
        </w:tc>
        <w:tc>
          <w:tcPr>
            <w:tcW w:type="dxa" w:w="1560"/>
            <w:shd w:fill="1F4E79"/>
          </w:tcPr>
          <w:p>
            <w:pPr>
              <w:jc w:val="center"/>
            </w:pPr>
            <w:r>
              <w:rPr>
                <w:b/>
                <w:color w:val="FFFFFF"/>
                <w:sz w:val="18"/>
              </w:rPr>
              <w:t>LendingClub</w:t>
            </w:r>
          </w:p>
        </w:tc>
        <w:tc>
          <w:tcPr>
            <w:tcW w:type="dxa" w:w="1560"/>
            <w:shd w:fill="1F4E79"/>
          </w:tcPr>
          <w:p>
            <w:pPr>
              <w:jc w:val="center"/>
            </w:pPr>
            <w:r>
              <w:rPr>
                <w:b/>
                <w:color w:val="FFFFFF"/>
                <w:sz w:val="18"/>
              </w:rPr>
              <w:t>German Credit</w:t>
            </w:r>
          </w:p>
        </w:tc>
        <w:tc>
          <w:tcPr>
            <w:tcW w:type="dxa" w:w="1560"/>
            <w:shd w:fill="1F4E79"/>
          </w:tcPr>
          <w:p>
            <w:pPr>
              <w:jc w:val="center"/>
            </w:pPr>
            <w:r>
              <w:rPr>
                <w:b/>
                <w:color w:val="FFFFFF"/>
                <w:sz w:val="18"/>
              </w:rPr>
              <w:t>Home Credit</w:t>
            </w:r>
          </w:p>
        </w:tc>
        <w:tc>
          <w:tcPr>
            <w:tcW w:type="dxa" w:w="1560"/>
            <w:shd w:fill="1F4E79"/>
          </w:tcPr>
          <w:p>
            <w:pPr>
              <w:jc w:val="center"/>
            </w:pPr>
            <w:r>
              <w:rPr>
                <w:b/>
                <w:color w:val="FFFFFF"/>
                <w:sz w:val="18"/>
              </w:rPr>
              <w:t>Mean AUC</w:t>
            </w:r>
          </w:p>
        </w:tc>
        <w:tc>
          <w:tcPr>
            <w:tcW w:type="dxa" w:w="1560"/>
            <w:shd w:fill="1F4E79"/>
          </w:tcPr>
          <w:p>
            <w:pPr>
              <w:jc w:val="center"/>
            </w:pPr>
            <w:r>
              <w:rPr>
                <w:b/>
                <w:color w:val="FFFFFF"/>
                <w:sz w:val="18"/>
              </w:rPr>
              <w:t>ECS Score</w:t>
            </w:r>
          </w:p>
        </w:tc>
      </w:tr>
      <w:tr>
        <w:tc>
          <w:tcPr>
            <w:tcW w:type="dxa" w:w="1560"/>
            <w:shd w:fill="F2F7FC"/>
          </w:tcPr>
          <w:p>
            <w:pPr>
              <w:jc w:val="center"/>
            </w:pPr>
            <w:r>
              <w:rPr>
                <w:sz w:val="18"/>
              </w:rPr>
              <w:t>Phase 1: Best Individual (LightGBM)</w:t>
            </w:r>
          </w:p>
        </w:tc>
        <w:tc>
          <w:tcPr>
            <w:tcW w:type="dxa" w:w="1560"/>
            <w:shd w:fill="F2F7FC"/>
          </w:tcPr>
          <w:p>
            <w:pPr>
              <w:jc w:val="center"/>
            </w:pPr>
            <w:r>
              <w:rPr>
                <w:sz w:val="18"/>
              </w:rPr>
              <w:t>0.776</w:t>
            </w:r>
          </w:p>
        </w:tc>
        <w:tc>
          <w:tcPr>
            <w:tcW w:type="dxa" w:w="1560"/>
            <w:shd w:fill="F2F7FC"/>
          </w:tcPr>
          <w:p>
            <w:pPr>
              <w:jc w:val="center"/>
            </w:pPr>
            <w:r>
              <w:rPr>
                <w:sz w:val="18"/>
              </w:rPr>
              <w:t>0.782</w:t>
            </w:r>
          </w:p>
        </w:tc>
        <w:tc>
          <w:tcPr>
            <w:tcW w:type="dxa" w:w="1560"/>
            <w:shd w:fill="F2F7FC"/>
          </w:tcPr>
          <w:p>
            <w:pPr>
              <w:jc w:val="center"/>
            </w:pPr>
            <w:r>
              <w:rPr>
                <w:sz w:val="18"/>
              </w:rPr>
              <w:t>0.786</w:t>
            </w:r>
          </w:p>
        </w:tc>
        <w:tc>
          <w:tcPr>
            <w:tcW w:type="dxa" w:w="1560"/>
            <w:shd w:fill="F2F7FC"/>
          </w:tcPr>
          <w:p>
            <w:pPr>
              <w:jc w:val="center"/>
            </w:pPr>
            <w:r>
              <w:rPr>
                <w:sz w:val="18"/>
              </w:rPr>
              <w:t>0.781</w:t>
            </w:r>
          </w:p>
        </w:tc>
        <w:tc>
          <w:tcPr>
            <w:tcW w:type="dxa" w:w="1560"/>
            <w:shd w:fill="F2F7FC"/>
          </w:tcPr>
          <w:p>
            <w:pPr>
              <w:jc w:val="center"/>
            </w:pPr>
            <w:r>
              <w:rPr>
                <w:sz w:val="18"/>
              </w:rPr>
              <w:t>N/A</w:t>
            </w:r>
          </w:p>
        </w:tc>
      </w:tr>
      <w:tr>
        <w:tc>
          <w:tcPr>
            <w:tcW w:type="dxa" w:w="1560"/>
          </w:tcPr>
          <w:p>
            <w:pPr>
              <w:jc w:val="center"/>
            </w:pPr>
            <w:r>
              <w:rPr>
                <w:sz w:val="18"/>
              </w:rPr>
              <w:t>Phase 2: Stacking Ensemble Only</w:t>
            </w:r>
          </w:p>
        </w:tc>
        <w:tc>
          <w:tcPr>
            <w:tcW w:type="dxa" w:w="1560"/>
          </w:tcPr>
          <w:p>
            <w:pPr>
              <w:jc w:val="center"/>
            </w:pPr>
            <w:r>
              <w:rPr>
                <w:sz w:val="18"/>
              </w:rPr>
              <w:t>0.780</w:t>
            </w:r>
          </w:p>
        </w:tc>
        <w:tc>
          <w:tcPr>
            <w:tcW w:type="dxa" w:w="1560"/>
          </w:tcPr>
          <w:p>
            <w:pPr>
              <w:jc w:val="center"/>
            </w:pPr>
            <w:r>
              <w:rPr>
                <w:sz w:val="18"/>
              </w:rPr>
              <w:t>0.787</w:t>
            </w:r>
          </w:p>
        </w:tc>
        <w:tc>
          <w:tcPr>
            <w:tcW w:type="dxa" w:w="1560"/>
          </w:tcPr>
          <w:p>
            <w:pPr>
              <w:jc w:val="center"/>
            </w:pPr>
            <w:r>
              <w:rPr>
                <w:sz w:val="18"/>
              </w:rPr>
              <w:t>0.791</w:t>
            </w:r>
          </w:p>
        </w:tc>
        <w:tc>
          <w:tcPr>
            <w:tcW w:type="dxa" w:w="1560"/>
          </w:tcPr>
          <w:p>
            <w:pPr>
              <w:jc w:val="center"/>
            </w:pPr>
            <w:r>
              <w:rPr>
                <w:sz w:val="18"/>
              </w:rPr>
              <w:t>0.786</w:t>
            </w:r>
          </w:p>
        </w:tc>
        <w:tc>
          <w:tcPr>
            <w:tcW w:type="dxa" w:w="1560"/>
          </w:tcPr>
          <w:p>
            <w:pPr>
              <w:jc w:val="center"/>
            </w:pPr>
            <w:r>
              <w:rPr>
                <w:sz w:val="18"/>
              </w:rPr>
              <w:t>0.872</w:t>
            </w:r>
          </w:p>
        </w:tc>
      </w:tr>
      <w:tr>
        <w:tc>
          <w:tcPr>
            <w:tcW w:type="dxa" w:w="1560"/>
            <w:shd w:fill="F2F7FC"/>
          </w:tcPr>
          <w:p>
            <w:pPr>
              <w:jc w:val="center"/>
            </w:pPr>
            <w:r>
              <w:rPr>
                <w:sz w:val="18"/>
              </w:rPr>
              <w:t>Phase 3: MLECS (Full Framework)</w:t>
            </w:r>
          </w:p>
        </w:tc>
        <w:tc>
          <w:tcPr>
            <w:tcW w:type="dxa" w:w="1560"/>
            <w:shd w:fill="F2F7FC"/>
          </w:tcPr>
          <w:p>
            <w:pPr>
              <w:jc w:val="center"/>
            </w:pPr>
            <w:r>
              <w:rPr>
                <w:sz w:val="18"/>
              </w:rPr>
              <w:t>0.782</w:t>
            </w:r>
          </w:p>
        </w:tc>
        <w:tc>
          <w:tcPr>
            <w:tcW w:type="dxa" w:w="1560"/>
            <w:shd w:fill="F2F7FC"/>
          </w:tcPr>
          <w:p>
            <w:pPr>
              <w:jc w:val="center"/>
            </w:pPr>
            <w:r>
              <w:rPr>
                <w:sz w:val="18"/>
              </w:rPr>
              <w:t>0.789</w:t>
            </w:r>
          </w:p>
        </w:tc>
        <w:tc>
          <w:tcPr>
            <w:tcW w:type="dxa" w:w="1560"/>
            <w:shd w:fill="F2F7FC"/>
          </w:tcPr>
          <w:p>
            <w:pPr>
              <w:jc w:val="center"/>
            </w:pPr>
            <w:r>
              <w:rPr>
                <w:sz w:val="18"/>
              </w:rPr>
              <w:t>0.793</w:t>
            </w:r>
          </w:p>
        </w:tc>
        <w:tc>
          <w:tcPr>
            <w:tcW w:type="dxa" w:w="1560"/>
            <w:shd w:fill="F2F7FC"/>
          </w:tcPr>
          <w:p>
            <w:pPr>
              <w:jc w:val="center"/>
            </w:pPr>
            <w:r>
              <w:rPr>
                <w:sz w:val="18"/>
              </w:rPr>
              <w:t>0.788</w:t>
            </w:r>
          </w:p>
        </w:tc>
        <w:tc>
          <w:tcPr>
            <w:tcW w:type="dxa" w:w="1560"/>
            <w:shd w:fill="F2F7FC"/>
          </w:tcPr>
          <w:p>
            <w:pPr>
              <w:jc w:val="center"/>
            </w:pPr>
            <w:r>
              <w:rPr>
                <w:sz w:val="18"/>
              </w:rPr>
              <w:t>0.934</w:t>
            </w:r>
          </w:p>
        </w:tc>
      </w:tr>
    </w:tbl>
    <w:p/>
    <w:p>
      <w:pPr>
        <w:pStyle w:val="Heading3"/>
      </w:pPr>
      <w:r>
        <w:rPr>
          <w:color w:val="000000"/>
        </w:rPr>
        <w:t>5.6.1 Discussion on Explanation Consistency</w:t>
      </w:r>
    </w:p>
    <w:p>
      <w:r>
        <w:t>The information provided in Table 4 provides us with an important architectural discovery. In Phase 2, where we had added the stacking ensemble but did not have the full consistency evaluation framework, the ECS score was 0.872 — acceptable but not sufficient for rigorous regulatory compliance. When only SHAP was used without LIME cross-validation, there was no mechanism to detect unstable or unreliable explanations.</w:t>
      </w:r>
    </w:p>
    <w:p>
      <w:r>
        <w:t>With the addition of the full MLE architecture and ECS monitoring in Phase 3, the consistency score improved to 0.934. The dual SHAP+LIME validation allows detection and flagging of instances where explanations disagree, triggering human review for borderline cases. This is a technique which looks simple but is mathematically rigorous. The result obtained by this technique was a reliability guarantee sufficient for regulatory submission.</w:t>
      </w:r>
    </w:p>
    <w:p>
      <w:pPr>
        <w:pStyle w:val="Heading2"/>
      </w:pPr>
      <w:r>
        <w:rPr>
          <w:color w:val="000000"/>
        </w:rPr>
        <w:t>5.7 Qualitative Analysis and Explanation Examples</w:t>
      </w:r>
    </w:p>
    <w:p/>
    <w:p>
      <w:pPr>
        <w:jc w:val="center"/>
      </w:pPr>
      <w:r>
        <w:drawing>
          <wp:inline xmlns:a="http://schemas.openxmlformats.org/drawingml/2006/main" xmlns:pic="http://schemas.openxmlformats.org/drawingml/2006/picture">
            <wp:extent cx="4754880" cy="4514488"/>
            <wp:docPr id="3" name="Picture 3"/>
            <wp:cNvGraphicFramePr>
              <a:graphicFrameLocks noChangeAspect="1"/>
            </wp:cNvGraphicFramePr>
            <a:graphic>
              <a:graphicData uri="http://schemas.openxmlformats.org/drawingml/2006/picture">
                <pic:pic>
                  <pic:nvPicPr>
                    <pic:cNvPr id="0" name="shap_summary_plot.png"/>
                    <pic:cNvPicPr/>
                  </pic:nvPicPr>
                  <pic:blipFill>
                    <a:blip r:embed="rId11"/>
                    <a:stretch>
                      <a:fillRect/>
                    </a:stretch>
                  </pic:blipFill>
                  <pic:spPr>
                    <a:xfrm>
                      <a:off x="0" y="0"/>
                      <a:ext cx="4754880" cy="4514488"/>
                    </a:xfrm>
                    <a:prstGeom prst="rect"/>
                  </pic:spPr>
                </pic:pic>
              </a:graphicData>
            </a:graphic>
          </wp:inline>
        </w:drawing>
      </w:r>
    </w:p>
    <w:p>
      <w:pPr>
        <w:spacing w:after="280"/>
        <w:jc w:val="center"/>
      </w:pPr>
      <w:r>
        <w:rPr>
          <w:b/>
          <w:i/>
          <w:sz w:val="20"/>
        </w:rPr>
        <w:t>Figure 3: SHAP Summary Plot - Global Feature Importance Distribution (Empirical Training Result)</w:t>
      </w:r>
    </w:p>
    <w:p/>
    <w:p>
      <w:pPr>
        <w:jc w:val="center"/>
      </w:pPr>
      <w:r>
        <w:drawing>
          <wp:inline xmlns:a="http://schemas.openxmlformats.org/drawingml/2006/main" xmlns:pic="http://schemas.openxmlformats.org/drawingml/2006/picture">
            <wp:extent cx="4754880" cy="4446174"/>
            <wp:docPr id="4" name="Picture 4"/>
            <wp:cNvGraphicFramePr>
              <a:graphicFrameLocks noChangeAspect="1"/>
            </wp:cNvGraphicFramePr>
            <a:graphic>
              <a:graphicData uri="http://schemas.openxmlformats.org/drawingml/2006/picture">
                <pic:pic>
                  <pic:nvPicPr>
                    <pic:cNvPr id="0" name="shap_bar_plot.png"/>
                    <pic:cNvPicPr/>
                  </pic:nvPicPr>
                  <pic:blipFill>
                    <a:blip r:embed="rId12"/>
                    <a:stretch>
                      <a:fillRect/>
                    </a:stretch>
                  </pic:blipFill>
                  <pic:spPr>
                    <a:xfrm>
                      <a:off x="0" y="0"/>
                      <a:ext cx="4754880" cy="4446174"/>
                    </a:xfrm>
                    <a:prstGeom prst="rect"/>
                  </pic:spPr>
                </pic:pic>
              </a:graphicData>
            </a:graphic>
          </wp:inline>
        </w:drawing>
      </w:r>
    </w:p>
    <w:p>
      <w:pPr>
        <w:spacing w:after="280"/>
        <w:jc w:val="center"/>
      </w:pPr>
      <w:r>
        <w:rPr>
          <w:b/>
          <w:i/>
          <w:sz w:val="20"/>
        </w:rPr>
        <w:t>Figure 4: SHAP Feature Importance Bar Chart - Mean Absolute SHAP Values for Top 15 Features</w:t>
      </w:r>
    </w:p>
    <w:p/>
    <w:p>
      <w:pPr>
        <w:jc w:val="center"/>
      </w:pPr>
      <w:r>
        <w:drawing>
          <wp:inline xmlns:a="http://schemas.openxmlformats.org/drawingml/2006/main" xmlns:pic="http://schemas.openxmlformats.org/drawingml/2006/picture">
            <wp:extent cx="4754880" cy="3301200"/>
            <wp:docPr id="5" name="Picture 5"/>
            <wp:cNvGraphicFramePr>
              <a:graphicFrameLocks noChangeAspect="1"/>
            </wp:cNvGraphicFramePr>
            <a:graphic>
              <a:graphicData uri="http://schemas.openxmlformats.org/drawingml/2006/picture">
                <pic:pic>
                  <pic:nvPicPr>
                    <pic:cNvPr id="0" name="shap_waterfall_local.png"/>
                    <pic:cNvPicPr/>
                  </pic:nvPicPr>
                  <pic:blipFill>
                    <a:blip r:embed="rId13"/>
                    <a:stretch>
                      <a:fillRect/>
                    </a:stretch>
                  </pic:blipFill>
                  <pic:spPr>
                    <a:xfrm>
                      <a:off x="0" y="0"/>
                      <a:ext cx="4754880" cy="3301200"/>
                    </a:xfrm>
                    <a:prstGeom prst="rect"/>
                  </pic:spPr>
                </pic:pic>
              </a:graphicData>
            </a:graphic>
          </wp:inline>
        </w:drawing>
      </w:r>
    </w:p>
    <w:p>
      <w:pPr>
        <w:spacing w:after="280"/>
        <w:jc w:val="center"/>
      </w:pPr>
      <w:r>
        <w:rPr>
          <w:b/>
          <w:i/>
          <w:sz w:val="20"/>
        </w:rPr>
        <w:t>Figure 5: SHAP Waterfall Plot - Local Explanation for High-Risk Instance (Predicted Default Probability = 0.859)</w:t>
      </w:r>
    </w:p>
    <w:p/>
    <w:p>
      <w:pPr>
        <w:jc w:val="center"/>
      </w:pPr>
      <w:r>
        <w:drawing>
          <wp:inline xmlns:a="http://schemas.openxmlformats.org/drawingml/2006/main" xmlns:pic="http://schemas.openxmlformats.org/drawingml/2006/picture">
            <wp:extent cx="4754880" cy="2818417"/>
            <wp:docPr id="6" name="Picture 6"/>
            <wp:cNvGraphicFramePr>
              <a:graphicFrameLocks noChangeAspect="1"/>
            </wp:cNvGraphicFramePr>
            <a:graphic>
              <a:graphicData uri="http://schemas.openxmlformats.org/drawingml/2006/picture">
                <pic:pic>
                  <pic:nvPicPr>
                    <pic:cNvPr id="0" name="lime_local_explanation.png"/>
                    <pic:cNvPicPr/>
                  </pic:nvPicPr>
                  <pic:blipFill>
                    <a:blip r:embed="rId14"/>
                    <a:stretch>
                      <a:fillRect/>
                    </a:stretch>
                  </pic:blipFill>
                  <pic:spPr>
                    <a:xfrm>
                      <a:off x="0" y="0"/>
                      <a:ext cx="4754880" cy="2818417"/>
                    </a:xfrm>
                    <a:prstGeom prst="rect"/>
                  </pic:spPr>
                </pic:pic>
              </a:graphicData>
            </a:graphic>
          </wp:inline>
        </w:drawing>
      </w:r>
    </w:p>
    <w:p>
      <w:pPr>
        <w:spacing w:after="280"/>
        <w:jc w:val="center"/>
      </w:pPr>
      <w:r>
        <w:rPr>
          <w:b/>
          <w:i/>
          <w:sz w:val="20"/>
        </w:rPr>
        <w:t>Figure 6: LIME Local Explanation - Feature Contributions for Same High-Risk Instance Showing Consistent Risk Drivers</w:t>
      </w:r>
    </w:p>
    <w:p>
      <w:r>
        <w:t>Although performance measures have been quantitatively assessed, visual quality of explanations plays an essential role in regulatory assessment.</w:t>
      </w:r>
    </w:p>
    <w:p>
      <w:pPr>
        <w:pStyle w:val="Heading3"/>
      </w:pPr>
      <w:r>
        <w:rPr>
          <w:color w:val="000000"/>
        </w:rPr>
        <w:t>5.7.1 Global Explanation Analysis (SHAP Feature Importance)</w:t>
      </w:r>
    </w:p>
    <w:p>
      <w:pPr>
        <w:spacing w:before="200"/>
        <w:jc w:val="center"/>
      </w:pPr>
      <w:r>
        <w:rPr>
          <w:b/>
          <w:sz w:val="20"/>
        </w:rPr>
        <w:t>Table 4: Empirical Ablation Study of MLECS Components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18"/>
              </w:rPr>
              <w:t>Rank</w:t>
            </w:r>
          </w:p>
        </w:tc>
        <w:tc>
          <w:tcPr>
            <w:tcW w:type="dxa" w:w="2340"/>
            <w:shd w:fill="1F4E79"/>
          </w:tcPr>
          <w:p>
            <w:pPr>
              <w:jc w:val="center"/>
            </w:pPr>
            <w:r>
              <w:rPr>
                <w:b/>
                <w:color w:val="FFFFFF"/>
                <w:sz w:val="18"/>
              </w:rPr>
              <w:t>LendingClub</w:t>
            </w:r>
          </w:p>
        </w:tc>
        <w:tc>
          <w:tcPr>
            <w:tcW w:type="dxa" w:w="2340"/>
            <w:shd w:fill="1F4E79"/>
          </w:tcPr>
          <w:p>
            <w:pPr>
              <w:jc w:val="center"/>
            </w:pPr>
            <w:r>
              <w:rPr>
                <w:b/>
                <w:color w:val="FFFFFF"/>
                <w:sz w:val="18"/>
              </w:rPr>
              <w:t>German Credit</w:t>
            </w:r>
          </w:p>
        </w:tc>
        <w:tc>
          <w:tcPr>
            <w:tcW w:type="dxa" w:w="2340"/>
            <w:shd w:fill="1F4E79"/>
          </w:tcPr>
          <w:p>
            <w:pPr>
              <w:jc w:val="center"/>
            </w:pPr>
            <w:r>
              <w:rPr>
                <w:b/>
                <w:color w:val="FFFFFF"/>
                <w:sz w:val="18"/>
              </w:rPr>
              <w:t>Home Credit</w:t>
            </w:r>
          </w:p>
        </w:tc>
      </w:tr>
      <w:tr>
        <w:tc>
          <w:tcPr>
            <w:tcW w:type="dxa" w:w="2340"/>
            <w:shd w:fill="F2F7FC"/>
          </w:tcPr>
          <w:p>
            <w:pPr>
              <w:jc w:val="center"/>
            </w:pPr>
            <w:r>
              <w:rPr>
                <w:sz w:val="18"/>
              </w:rPr>
              <w:t>1</w:t>
            </w:r>
          </w:p>
        </w:tc>
        <w:tc>
          <w:tcPr>
            <w:tcW w:type="dxa" w:w="2340"/>
            <w:shd w:fill="F2F7FC"/>
          </w:tcPr>
          <w:p>
            <w:pPr>
              <w:jc w:val="center"/>
            </w:pPr>
            <w:r>
              <w:rPr>
                <w:sz w:val="18"/>
              </w:rPr>
              <w:t>Interest Rate (0.089)</w:t>
            </w:r>
          </w:p>
        </w:tc>
        <w:tc>
          <w:tcPr>
            <w:tcW w:type="dxa" w:w="2340"/>
            <w:shd w:fill="F2F7FC"/>
          </w:tcPr>
          <w:p>
            <w:pPr>
              <w:jc w:val="center"/>
            </w:pPr>
            <w:r>
              <w:rPr>
                <w:sz w:val="18"/>
              </w:rPr>
              <w:t>Account Status (0.071)</w:t>
            </w:r>
          </w:p>
        </w:tc>
        <w:tc>
          <w:tcPr>
            <w:tcW w:type="dxa" w:w="2340"/>
            <w:shd w:fill="F2F7FC"/>
          </w:tcPr>
          <w:p>
            <w:pPr>
              <w:jc w:val="center"/>
            </w:pPr>
            <w:r>
              <w:rPr>
                <w:sz w:val="18"/>
              </w:rPr>
              <w:t>EXT_SOURCE_2 (0.082)</w:t>
            </w:r>
          </w:p>
        </w:tc>
      </w:tr>
      <w:tr>
        <w:tc>
          <w:tcPr>
            <w:tcW w:type="dxa" w:w="2340"/>
          </w:tcPr>
          <w:p>
            <w:pPr>
              <w:jc w:val="center"/>
            </w:pPr>
            <w:r>
              <w:rPr>
                <w:sz w:val="18"/>
              </w:rPr>
              <w:t>2</w:t>
            </w:r>
          </w:p>
        </w:tc>
        <w:tc>
          <w:tcPr>
            <w:tcW w:type="dxa" w:w="2340"/>
          </w:tcPr>
          <w:p>
            <w:pPr>
              <w:jc w:val="center"/>
            </w:pPr>
            <w:r>
              <w:rPr>
                <w:sz w:val="18"/>
              </w:rPr>
              <w:t>FICO Score (0.076)</w:t>
            </w:r>
          </w:p>
        </w:tc>
        <w:tc>
          <w:tcPr>
            <w:tcW w:type="dxa" w:w="2340"/>
          </w:tcPr>
          <w:p>
            <w:pPr>
              <w:jc w:val="center"/>
            </w:pPr>
            <w:r>
              <w:rPr>
                <w:sz w:val="18"/>
              </w:rPr>
              <w:t>Duration (0.058)</w:t>
            </w:r>
          </w:p>
        </w:tc>
        <w:tc>
          <w:tcPr>
            <w:tcW w:type="dxa" w:w="2340"/>
          </w:tcPr>
          <w:p>
            <w:pPr>
              <w:jc w:val="center"/>
            </w:pPr>
            <w:r>
              <w:rPr>
                <w:sz w:val="18"/>
              </w:rPr>
              <w:t>EXT_SOURCE_3 (0.074)</w:t>
            </w:r>
          </w:p>
        </w:tc>
      </w:tr>
      <w:tr>
        <w:tc>
          <w:tcPr>
            <w:tcW w:type="dxa" w:w="2340"/>
            <w:shd w:fill="F2F7FC"/>
          </w:tcPr>
          <w:p>
            <w:pPr>
              <w:jc w:val="center"/>
            </w:pPr>
            <w:r>
              <w:rPr>
                <w:sz w:val="18"/>
              </w:rPr>
              <w:t>3</w:t>
            </w:r>
          </w:p>
        </w:tc>
        <w:tc>
          <w:tcPr>
            <w:tcW w:type="dxa" w:w="2340"/>
            <w:shd w:fill="F2F7FC"/>
          </w:tcPr>
          <w:p>
            <w:pPr>
              <w:jc w:val="center"/>
            </w:pPr>
            <w:r>
              <w:rPr>
                <w:sz w:val="18"/>
              </w:rPr>
              <w:t>DTI Ratio (0.052)</w:t>
            </w:r>
          </w:p>
        </w:tc>
        <w:tc>
          <w:tcPr>
            <w:tcW w:type="dxa" w:w="2340"/>
            <w:shd w:fill="F2F7FC"/>
          </w:tcPr>
          <w:p>
            <w:pPr>
              <w:jc w:val="center"/>
            </w:pPr>
            <w:r>
              <w:rPr>
                <w:sz w:val="18"/>
              </w:rPr>
              <w:t>Credit Amount (0.049)</w:t>
            </w:r>
          </w:p>
        </w:tc>
        <w:tc>
          <w:tcPr>
            <w:tcW w:type="dxa" w:w="2340"/>
            <w:shd w:fill="F2F7FC"/>
          </w:tcPr>
          <w:p>
            <w:pPr>
              <w:jc w:val="center"/>
            </w:pPr>
            <w:r>
              <w:rPr>
                <w:sz w:val="18"/>
              </w:rPr>
              <w:t>EXT_SOURCE_1 (0.061)</w:t>
            </w:r>
          </w:p>
        </w:tc>
      </w:tr>
      <w:tr>
        <w:tc>
          <w:tcPr>
            <w:tcW w:type="dxa" w:w="2340"/>
          </w:tcPr>
          <w:p>
            <w:pPr>
              <w:jc w:val="center"/>
            </w:pPr>
            <w:r>
              <w:rPr>
                <w:sz w:val="18"/>
              </w:rPr>
              <w:t>4</w:t>
            </w:r>
          </w:p>
        </w:tc>
        <w:tc>
          <w:tcPr>
            <w:tcW w:type="dxa" w:w="2340"/>
          </w:tcPr>
          <w:p>
            <w:pPr>
              <w:jc w:val="center"/>
            </w:pPr>
            <w:r>
              <w:rPr>
                <w:sz w:val="18"/>
              </w:rPr>
              <w:t>Annual Income (0.041)</w:t>
            </w:r>
          </w:p>
        </w:tc>
        <w:tc>
          <w:tcPr>
            <w:tcW w:type="dxa" w:w="2340"/>
          </w:tcPr>
          <w:p>
            <w:pPr>
              <w:jc w:val="center"/>
            </w:pPr>
            <w:r>
              <w:rPr>
                <w:sz w:val="18"/>
              </w:rPr>
              <w:t>Credit History (0.044)</w:t>
            </w:r>
          </w:p>
        </w:tc>
        <w:tc>
          <w:tcPr>
            <w:tcW w:type="dxa" w:w="2340"/>
          </w:tcPr>
          <w:p>
            <w:pPr>
              <w:jc w:val="center"/>
            </w:pPr>
            <w:r>
              <w:rPr>
                <w:sz w:val="18"/>
              </w:rPr>
              <w:t>DAYS_BIRTH (0.043)</w:t>
            </w:r>
          </w:p>
        </w:tc>
      </w:tr>
      <w:tr>
        <w:tc>
          <w:tcPr>
            <w:tcW w:type="dxa" w:w="2340"/>
            <w:shd w:fill="F2F7FC"/>
          </w:tcPr>
          <w:p>
            <w:pPr>
              <w:jc w:val="center"/>
            </w:pPr>
            <w:r>
              <w:rPr>
                <w:sz w:val="18"/>
              </w:rPr>
              <w:t>5</w:t>
            </w:r>
          </w:p>
        </w:tc>
        <w:tc>
          <w:tcPr>
            <w:tcW w:type="dxa" w:w="2340"/>
            <w:shd w:fill="F2F7FC"/>
          </w:tcPr>
          <w:p>
            <w:pPr>
              <w:jc w:val="center"/>
            </w:pPr>
            <w:r>
              <w:rPr>
                <w:sz w:val="18"/>
              </w:rPr>
              <w:t>Revolving Utilization (0.038)</w:t>
            </w:r>
          </w:p>
        </w:tc>
        <w:tc>
          <w:tcPr>
            <w:tcW w:type="dxa" w:w="2340"/>
            <w:shd w:fill="F2F7FC"/>
          </w:tcPr>
          <w:p>
            <w:pPr>
              <w:jc w:val="center"/>
            </w:pPr>
            <w:r>
              <w:rPr>
                <w:sz w:val="18"/>
              </w:rPr>
              <w:t>Purpose (0.039)</w:t>
            </w:r>
          </w:p>
        </w:tc>
        <w:tc>
          <w:tcPr>
            <w:tcW w:type="dxa" w:w="2340"/>
            <w:shd w:fill="F2F7FC"/>
          </w:tcPr>
          <w:p>
            <w:pPr>
              <w:jc w:val="center"/>
            </w:pPr>
            <w:r>
              <w:rPr>
                <w:sz w:val="18"/>
              </w:rPr>
              <w:t>DAYS_EMPLOYED (0.038)</w:t>
            </w:r>
          </w:p>
        </w:tc>
      </w:tr>
      <w:tr>
        <w:tc>
          <w:tcPr>
            <w:tcW w:type="dxa" w:w="2340"/>
          </w:tcPr>
          <w:p>
            <w:pPr>
              <w:jc w:val="center"/>
            </w:pPr>
            <w:r>
              <w:rPr>
                <w:sz w:val="18"/>
              </w:rPr>
              <w:t>6</w:t>
            </w:r>
          </w:p>
        </w:tc>
        <w:tc>
          <w:tcPr>
            <w:tcW w:type="dxa" w:w="2340"/>
          </w:tcPr>
          <w:p>
            <w:pPr>
              <w:jc w:val="center"/>
            </w:pPr>
            <w:r>
              <w:rPr>
                <w:sz w:val="18"/>
              </w:rPr>
              <w:t>Total Accounts (0.029)</w:t>
            </w:r>
          </w:p>
        </w:tc>
        <w:tc>
          <w:tcPr>
            <w:tcW w:type="dxa" w:w="2340"/>
          </w:tcPr>
          <w:p>
            <w:pPr>
              <w:jc w:val="center"/>
            </w:pPr>
            <w:r>
              <w:rPr>
                <w:sz w:val="18"/>
              </w:rPr>
              <w:t>Savings (0.033)</w:t>
            </w:r>
          </w:p>
        </w:tc>
        <w:tc>
          <w:tcPr>
            <w:tcW w:type="dxa" w:w="2340"/>
          </w:tcPr>
          <w:p>
            <w:pPr>
              <w:jc w:val="center"/>
            </w:pPr>
            <w:r>
              <w:rPr>
                <w:sz w:val="18"/>
              </w:rPr>
              <w:t>AMT_CREDIT (0.032)</w:t>
            </w:r>
          </w:p>
        </w:tc>
      </w:tr>
      <w:tr>
        <w:tc>
          <w:tcPr>
            <w:tcW w:type="dxa" w:w="2340"/>
            <w:shd w:fill="F2F7FC"/>
          </w:tcPr>
          <w:p>
            <w:pPr>
              <w:jc w:val="center"/>
            </w:pPr>
            <w:r>
              <w:rPr>
                <w:sz w:val="18"/>
              </w:rPr>
              <w:t>7</w:t>
            </w:r>
          </w:p>
        </w:tc>
        <w:tc>
          <w:tcPr>
            <w:tcW w:type="dxa" w:w="2340"/>
            <w:shd w:fill="F2F7FC"/>
          </w:tcPr>
          <w:p>
            <w:pPr>
              <w:jc w:val="center"/>
            </w:pPr>
            <w:r>
              <w:rPr>
                <w:sz w:val="18"/>
              </w:rPr>
              <w:t>Loan Amount (0.027)</w:t>
            </w:r>
          </w:p>
        </w:tc>
        <w:tc>
          <w:tcPr>
            <w:tcW w:type="dxa" w:w="2340"/>
            <w:shd w:fill="F2F7FC"/>
          </w:tcPr>
          <w:p>
            <w:pPr>
              <w:jc w:val="center"/>
            </w:pPr>
            <w:r>
              <w:rPr>
                <w:sz w:val="18"/>
              </w:rPr>
              <w:t>Employment (0.028)</w:t>
            </w:r>
          </w:p>
        </w:tc>
        <w:tc>
          <w:tcPr>
            <w:tcW w:type="dxa" w:w="2340"/>
            <w:shd w:fill="F2F7FC"/>
          </w:tcPr>
          <w:p>
            <w:pPr>
              <w:jc w:val="center"/>
            </w:pPr>
            <w:r>
              <w:rPr>
                <w:sz w:val="18"/>
              </w:rPr>
              <w:t>AMT_ANNUITY (0.028)</w:t>
            </w:r>
          </w:p>
        </w:tc>
      </w:tr>
      <w:tr>
        <w:tc>
          <w:tcPr>
            <w:tcW w:type="dxa" w:w="2340"/>
          </w:tcPr>
          <w:p>
            <w:pPr>
              <w:jc w:val="center"/>
            </w:pPr>
            <w:r>
              <w:rPr>
                <w:sz w:val="18"/>
              </w:rPr>
              <w:t>8</w:t>
            </w:r>
          </w:p>
        </w:tc>
        <w:tc>
          <w:tcPr>
            <w:tcW w:type="dxa" w:w="2340"/>
          </w:tcPr>
          <w:p>
            <w:pPr>
              <w:jc w:val="center"/>
            </w:pPr>
            <w:r>
              <w:rPr>
                <w:sz w:val="18"/>
              </w:rPr>
              <w:t>Employment Length (0.024)</w:t>
            </w:r>
          </w:p>
        </w:tc>
        <w:tc>
          <w:tcPr>
            <w:tcW w:type="dxa" w:w="2340"/>
          </w:tcPr>
          <w:p>
            <w:pPr>
              <w:jc w:val="center"/>
            </w:pPr>
            <w:r>
              <w:rPr>
                <w:sz w:val="18"/>
              </w:rPr>
              <w:t>Installment Rate (0.025)</w:t>
            </w:r>
          </w:p>
        </w:tc>
        <w:tc>
          <w:tcPr>
            <w:tcW w:type="dxa" w:w="2340"/>
          </w:tcPr>
          <w:p>
            <w:pPr>
              <w:jc w:val="center"/>
            </w:pPr>
            <w:r>
              <w:rPr>
                <w:sz w:val="18"/>
              </w:rPr>
              <w:t>AMT_GOODS_PRICE (0.025)</w:t>
            </w:r>
          </w:p>
        </w:tc>
      </w:tr>
      <w:tr>
        <w:tc>
          <w:tcPr>
            <w:tcW w:type="dxa" w:w="2340"/>
            <w:shd w:fill="F2F7FC"/>
          </w:tcPr>
          <w:p>
            <w:pPr>
              <w:jc w:val="center"/>
            </w:pPr>
            <w:r>
              <w:rPr>
                <w:sz w:val="18"/>
              </w:rPr>
              <w:t>9</w:t>
            </w:r>
          </w:p>
        </w:tc>
        <w:tc>
          <w:tcPr>
            <w:tcW w:type="dxa" w:w="2340"/>
            <w:shd w:fill="F2F7FC"/>
          </w:tcPr>
          <w:p>
            <w:pPr>
              <w:jc w:val="center"/>
            </w:pPr>
            <w:r>
              <w:rPr>
                <w:sz w:val="18"/>
              </w:rPr>
              <w:t>Delinquency History (0.022)</w:t>
            </w:r>
          </w:p>
        </w:tc>
        <w:tc>
          <w:tcPr>
            <w:tcW w:type="dxa" w:w="2340"/>
            <w:shd w:fill="F2F7FC"/>
          </w:tcPr>
          <w:p>
            <w:pPr>
              <w:jc w:val="center"/>
            </w:pPr>
            <w:r>
              <w:rPr>
                <w:sz w:val="18"/>
              </w:rPr>
              <w:t>Age (0.022)</w:t>
            </w:r>
          </w:p>
        </w:tc>
        <w:tc>
          <w:tcPr>
            <w:tcW w:type="dxa" w:w="2340"/>
            <w:shd w:fill="F2F7FC"/>
          </w:tcPr>
          <w:p>
            <w:pPr>
              <w:jc w:val="center"/>
            </w:pPr>
            <w:r>
              <w:rPr>
                <w:sz w:val="18"/>
              </w:rPr>
              <w:t>DAYS_ID_PUBLISH (0.021)</w:t>
            </w:r>
          </w:p>
        </w:tc>
      </w:tr>
      <w:tr>
        <w:tc>
          <w:tcPr>
            <w:tcW w:type="dxa" w:w="2340"/>
          </w:tcPr>
          <w:p>
            <w:pPr>
              <w:jc w:val="center"/>
            </w:pPr>
            <w:r>
              <w:rPr>
                <w:sz w:val="18"/>
              </w:rPr>
              <w:t>10</w:t>
            </w:r>
          </w:p>
        </w:tc>
        <w:tc>
          <w:tcPr>
            <w:tcW w:type="dxa" w:w="2340"/>
          </w:tcPr>
          <w:p>
            <w:pPr>
              <w:jc w:val="center"/>
            </w:pPr>
            <w:r>
              <w:rPr>
                <w:sz w:val="18"/>
              </w:rPr>
              <w:t>Home Ownership (0.019)</w:t>
            </w:r>
          </w:p>
        </w:tc>
        <w:tc>
          <w:tcPr>
            <w:tcW w:type="dxa" w:w="2340"/>
          </w:tcPr>
          <w:p>
            <w:pPr>
              <w:jc w:val="center"/>
            </w:pPr>
            <w:r>
              <w:rPr>
                <w:sz w:val="18"/>
              </w:rPr>
              <w:t>Property (0.019)</w:t>
            </w:r>
          </w:p>
        </w:tc>
        <w:tc>
          <w:tcPr>
            <w:tcW w:type="dxa" w:w="2340"/>
          </w:tcPr>
          <w:p>
            <w:pPr>
              <w:jc w:val="center"/>
            </w:pPr>
            <w:r>
              <w:rPr>
                <w:sz w:val="18"/>
              </w:rPr>
              <w:t>REGION_POPULATION (0.018)</w:t>
            </w:r>
          </w:p>
        </w:tc>
      </w:tr>
    </w:tbl>
    <w:p/>
    <w:p>
      <w:pPr>
        <w:pStyle w:val="Heading3"/>
      </w:pPr>
      <w:r>
        <w:rPr>
          <w:color w:val="000000"/>
        </w:rPr>
        <w:t>5.7.2 Local Explanation Case Study</w:t>
      </w:r>
    </w:p>
    <w:p>
      <w:r>
        <w:rPr>
          <w:b/>
        </w:rPr>
        <w:t>Case Study Instance (LendingClub — High-Risk Application):</w:t>
      </w:r>
    </w:p>
    <w:p>
      <w:pPr>
        <w:spacing w:before="200"/>
        <w:jc w:val="center"/>
      </w:pPr>
      <w:r>
        <w:rPr>
          <w:b/>
          <w:sz w:val="20"/>
        </w:rPr>
        <w:t>Table 5: Top 10 Features by Global SHAP Importance (Mean |SHAP| Values)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18"/>
              </w:rPr>
              <w:t>Feature</w:t>
            </w:r>
          </w:p>
        </w:tc>
        <w:tc>
          <w:tcPr>
            <w:tcW w:type="dxa" w:w="2340"/>
            <w:shd w:fill="1F4E79"/>
          </w:tcPr>
          <w:p>
            <w:pPr>
              <w:jc w:val="center"/>
            </w:pPr>
            <w:r>
              <w:rPr>
                <w:b/>
                <w:color w:val="FFFFFF"/>
                <w:sz w:val="18"/>
              </w:rPr>
              <w:t>Value</w:t>
            </w:r>
          </w:p>
        </w:tc>
        <w:tc>
          <w:tcPr>
            <w:tcW w:type="dxa" w:w="2340"/>
            <w:shd w:fill="1F4E79"/>
          </w:tcPr>
          <w:p>
            <w:pPr>
              <w:jc w:val="center"/>
            </w:pPr>
            <w:r>
              <w:rPr>
                <w:b/>
                <w:color w:val="FFFFFF"/>
                <w:sz w:val="18"/>
              </w:rPr>
              <w:t>SHAP Contribution</w:t>
            </w:r>
          </w:p>
        </w:tc>
        <w:tc>
          <w:tcPr>
            <w:tcW w:type="dxa" w:w="2340"/>
            <w:shd w:fill="1F4E79"/>
          </w:tcPr>
          <w:p>
            <w:pPr>
              <w:jc w:val="center"/>
            </w:pPr>
            <w:r>
              <w:rPr>
                <w:b/>
                <w:color w:val="FFFFFF"/>
                <w:sz w:val="18"/>
              </w:rPr>
              <w:t>LIME Contribution</w:t>
            </w:r>
          </w:p>
        </w:tc>
      </w:tr>
      <w:tr>
        <w:tc>
          <w:tcPr>
            <w:tcW w:type="dxa" w:w="2340"/>
            <w:shd w:fill="F2F7FC"/>
          </w:tcPr>
          <w:p>
            <w:pPr>
              <w:jc w:val="center"/>
            </w:pPr>
            <w:r>
              <w:rPr>
                <w:sz w:val="18"/>
              </w:rPr>
              <w:t>Interest Rate</w:t>
            </w:r>
          </w:p>
        </w:tc>
        <w:tc>
          <w:tcPr>
            <w:tcW w:type="dxa" w:w="2340"/>
            <w:shd w:fill="F2F7FC"/>
          </w:tcPr>
          <w:p>
            <w:pPr>
              <w:jc w:val="center"/>
            </w:pPr>
            <w:r>
              <w:rPr>
                <w:sz w:val="18"/>
              </w:rPr>
              <w:t>18.9%</w:t>
            </w:r>
          </w:p>
        </w:tc>
        <w:tc>
          <w:tcPr>
            <w:tcW w:type="dxa" w:w="2340"/>
            <w:shd w:fill="F2F7FC"/>
          </w:tcPr>
          <w:p>
            <w:pPr>
              <w:jc w:val="center"/>
            </w:pPr>
            <w:r>
              <w:rPr>
                <w:sz w:val="18"/>
              </w:rPr>
              <w:t>+0.087</w:t>
            </w:r>
          </w:p>
        </w:tc>
        <w:tc>
          <w:tcPr>
            <w:tcW w:type="dxa" w:w="2340"/>
            <w:shd w:fill="F2F7FC"/>
          </w:tcPr>
          <w:p>
            <w:pPr>
              <w:jc w:val="center"/>
            </w:pPr>
            <w:r>
              <w:rPr>
                <w:sz w:val="18"/>
              </w:rPr>
              <w:t>+0.092</w:t>
            </w:r>
          </w:p>
        </w:tc>
      </w:tr>
      <w:tr>
        <w:tc>
          <w:tcPr>
            <w:tcW w:type="dxa" w:w="2340"/>
          </w:tcPr>
          <w:p>
            <w:pPr>
              <w:jc w:val="center"/>
            </w:pPr>
            <w:r>
              <w:rPr>
                <w:sz w:val="18"/>
              </w:rPr>
              <w:t>Revolving Utilization</w:t>
            </w:r>
          </w:p>
        </w:tc>
        <w:tc>
          <w:tcPr>
            <w:tcW w:type="dxa" w:w="2340"/>
          </w:tcPr>
          <w:p>
            <w:pPr>
              <w:jc w:val="center"/>
            </w:pPr>
            <w:r>
              <w:rPr>
                <w:sz w:val="18"/>
              </w:rPr>
              <w:t>78.3%</w:t>
            </w:r>
          </w:p>
        </w:tc>
        <w:tc>
          <w:tcPr>
            <w:tcW w:type="dxa" w:w="2340"/>
          </w:tcPr>
          <w:p>
            <w:pPr>
              <w:jc w:val="center"/>
            </w:pPr>
            <w:r>
              <w:rPr>
                <w:sz w:val="18"/>
              </w:rPr>
              <w:t>+0.063</w:t>
            </w:r>
          </w:p>
        </w:tc>
        <w:tc>
          <w:tcPr>
            <w:tcW w:type="dxa" w:w="2340"/>
          </w:tcPr>
          <w:p>
            <w:pPr>
              <w:jc w:val="center"/>
            </w:pPr>
            <w:r>
              <w:rPr>
                <w:sz w:val="18"/>
              </w:rPr>
              <w:t>+0.058</w:t>
            </w:r>
          </w:p>
        </w:tc>
      </w:tr>
      <w:tr>
        <w:tc>
          <w:tcPr>
            <w:tcW w:type="dxa" w:w="2340"/>
            <w:shd w:fill="F2F7FC"/>
          </w:tcPr>
          <w:p>
            <w:pPr>
              <w:jc w:val="center"/>
            </w:pPr>
            <w:r>
              <w:rPr>
                <w:sz w:val="18"/>
              </w:rPr>
              <w:t>FICO Score</w:t>
            </w:r>
          </w:p>
        </w:tc>
        <w:tc>
          <w:tcPr>
            <w:tcW w:type="dxa" w:w="2340"/>
            <w:shd w:fill="F2F7FC"/>
          </w:tcPr>
          <w:p>
            <w:pPr>
              <w:jc w:val="center"/>
            </w:pPr>
            <w:r>
              <w:rPr>
                <w:sz w:val="18"/>
              </w:rPr>
              <w:t>672</w:t>
            </w:r>
          </w:p>
        </w:tc>
        <w:tc>
          <w:tcPr>
            <w:tcW w:type="dxa" w:w="2340"/>
            <w:shd w:fill="F2F7FC"/>
          </w:tcPr>
          <w:p>
            <w:pPr>
              <w:jc w:val="center"/>
            </w:pPr>
            <w:r>
              <w:rPr>
                <w:sz w:val="18"/>
              </w:rPr>
              <w:t>+0.042</w:t>
            </w:r>
          </w:p>
        </w:tc>
        <w:tc>
          <w:tcPr>
            <w:tcW w:type="dxa" w:w="2340"/>
            <w:shd w:fill="F2F7FC"/>
          </w:tcPr>
          <w:p>
            <w:pPr>
              <w:jc w:val="center"/>
            </w:pPr>
            <w:r>
              <w:rPr>
                <w:sz w:val="18"/>
              </w:rPr>
              <w:t>+0.045</w:t>
            </w:r>
          </w:p>
        </w:tc>
      </w:tr>
      <w:tr>
        <w:tc>
          <w:tcPr>
            <w:tcW w:type="dxa" w:w="2340"/>
          </w:tcPr>
          <w:p>
            <w:pPr>
              <w:jc w:val="center"/>
            </w:pPr>
            <w:r>
              <w:rPr>
                <w:sz w:val="18"/>
              </w:rPr>
              <w:t>Delinquencies (2yr)</w:t>
            </w:r>
          </w:p>
        </w:tc>
        <w:tc>
          <w:tcPr>
            <w:tcW w:type="dxa" w:w="2340"/>
          </w:tcPr>
          <w:p>
            <w:pPr>
              <w:jc w:val="center"/>
            </w:pPr>
            <w:r>
              <w:rPr>
                <w:sz w:val="18"/>
              </w:rPr>
              <w:t>2</w:t>
            </w:r>
          </w:p>
        </w:tc>
        <w:tc>
          <w:tcPr>
            <w:tcW w:type="dxa" w:w="2340"/>
          </w:tcPr>
          <w:p>
            <w:pPr>
              <w:jc w:val="center"/>
            </w:pPr>
            <w:r>
              <w:rPr>
                <w:sz w:val="18"/>
              </w:rPr>
              <w:t>+0.031</w:t>
            </w:r>
          </w:p>
        </w:tc>
        <w:tc>
          <w:tcPr>
            <w:tcW w:type="dxa" w:w="2340"/>
          </w:tcPr>
          <w:p>
            <w:pPr>
              <w:jc w:val="center"/>
            </w:pPr>
            <w:r>
              <w:rPr>
                <w:sz w:val="18"/>
              </w:rPr>
              <w:t>+0.034</w:t>
            </w:r>
          </w:p>
        </w:tc>
      </w:tr>
      <w:tr>
        <w:tc>
          <w:tcPr>
            <w:tcW w:type="dxa" w:w="2340"/>
            <w:shd w:fill="F2F7FC"/>
          </w:tcPr>
          <w:p>
            <w:pPr>
              <w:jc w:val="center"/>
            </w:pPr>
            <w:r>
              <w:rPr>
                <w:sz w:val="18"/>
              </w:rPr>
              <w:t>Annual Income</w:t>
            </w:r>
          </w:p>
        </w:tc>
        <w:tc>
          <w:tcPr>
            <w:tcW w:type="dxa" w:w="2340"/>
            <w:shd w:fill="F2F7FC"/>
          </w:tcPr>
          <w:p>
            <w:pPr>
              <w:jc w:val="center"/>
            </w:pPr>
            <w:r>
              <w:rPr>
                <w:sz w:val="18"/>
              </w:rPr>
              <w:t>$48,000</w:t>
            </w:r>
          </w:p>
        </w:tc>
        <w:tc>
          <w:tcPr>
            <w:tcW w:type="dxa" w:w="2340"/>
            <w:shd w:fill="F2F7FC"/>
          </w:tcPr>
          <w:p>
            <w:pPr>
              <w:jc w:val="center"/>
            </w:pPr>
            <w:r>
              <w:rPr>
                <w:sz w:val="18"/>
              </w:rPr>
              <w:t>-0.018</w:t>
            </w:r>
          </w:p>
        </w:tc>
        <w:tc>
          <w:tcPr>
            <w:tcW w:type="dxa" w:w="2340"/>
            <w:shd w:fill="F2F7FC"/>
          </w:tcPr>
          <w:p>
            <w:pPr>
              <w:jc w:val="center"/>
            </w:pPr>
            <w:r>
              <w:rPr>
                <w:sz w:val="18"/>
              </w:rPr>
              <w:t>-0.021</w:t>
            </w:r>
          </w:p>
        </w:tc>
      </w:tr>
      <w:tr>
        <w:tc>
          <w:tcPr>
            <w:tcW w:type="dxa" w:w="2340"/>
          </w:tcPr>
          <w:p>
            <w:pPr>
              <w:jc w:val="center"/>
            </w:pPr>
            <w:r>
              <w:rPr>
                <w:sz w:val="18"/>
              </w:rPr>
              <w:t>DTI Ratio</w:t>
            </w:r>
          </w:p>
        </w:tc>
        <w:tc>
          <w:tcPr>
            <w:tcW w:type="dxa" w:w="2340"/>
          </w:tcPr>
          <w:p>
            <w:pPr>
              <w:jc w:val="center"/>
            </w:pPr>
            <w:r>
              <w:rPr>
                <w:sz w:val="18"/>
              </w:rPr>
              <w:t>28.4%</w:t>
            </w:r>
          </w:p>
        </w:tc>
        <w:tc>
          <w:tcPr>
            <w:tcW w:type="dxa" w:w="2340"/>
          </w:tcPr>
          <w:p>
            <w:pPr>
              <w:jc w:val="center"/>
            </w:pPr>
            <w:r>
              <w:rPr>
                <w:sz w:val="18"/>
              </w:rPr>
              <w:t>+0.015</w:t>
            </w:r>
          </w:p>
        </w:tc>
        <w:tc>
          <w:tcPr>
            <w:tcW w:type="dxa" w:w="2340"/>
          </w:tcPr>
          <w:p>
            <w:pPr>
              <w:jc w:val="center"/>
            </w:pPr>
            <w:r>
              <w:rPr>
                <w:sz w:val="18"/>
              </w:rPr>
              <w:t>+0.012</w:t>
            </w:r>
          </w:p>
        </w:tc>
      </w:tr>
    </w:tbl>
    <w:p/>
    <w:p>
      <w:r>
        <w:t>Base prediction: 0.145. Final prediction: 0.389 (high default probability).</w:t>
      </w:r>
    </w:p>
    <w:p>
      <w:r>
        <w:t>Both SHAP and LIME agree on the top-3 risk drivers (Interest Rate, Revolving Utilization, FICO Score) with consistent directional effects. The ECS for this instance is 0.967.</w:t>
      </w:r>
    </w:p>
    <w:p>
      <w:pPr>
        <w:pStyle w:val="Heading3"/>
      </w:pPr>
      <w:r>
        <w:rPr>
          <w:color w:val="000000"/>
        </w:rPr>
        <w:t>5.7.3 Counterfactual Recourse Example</w:t>
      </w:r>
    </w:p>
    <w:p>
      <w:r>
        <w:rPr>
          <w:b/>
        </w:rPr>
        <w:t>Counterfactual 1 (Minimal Change):</w:t>
      </w:r>
      <w:r>
        <w:t xml:space="preserve"> Reduce Revolving Utilization: 78.3% → 45.0% (pay down $4,200); Reduce DTI: 28.4% → 22.0%. New prediction: 0.128 (approved).</w:t>
      </w:r>
    </w:p>
    <w:p>
      <w:r>
        <w:rPr>
          <w:b/>
        </w:rPr>
        <w:t>Counterfactual 2 (Alternative Path):</w:t>
      </w:r>
      <w:r>
        <w:t xml:space="preserve"> Increase Annual Income: $48,000 → $62,000; Resolve Delinquencies: 2 → 0. New prediction: 0.132 (approved).</w:t>
      </w:r>
    </w:p>
    <w:p>
      <w:r>
        <w:rPr>
          <w:b/>
        </w:rPr>
        <w:t>Counterfactual 3 (Combined):</w:t>
      </w:r>
      <w:r>
        <w:t xml:space="preserve"> Reduce Revolving Utilization: 78.3% → 55.0%; Increase Employment: 3 → 5 years. New prediction: 0.141 (approved).</w:t>
      </w:r>
    </w:p>
    <w:p>
      <w:pPr>
        <w:pStyle w:val="Heading3"/>
      </w:pPr>
      <w:r>
        <w:rPr>
          <w:color w:val="000000"/>
        </w:rPr>
        <w:t>5.7.4 Computational Efficiency</w:t>
      </w:r>
    </w:p>
    <w:p>
      <w:pPr>
        <w:spacing w:before="200"/>
        <w:jc w:val="center"/>
      </w:pPr>
      <w:r>
        <w:rPr>
          <w:b/>
          <w:sz w:val="20"/>
        </w:rPr>
        <w:t>Table 6: Dual SHAP-LIME Explanation for High-Risk Instance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18"/>
              </w:rPr>
              <w:t>Component</w:t>
            </w:r>
          </w:p>
        </w:tc>
        <w:tc>
          <w:tcPr>
            <w:tcW w:type="dxa" w:w="2340"/>
            <w:shd w:fill="1F4E79"/>
          </w:tcPr>
          <w:p>
            <w:pPr>
              <w:jc w:val="center"/>
            </w:pPr>
            <w:r>
              <w:rPr>
                <w:b/>
                <w:color w:val="FFFFFF"/>
                <w:sz w:val="18"/>
              </w:rPr>
              <w:t>LendingClub</w:t>
            </w:r>
          </w:p>
        </w:tc>
        <w:tc>
          <w:tcPr>
            <w:tcW w:type="dxa" w:w="2340"/>
            <w:shd w:fill="1F4E79"/>
          </w:tcPr>
          <w:p>
            <w:pPr>
              <w:jc w:val="center"/>
            </w:pPr>
            <w:r>
              <w:rPr>
                <w:b/>
                <w:color w:val="FFFFFF"/>
                <w:sz w:val="18"/>
              </w:rPr>
              <w:t>German Credit</w:t>
            </w:r>
          </w:p>
        </w:tc>
        <w:tc>
          <w:tcPr>
            <w:tcW w:type="dxa" w:w="2340"/>
            <w:shd w:fill="1F4E79"/>
          </w:tcPr>
          <w:p>
            <w:pPr>
              <w:jc w:val="center"/>
            </w:pPr>
            <w:r>
              <w:rPr>
                <w:b/>
                <w:color w:val="FFFFFF"/>
                <w:sz w:val="18"/>
              </w:rPr>
              <w:t>Home Credit</w:t>
            </w:r>
          </w:p>
        </w:tc>
      </w:tr>
      <w:tr>
        <w:tc>
          <w:tcPr>
            <w:tcW w:type="dxa" w:w="2340"/>
            <w:shd w:fill="F2F7FC"/>
          </w:tcPr>
          <w:p>
            <w:pPr>
              <w:jc w:val="center"/>
            </w:pPr>
            <w:r>
              <w:rPr>
                <w:sz w:val="18"/>
              </w:rPr>
              <w:t>Model Training (full pipeline)</w:t>
            </w:r>
          </w:p>
        </w:tc>
        <w:tc>
          <w:tcPr>
            <w:tcW w:type="dxa" w:w="2340"/>
            <w:shd w:fill="F2F7FC"/>
          </w:tcPr>
          <w:p>
            <w:pPr>
              <w:jc w:val="center"/>
            </w:pPr>
            <w:r>
              <w:rPr>
                <w:sz w:val="18"/>
              </w:rPr>
              <w:t>847s</w:t>
            </w:r>
          </w:p>
        </w:tc>
        <w:tc>
          <w:tcPr>
            <w:tcW w:type="dxa" w:w="2340"/>
            <w:shd w:fill="F2F7FC"/>
          </w:tcPr>
          <w:p>
            <w:pPr>
              <w:jc w:val="center"/>
            </w:pPr>
            <w:r>
              <w:rPr>
                <w:sz w:val="18"/>
              </w:rPr>
              <w:t>12s</w:t>
            </w:r>
          </w:p>
        </w:tc>
        <w:tc>
          <w:tcPr>
            <w:tcW w:type="dxa" w:w="2340"/>
            <w:shd w:fill="F2F7FC"/>
          </w:tcPr>
          <w:p>
            <w:pPr>
              <w:jc w:val="center"/>
            </w:pPr>
            <w:r>
              <w:rPr>
                <w:sz w:val="18"/>
              </w:rPr>
              <w:t>423s</w:t>
            </w:r>
          </w:p>
        </w:tc>
      </w:tr>
      <w:tr>
        <w:tc>
          <w:tcPr>
            <w:tcW w:type="dxa" w:w="2340"/>
          </w:tcPr>
          <w:p>
            <w:pPr>
              <w:jc w:val="center"/>
            </w:pPr>
            <w:r>
              <w:rPr>
                <w:sz w:val="18"/>
              </w:rPr>
              <w:t>SHAP Computation (1000 instances)</w:t>
            </w:r>
          </w:p>
        </w:tc>
        <w:tc>
          <w:tcPr>
            <w:tcW w:type="dxa" w:w="2340"/>
          </w:tcPr>
          <w:p>
            <w:pPr>
              <w:jc w:val="center"/>
            </w:pPr>
            <w:r>
              <w:rPr>
                <w:sz w:val="18"/>
              </w:rPr>
              <w:t>124s</w:t>
            </w:r>
          </w:p>
        </w:tc>
        <w:tc>
          <w:tcPr>
            <w:tcW w:type="dxa" w:w="2340"/>
          </w:tcPr>
          <w:p>
            <w:pPr>
              <w:jc w:val="center"/>
            </w:pPr>
            <w:r>
              <w:rPr>
                <w:sz w:val="18"/>
              </w:rPr>
              <w:t>3s</w:t>
            </w:r>
          </w:p>
        </w:tc>
        <w:tc>
          <w:tcPr>
            <w:tcW w:type="dxa" w:w="2340"/>
          </w:tcPr>
          <w:p>
            <w:pPr>
              <w:jc w:val="center"/>
            </w:pPr>
            <w:r>
              <w:rPr>
                <w:sz w:val="18"/>
              </w:rPr>
              <w:t>89s</w:t>
            </w:r>
          </w:p>
        </w:tc>
      </w:tr>
      <w:tr>
        <w:tc>
          <w:tcPr>
            <w:tcW w:type="dxa" w:w="2340"/>
            <w:shd w:fill="F2F7FC"/>
          </w:tcPr>
          <w:p>
            <w:pPr>
              <w:jc w:val="center"/>
            </w:pPr>
            <w:r>
              <w:rPr>
                <w:sz w:val="18"/>
              </w:rPr>
              <w:t>LIME (per instance)</w:t>
            </w:r>
          </w:p>
        </w:tc>
        <w:tc>
          <w:tcPr>
            <w:tcW w:type="dxa" w:w="2340"/>
            <w:shd w:fill="F2F7FC"/>
          </w:tcPr>
          <w:p>
            <w:pPr>
              <w:jc w:val="center"/>
            </w:pPr>
            <w:r>
              <w:rPr>
                <w:sz w:val="18"/>
              </w:rPr>
              <w:t>1.8s</w:t>
            </w:r>
          </w:p>
        </w:tc>
        <w:tc>
          <w:tcPr>
            <w:tcW w:type="dxa" w:w="2340"/>
            <w:shd w:fill="F2F7FC"/>
          </w:tcPr>
          <w:p>
            <w:pPr>
              <w:jc w:val="center"/>
            </w:pPr>
            <w:r>
              <w:rPr>
                <w:sz w:val="18"/>
              </w:rPr>
              <w:t>0.4s</w:t>
            </w:r>
          </w:p>
        </w:tc>
        <w:tc>
          <w:tcPr>
            <w:tcW w:type="dxa" w:w="2340"/>
            <w:shd w:fill="F2F7FC"/>
          </w:tcPr>
          <w:p>
            <w:pPr>
              <w:jc w:val="center"/>
            </w:pPr>
            <w:r>
              <w:rPr>
                <w:sz w:val="18"/>
              </w:rPr>
              <w:t>1.2s</w:t>
            </w:r>
          </w:p>
        </w:tc>
      </w:tr>
      <w:tr>
        <w:tc>
          <w:tcPr>
            <w:tcW w:type="dxa" w:w="2340"/>
          </w:tcPr>
          <w:p>
            <w:pPr>
              <w:jc w:val="center"/>
            </w:pPr>
            <w:r>
              <w:rPr>
                <w:sz w:val="18"/>
              </w:rPr>
              <w:t>DiCE Counterfactuals (per instance)</w:t>
            </w:r>
          </w:p>
        </w:tc>
        <w:tc>
          <w:tcPr>
            <w:tcW w:type="dxa" w:w="2340"/>
          </w:tcPr>
          <w:p>
            <w:pPr>
              <w:jc w:val="center"/>
            </w:pPr>
            <w:r>
              <w:rPr>
                <w:sz w:val="18"/>
              </w:rPr>
              <w:t>0.24s</w:t>
            </w:r>
          </w:p>
        </w:tc>
        <w:tc>
          <w:tcPr>
            <w:tcW w:type="dxa" w:w="2340"/>
          </w:tcPr>
          <w:p>
            <w:pPr>
              <w:jc w:val="center"/>
            </w:pPr>
            <w:r>
              <w:rPr>
                <w:sz w:val="18"/>
              </w:rPr>
              <w:t>0.02s</w:t>
            </w:r>
          </w:p>
        </w:tc>
        <w:tc>
          <w:tcPr>
            <w:tcW w:type="dxa" w:w="2340"/>
          </w:tcPr>
          <w:p>
            <w:pPr>
              <w:jc w:val="center"/>
            </w:pPr>
            <w:r>
              <w:rPr>
                <w:sz w:val="18"/>
              </w:rPr>
              <w:t>0.31s</w:t>
            </w:r>
          </w:p>
        </w:tc>
      </w:tr>
      <w:tr>
        <w:tc>
          <w:tcPr>
            <w:tcW w:type="dxa" w:w="2340"/>
            <w:shd w:fill="F2F7FC"/>
          </w:tcPr>
          <w:p>
            <w:pPr>
              <w:jc w:val="center"/>
            </w:pPr>
            <w:r>
              <w:rPr>
                <w:sz w:val="18"/>
              </w:rPr>
              <w:t>Total Explanation (per instance)</w:t>
            </w:r>
          </w:p>
        </w:tc>
        <w:tc>
          <w:tcPr>
            <w:tcW w:type="dxa" w:w="2340"/>
            <w:shd w:fill="F2F7FC"/>
          </w:tcPr>
          <w:p>
            <w:pPr>
              <w:jc w:val="center"/>
            </w:pPr>
            <w:r>
              <w:rPr>
                <w:sz w:val="18"/>
              </w:rPr>
              <w:t>2.04s</w:t>
            </w:r>
          </w:p>
        </w:tc>
        <w:tc>
          <w:tcPr>
            <w:tcW w:type="dxa" w:w="2340"/>
            <w:shd w:fill="F2F7FC"/>
          </w:tcPr>
          <w:p>
            <w:pPr>
              <w:jc w:val="center"/>
            </w:pPr>
            <w:r>
              <w:rPr>
                <w:sz w:val="18"/>
              </w:rPr>
              <w:t>0.42s</w:t>
            </w:r>
          </w:p>
        </w:tc>
        <w:tc>
          <w:tcPr>
            <w:tcW w:type="dxa" w:w="2340"/>
            <w:shd w:fill="F2F7FC"/>
          </w:tcPr>
          <w:p>
            <w:pPr>
              <w:jc w:val="center"/>
            </w:pPr>
            <w:r>
              <w:rPr>
                <w:sz w:val="18"/>
              </w:rPr>
              <w:t>1.51s</w:t>
            </w:r>
          </w:p>
        </w:tc>
      </w:tr>
    </w:tbl>
    <w:p/>
    <w:p>
      <w:r>
        <w:br w:type="page"/>
      </w:r>
    </w:p>
    <w:p>
      <w:pPr>
        <w:pStyle w:val="Heading1"/>
      </w:pPr>
      <w:r>
        <w:rPr>
          <w:color w:val="000000"/>
        </w:rPr>
        <w:t>6. RESULT AND DISCUSSION</w:t>
      </w:r>
    </w:p>
    <w:p/>
    <w:p>
      <w:pPr>
        <w:jc w:val="center"/>
      </w:pPr>
      <w:r>
        <w:drawing>
          <wp:inline xmlns:a="http://schemas.openxmlformats.org/drawingml/2006/main" xmlns:pic="http://schemas.openxmlformats.org/drawingml/2006/picture">
            <wp:extent cx="4754880" cy="3538048"/>
            <wp:docPr id="7" name="Picture 7"/>
            <wp:cNvGraphicFramePr>
              <a:graphicFrameLocks noChangeAspect="1"/>
            </wp:cNvGraphicFramePr>
            <a:graphic>
              <a:graphicData uri="http://schemas.openxmlformats.org/drawingml/2006/picture">
                <pic:pic>
                  <pic:nvPicPr>
                    <pic:cNvPr id="0" name="roc_curve_comparison.png"/>
                    <pic:cNvPicPr/>
                  </pic:nvPicPr>
                  <pic:blipFill>
                    <a:blip r:embed="rId15"/>
                    <a:stretch>
                      <a:fillRect/>
                    </a:stretch>
                  </pic:blipFill>
                  <pic:spPr>
                    <a:xfrm>
                      <a:off x="0" y="0"/>
                      <a:ext cx="4754880" cy="3538048"/>
                    </a:xfrm>
                    <a:prstGeom prst="rect"/>
                  </pic:spPr>
                </pic:pic>
              </a:graphicData>
            </a:graphic>
          </wp:inline>
        </w:drawing>
      </w:r>
    </w:p>
    <w:p>
      <w:pPr>
        <w:spacing w:after="280"/>
        <w:jc w:val="center"/>
      </w:pPr>
      <w:r>
        <w:rPr>
          <w:b/>
          <w:i/>
          <w:sz w:val="20"/>
        </w:rPr>
        <w:t>Figure 7: ROC Curve Comparison - MLECS Stacking Ensemble vs Individual Baselines (German Credit Dataset)</w:t>
      </w:r>
    </w:p>
    <w:p>
      <w:r>
        <w:t>This chapter presents the quantitative and qualitative findings derived from the evaluation of the MLECS framework. By evaluating performance against individual baselines and established architectural configurations, these findings evaluate the impact of our structural design choices on prediction accuracy and explanation reliability.</w:t>
      </w:r>
    </w:p>
    <w:p>
      <w:pPr>
        <w:pStyle w:val="Heading2"/>
      </w:pPr>
      <w:r>
        <w:rPr>
          <w:color w:val="000000"/>
        </w:rPr>
        <w:t>6.1 Quantitative Analysis</w:t>
      </w:r>
    </w:p>
    <w:p>
      <w:r>
        <w:t>The central goal of this research paper was to address the issue of explanation opacity that occurs in traditional gradient boosting models [8]. Individual XGBoost, LightGBM, and CatBoost models were trained with similar constraints (same hyperparameter optimization budget, same data splits) as the proposed framework. In this experiment, the individual models achieved strong prediction performance but provided no consistency guarantees between different explanation methods. The best individual model (LightGBM) achieved a Mean AUC of 0.781. This observation aligns with other ensemble-free approaches that lack multi-level explainability integration. The above-mentioned control case was essential in evaluating the performance of our SEP and MLE modules.</w:t>
      </w:r>
    </w:p>
    <w:p>
      <w:r>
        <w:t>As seen from the empirical results, the MLECS proposed by us succeeded in addressing this challenge. The use of the SEP stacking module and MLE explanation architecture helped to achieve both high accuracy (Mean AUC 0.788 ± 0.004) and high explanation consistency (ECS 0.934 ± 0.008).</w:t>
      </w:r>
    </w:p>
    <w:p>
      <w:pPr>
        <w:spacing w:before="200"/>
        <w:jc w:val="center"/>
      </w:pPr>
      <w:r>
        <w:rPr>
          <w:b/>
          <w:sz w:val="20"/>
        </w:rPr>
        <w:t>Table 7: Computational Efficiency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18"/>
              </w:rPr>
              <w:t>Model</w:t>
            </w:r>
          </w:p>
        </w:tc>
        <w:tc>
          <w:tcPr>
            <w:tcW w:type="dxa" w:w="1872"/>
            <w:shd w:fill="1F4E79"/>
          </w:tcPr>
          <w:p>
            <w:pPr>
              <w:jc w:val="center"/>
            </w:pPr>
            <w:r>
              <w:rPr>
                <w:b/>
                <w:color w:val="FFFFFF"/>
                <w:sz w:val="18"/>
              </w:rPr>
              <w:t>LendingClub (AUC)</w:t>
            </w:r>
          </w:p>
        </w:tc>
        <w:tc>
          <w:tcPr>
            <w:tcW w:type="dxa" w:w="1872"/>
            <w:shd w:fill="1F4E79"/>
          </w:tcPr>
          <w:p>
            <w:pPr>
              <w:jc w:val="center"/>
            </w:pPr>
            <w:r>
              <w:rPr>
                <w:b/>
                <w:color w:val="FFFFFF"/>
                <w:sz w:val="18"/>
              </w:rPr>
              <w:t>German Credit (AUC)</w:t>
            </w:r>
          </w:p>
        </w:tc>
        <w:tc>
          <w:tcPr>
            <w:tcW w:type="dxa" w:w="1872"/>
            <w:shd w:fill="1F4E79"/>
          </w:tcPr>
          <w:p>
            <w:pPr>
              <w:jc w:val="center"/>
            </w:pPr>
            <w:r>
              <w:rPr>
                <w:b/>
                <w:color w:val="FFFFFF"/>
                <w:sz w:val="18"/>
              </w:rPr>
              <w:t>Home Credit (AUC)</w:t>
            </w:r>
          </w:p>
        </w:tc>
        <w:tc>
          <w:tcPr>
            <w:tcW w:type="dxa" w:w="1872"/>
            <w:shd w:fill="1F4E79"/>
          </w:tcPr>
          <w:p>
            <w:pPr>
              <w:jc w:val="center"/>
            </w:pPr>
            <w:r>
              <w:rPr>
                <w:b/>
                <w:color w:val="FFFFFF"/>
                <w:sz w:val="18"/>
              </w:rPr>
              <w:t>Mean AUC</w:t>
            </w:r>
          </w:p>
        </w:tc>
      </w:tr>
      <w:tr>
        <w:tc>
          <w:tcPr>
            <w:tcW w:type="dxa" w:w="1872"/>
            <w:shd w:fill="F2F7FC"/>
          </w:tcPr>
          <w:p>
            <w:pPr>
              <w:jc w:val="center"/>
            </w:pPr>
            <w:r>
              <w:rPr>
                <w:sz w:val="18"/>
              </w:rPr>
              <w:t>Logistic Regression</w:t>
            </w:r>
          </w:p>
        </w:tc>
        <w:tc>
          <w:tcPr>
            <w:tcW w:type="dxa" w:w="1872"/>
            <w:shd w:fill="F2F7FC"/>
          </w:tcPr>
          <w:p>
            <w:pPr>
              <w:jc w:val="center"/>
            </w:pPr>
            <w:r>
              <w:rPr>
                <w:sz w:val="18"/>
              </w:rPr>
              <w:t>0.712±0.005</w:t>
            </w:r>
          </w:p>
        </w:tc>
        <w:tc>
          <w:tcPr>
            <w:tcW w:type="dxa" w:w="1872"/>
            <w:shd w:fill="F2F7FC"/>
          </w:tcPr>
          <w:p>
            <w:pPr>
              <w:jc w:val="center"/>
            </w:pPr>
            <w:r>
              <w:rPr>
                <w:sz w:val="18"/>
              </w:rPr>
              <w:t>0.752±0.018</w:t>
            </w:r>
          </w:p>
        </w:tc>
        <w:tc>
          <w:tcPr>
            <w:tcW w:type="dxa" w:w="1872"/>
            <w:shd w:fill="F2F7FC"/>
          </w:tcPr>
          <w:p>
            <w:pPr>
              <w:jc w:val="center"/>
            </w:pPr>
            <w:r>
              <w:rPr>
                <w:sz w:val="18"/>
              </w:rPr>
              <w:t>0.738±0.004</w:t>
            </w:r>
          </w:p>
        </w:tc>
        <w:tc>
          <w:tcPr>
            <w:tcW w:type="dxa" w:w="1872"/>
            <w:shd w:fill="F2F7FC"/>
          </w:tcPr>
          <w:p>
            <w:pPr>
              <w:jc w:val="center"/>
            </w:pPr>
            <w:r>
              <w:rPr>
                <w:sz w:val="18"/>
              </w:rPr>
              <w:t>0.734±0.009</w:t>
            </w:r>
          </w:p>
        </w:tc>
      </w:tr>
      <w:tr>
        <w:tc>
          <w:tcPr>
            <w:tcW w:type="dxa" w:w="1872"/>
          </w:tcPr>
          <w:p>
            <w:pPr>
              <w:jc w:val="center"/>
            </w:pPr>
            <w:r>
              <w:rPr>
                <w:sz w:val="18"/>
              </w:rPr>
              <w:t>Random Forest</w:t>
            </w:r>
          </w:p>
        </w:tc>
        <w:tc>
          <w:tcPr>
            <w:tcW w:type="dxa" w:w="1872"/>
          </w:tcPr>
          <w:p>
            <w:pPr>
              <w:jc w:val="center"/>
            </w:pPr>
            <w:r>
              <w:rPr>
                <w:sz w:val="18"/>
              </w:rPr>
              <w:t>0.749±0.003</w:t>
            </w:r>
          </w:p>
        </w:tc>
        <w:tc>
          <w:tcPr>
            <w:tcW w:type="dxa" w:w="1872"/>
          </w:tcPr>
          <w:p>
            <w:pPr>
              <w:jc w:val="center"/>
            </w:pPr>
            <w:r>
              <w:rPr>
                <w:sz w:val="18"/>
              </w:rPr>
              <w:t>0.770±0.015</w:t>
            </w:r>
          </w:p>
        </w:tc>
        <w:tc>
          <w:tcPr>
            <w:tcW w:type="dxa" w:w="1872"/>
          </w:tcPr>
          <w:p>
            <w:pPr>
              <w:jc w:val="center"/>
            </w:pPr>
            <w:r>
              <w:rPr>
                <w:sz w:val="18"/>
              </w:rPr>
              <w:t>0.762±0.005</w:t>
            </w:r>
          </w:p>
        </w:tc>
        <w:tc>
          <w:tcPr>
            <w:tcW w:type="dxa" w:w="1872"/>
          </w:tcPr>
          <w:p>
            <w:pPr>
              <w:jc w:val="center"/>
            </w:pPr>
            <w:r>
              <w:rPr>
                <w:sz w:val="18"/>
              </w:rPr>
              <w:t>0.760±0.008</w:t>
            </w:r>
          </w:p>
        </w:tc>
      </w:tr>
      <w:tr>
        <w:tc>
          <w:tcPr>
            <w:tcW w:type="dxa" w:w="1872"/>
            <w:shd w:fill="F2F7FC"/>
          </w:tcPr>
          <w:p>
            <w:pPr>
              <w:jc w:val="center"/>
            </w:pPr>
            <w:r>
              <w:rPr>
                <w:sz w:val="18"/>
              </w:rPr>
              <w:t>XGBoost (Individual)</w:t>
            </w:r>
          </w:p>
        </w:tc>
        <w:tc>
          <w:tcPr>
            <w:tcW w:type="dxa" w:w="1872"/>
            <w:shd w:fill="F2F7FC"/>
          </w:tcPr>
          <w:p>
            <w:pPr>
              <w:jc w:val="center"/>
            </w:pPr>
            <w:r>
              <w:rPr>
                <w:sz w:val="18"/>
              </w:rPr>
              <w:t>0.773±0.003</w:t>
            </w:r>
          </w:p>
        </w:tc>
        <w:tc>
          <w:tcPr>
            <w:tcW w:type="dxa" w:w="1872"/>
            <w:shd w:fill="F2F7FC"/>
          </w:tcPr>
          <w:p>
            <w:pPr>
              <w:jc w:val="center"/>
            </w:pPr>
            <w:r>
              <w:rPr>
                <w:sz w:val="18"/>
              </w:rPr>
              <w:t>0.779±0.012</w:t>
            </w:r>
          </w:p>
        </w:tc>
        <w:tc>
          <w:tcPr>
            <w:tcW w:type="dxa" w:w="1872"/>
            <w:shd w:fill="F2F7FC"/>
          </w:tcPr>
          <w:p>
            <w:pPr>
              <w:jc w:val="center"/>
            </w:pPr>
            <w:r>
              <w:rPr>
                <w:sz w:val="18"/>
              </w:rPr>
              <w:t>0.783±0.004</w:t>
            </w:r>
          </w:p>
        </w:tc>
        <w:tc>
          <w:tcPr>
            <w:tcW w:type="dxa" w:w="1872"/>
            <w:shd w:fill="F2F7FC"/>
          </w:tcPr>
          <w:p>
            <w:pPr>
              <w:jc w:val="center"/>
            </w:pPr>
            <w:r>
              <w:rPr>
                <w:sz w:val="18"/>
              </w:rPr>
              <w:t>0.778±0.006</w:t>
            </w:r>
          </w:p>
        </w:tc>
      </w:tr>
      <w:tr>
        <w:tc>
          <w:tcPr>
            <w:tcW w:type="dxa" w:w="1872"/>
          </w:tcPr>
          <w:p>
            <w:pPr>
              <w:jc w:val="center"/>
            </w:pPr>
            <w:r>
              <w:rPr>
                <w:sz w:val="18"/>
              </w:rPr>
              <w:t>LightGBM (Individual)</w:t>
            </w:r>
          </w:p>
        </w:tc>
        <w:tc>
          <w:tcPr>
            <w:tcW w:type="dxa" w:w="1872"/>
          </w:tcPr>
          <w:p>
            <w:pPr>
              <w:jc w:val="center"/>
            </w:pPr>
            <w:r>
              <w:rPr>
                <w:sz w:val="18"/>
              </w:rPr>
              <w:t>0.776±0.002</w:t>
            </w:r>
          </w:p>
        </w:tc>
        <w:tc>
          <w:tcPr>
            <w:tcW w:type="dxa" w:w="1872"/>
          </w:tcPr>
          <w:p>
            <w:pPr>
              <w:jc w:val="center"/>
            </w:pPr>
            <w:r>
              <w:rPr>
                <w:sz w:val="18"/>
              </w:rPr>
              <w:t>0.782±0.011</w:t>
            </w:r>
          </w:p>
        </w:tc>
        <w:tc>
          <w:tcPr>
            <w:tcW w:type="dxa" w:w="1872"/>
          </w:tcPr>
          <w:p>
            <w:pPr>
              <w:jc w:val="center"/>
            </w:pPr>
            <w:r>
              <w:rPr>
                <w:sz w:val="18"/>
              </w:rPr>
              <w:t>0.786±0.003</w:t>
            </w:r>
          </w:p>
        </w:tc>
        <w:tc>
          <w:tcPr>
            <w:tcW w:type="dxa" w:w="1872"/>
          </w:tcPr>
          <w:p>
            <w:pPr>
              <w:jc w:val="center"/>
            </w:pPr>
            <w:r>
              <w:rPr>
                <w:sz w:val="18"/>
              </w:rPr>
              <w:t>0.781±0.005</w:t>
            </w:r>
          </w:p>
        </w:tc>
      </w:tr>
      <w:tr>
        <w:tc>
          <w:tcPr>
            <w:tcW w:type="dxa" w:w="1872"/>
            <w:shd w:fill="F2F7FC"/>
          </w:tcPr>
          <w:p>
            <w:pPr>
              <w:jc w:val="center"/>
            </w:pPr>
            <w:r>
              <w:rPr>
                <w:sz w:val="18"/>
              </w:rPr>
              <w:t>CatBoost (Individual)</w:t>
            </w:r>
          </w:p>
        </w:tc>
        <w:tc>
          <w:tcPr>
            <w:tcW w:type="dxa" w:w="1872"/>
            <w:shd w:fill="F2F7FC"/>
          </w:tcPr>
          <w:p>
            <w:pPr>
              <w:jc w:val="center"/>
            </w:pPr>
            <w:r>
              <w:rPr>
                <w:sz w:val="18"/>
              </w:rPr>
              <w:t>0.771±0.003</w:t>
            </w:r>
          </w:p>
        </w:tc>
        <w:tc>
          <w:tcPr>
            <w:tcW w:type="dxa" w:w="1872"/>
            <w:shd w:fill="F2F7FC"/>
          </w:tcPr>
          <w:p>
            <w:pPr>
              <w:jc w:val="center"/>
            </w:pPr>
            <w:r>
              <w:rPr>
                <w:sz w:val="18"/>
              </w:rPr>
              <w:t>0.785±0.013</w:t>
            </w:r>
          </w:p>
        </w:tc>
        <w:tc>
          <w:tcPr>
            <w:tcW w:type="dxa" w:w="1872"/>
            <w:shd w:fill="F2F7FC"/>
          </w:tcPr>
          <w:p>
            <w:pPr>
              <w:jc w:val="center"/>
            </w:pPr>
            <w:r>
              <w:rPr>
                <w:sz w:val="18"/>
              </w:rPr>
              <w:t>0.781±0.004</w:t>
            </w:r>
          </w:p>
        </w:tc>
        <w:tc>
          <w:tcPr>
            <w:tcW w:type="dxa" w:w="1872"/>
            <w:shd w:fill="F2F7FC"/>
          </w:tcPr>
          <w:p>
            <w:pPr>
              <w:jc w:val="center"/>
            </w:pPr>
            <w:r>
              <w:rPr>
                <w:sz w:val="18"/>
              </w:rPr>
              <w:t>0.779±0.007</w:t>
            </w:r>
          </w:p>
        </w:tc>
      </w:tr>
      <w:tr>
        <w:tc>
          <w:tcPr>
            <w:tcW w:type="dxa" w:w="1872"/>
          </w:tcPr>
          <w:p>
            <w:pPr>
              <w:jc w:val="center"/>
            </w:pPr>
            <w:r>
              <w:rPr>
                <w:sz w:val="18"/>
              </w:rPr>
              <w:t>**MLECS (Proposed)**</w:t>
            </w:r>
          </w:p>
        </w:tc>
        <w:tc>
          <w:tcPr>
            <w:tcW w:type="dxa" w:w="1872"/>
          </w:tcPr>
          <w:p>
            <w:pPr>
              <w:jc w:val="center"/>
            </w:pPr>
            <w:r>
              <w:rPr>
                <w:sz w:val="18"/>
              </w:rPr>
              <w:t>**0.782±0.002**</w:t>
            </w:r>
          </w:p>
        </w:tc>
        <w:tc>
          <w:tcPr>
            <w:tcW w:type="dxa" w:w="1872"/>
          </w:tcPr>
          <w:p>
            <w:pPr>
              <w:jc w:val="center"/>
            </w:pPr>
            <w:r>
              <w:rPr>
                <w:sz w:val="18"/>
              </w:rPr>
              <w:t>**0.789±0.010**</w:t>
            </w:r>
          </w:p>
        </w:tc>
        <w:tc>
          <w:tcPr>
            <w:tcW w:type="dxa" w:w="1872"/>
          </w:tcPr>
          <w:p>
            <w:pPr>
              <w:jc w:val="center"/>
            </w:pPr>
            <w:r>
              <w:rPr>
                <w:sz w:val="18"/>
              </w:rPr>
              <w:t>**0.793±0.003**</w:t>
            </w:r>
          </w:p>
        </w:tc>
        <w:tc>
          <w:tcPr>
            <w:tcW w:type="dxa" w:w="1872"/>
          </w:tcPr>
          <w:p>
            <w:pPr>
              <w:jc w:val="center"/>
            </w:pPr>
            <w:r>
              <w:rPr>
                <w:sz w:val="18"/>
              </w:rPr>
              <w:t>**0.788±0.004**</w:t>
            </w:r>
          </w:p>
        </w:tc>
      </w:tr>
      <w:tr>
        <w:tc>
          <w:tcPr>
            <w:tcW w:type="dxa" w:w="1872"/>
            <w:shd w:fill="F2F7FC"/>
          </w:tcPr>
          <w:p>
            <w:pPr>
              <w:jc w:val="center"/>
            </w:pPr>
            <w:r>
              <w:rPr>
                <w:sz w:val="18"/>
              </w:rPr>
              <w:t>p-value (vs LightGBM)</w:t>
            </w:r>
          </w:p>
        </w:tc>
        <w:tc>
          <w:tcPr>
            <w:tcW w:type="dxa" w:w="1872"/>
            <w:shd w:fill="F2F7FC"/>
          </w:tcPr>
          <w:p>
            <w:pPr>
              <w:jc w:val="center"/>
            </w:pPr>
            <w:r>
              <w:rPr>
                <w:sz w:val="18"/>
              </w:rPr>
              <w:t>&lt; 0.01</w:t>
            </w:r>
          </w:p>
        </w:tc>
        <w:tc>
          <w:tcPr>
            <w:tcW w:type="dxa" w:w="1872"/>
            <w:shd w:fill="F2F7FC"/>
          </w:tcPr>
          <w:p>
            <w:pPr>
              <w:jc w:val="center"/>
            </w:pPr>
            <w:r>
              <w:rPr>
                <w:sz w:val="18"/>
              </w:rPr>
              <w:t>&lt; 0.05</w:t>
            </w:r>
          </w:p>
        </w:tc>
        <w:tc>
          <w:tcPr>
            <w:tcW w:type="dxa" w:w="1872"/>
            <w:shd w:fill="F2F7FC"/>
          </w:tcPr>
          <w:p>
            <w:pPr>
              <w:jc w:val="center"/>
            </w:pPr>
            <w:r>
              <w:rPr>
                <w:sz w:val="18"/>
              </w:rPr>
              <w:t>&lt; 0.01</w:t>
            </w:r>
          </w:p>
        </w:tc>
        <w:tc>
          <w:tcPr>
            <w:tcW w:type="dxa" w:w="1872"/>
            <w:shd w:fill="F2F7FC"/>
          </w:tcPr>
          <w:p>
            <w:pPr>
              <w:jc w:val="center"/>
            </w:pPr>
            <w:r>
              <w:rPr>
                <w:sz w:val="18"/>
              </w:rPr>
              <w:t>&lt; 0.01</w:t>
            </w:r>
          </w:p>
        </w:tc>
      </w:tr>
    </w:tbl>
    <w:p/>
    <w:p>
      <w:r>
        <w:t>Whereas simple average ensembles produce competitive prediction results, the developed MLECS performs better while additionally providing comprehensive multi-level explanations. It can be inferred that the proposed Stacking Ensemble Prediction (SEP) with adaptive meta-learning outperforms equal-weight combination approaches.</w:t>
      </w:r>
    </w:p>
    <w:p>
      <w:r>
        <w:t>In comparison with state-of-the-art individual models, the suggested framework shows consistent improvement especially in the AUC-PR metric (important for imbalanced data). The improvement is statistically significant (paired t-test, p &lt; 0.01) on LendingClub and Home Credit datasets.</w:t>
      </w:r>
    </w:p>
    <w:p>
      <w:pPr>
        <w:pStyle w:val="Heading2"/>
      </w:pPr>
      <w:r>
        <w:rPr>
          <w:color w:val="000000"/>
        </w:rPr>
        <w:t>6.2 Analysis of Training Convergence and Meta-Learner Dynamics</w:t>
      </w:r>
    </w:p>
    <w:p>
      <w:r>
        <w:t>To evaluate the structural stability of the MLECS pipeline, meta-learner weights and validation metrics were recorded across different datasets. The resulting weight distribution trends are tracked in Table 9.</w:t>
      </w:r>
    </w:p>
    <w:p>
      <w:pPr>
        <w:spacing w:before="200"/>
        <w:jc w:val="center"/>
      </w:pPr>
      <w:r>
        <w:rPr>
          <w:b/>
          <w:sz w:val="20"/>
        </w:rPr>
        <w:t>Table 8: Quantitative Performance Comparison and Statistical Validation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18"/>
              </w:rPr>
              <w:t>Dataset</w:t>
            </w:r>
          </w:p>
        </w:tc>
        <w:tc>
          <w:tcPr>
            <w:tcW w:type="dxa" w:w="1872"/>
            <w:shd w:fill="1F4E79"/>
          </w:tcPr>
          <w:p>
            <w:pPr>
              <w:jc w:val="center"/>
            </w:pPr>
            <w:r>
              <w:rPr>
                <w:b/>
                <w:color w:val="FFFFFF"/>
                <w:sz w:val="18"/>
              </w:rPr>
              <w:t>w₁ (XGBoost)</w:t>
            </w:r>
          </w:p>
        </w:tc>
        <w:tc>
          <w:tcPr>
            <w:tcW w:type="dxa" w:w="1872"/>
            <w:shd w:fill="1F4E79"/>
          </w:tcPr>
          <w:p>
            <w:pPr>
              <w:jc w:val="center"/>
            </w:pPr>
            <w:r>
              <w:rPr>
                <w:b/>
                <w:color w:val="FFFFFF"/>
                <w:sz w:val="18"/>
              </w:rPr>
              <w:t>w₂ (LightGBM)</w:t>
            </w:r>
          </w:p>
        </w:tc>
        <w:tc>
          <w:tcPr>
            <w:tcW w:type="dxa" w:w="1872"/>
            <w:shd w:fill="1F4E79"/>
          </w:tcPr>
          <w:p>
            <w:pPr>
              <w:jc w:val="center"/>
            </w:pPr>
            <w:r>
              <w:rPr>
                <w:b/>
                <w:color w:val="FFFFFF"/>
                <w:sz w:val="18"/>
              </w:rPr>
              <w:t>w₃ (CatBoost)</w:t>
            </w:r>
          </w:p>
        </w:tc>
        <w:tc>
          <w:tcPr>
            <w:tcW w:type="dxa" w:w="1872"/>
            <w:shd w:fill="1F4E79"/>
          </w:tcPr>
          <w:p>
            <w:pPr>
              <w:jc w:val="center"/>
            </w:pPr>
            <w:r>
              <w:rPr>
                <w:b/>
                <w:color w:val="FFFFFF"/>
                <w:sz w:val="18"/>
              </w:rPr>
              <w:t>Meta-Learner AUC Gain</w:t>
            </w:r>
          </w:p>
        </w:tc>
      </w:tr>
      <w:tr>
        <w:tc>
          <w:tcPr>
            <w:tcW w:type="dxa" w:w="1872"/>
            <w:shd w:fill="F2F7FC"/>
          </w:tcPr>
          <w:p>
            <w:pPr>
              <w:jc w:val="center"/>
            </w:pPr>
            <w:r>
              <w:rPr>
                <w:sz w:val="18"/>
              </w:rPr>
              <w:t>LendingClub</w:t>
            </w:r>
          </w:p>
        </w:tc>
        <w:tc>
          <w:tcPr>
            <w:tcW w:type="dxa" w:w="1872"/>
            <w:shd w:fill="F2F7FC"/>
          </w:tcPr>
          <w:p>
            <w:pPr>
              <w:jc w:val="center"/>
            </w:pPr>
            <w:r>
              <w:rPr>
                <w:sz w:val="18"/>
              </w:rPr>
              <w:t>0.38</w:t>
            </w:r>
          </w:p>
        </w:tc>
        <w:tc>
          <w:tcPr>
            <w:tcW w:type="dxa" w:w="1872"/>
            <w:shd w:fill="F2F7FC"/>
          </w:tcPr>
          <w:p>
            <w:pPr>
              <w:jc w:val="center"/>
            </w:pPr>
            <w:r>
              <w:rPr>
                <w:sz w:val="18"/>
              </w:rPr>
              <w:t>0.41</w:t>
            </w:r>
          </w:p>
        </w:tc>
        <w:tc>
          <w:tcPr>
            <w:tcW w:type="dxa" w:w="1872"/>
            <w:shd w:fill="F2F7FC"/>
          </w:tcPr>
          <w:p>
            <w:pPr>
              <w:jc w:val="center"/>
            </w:pPr>
            <w:r>
              <w:rPr>
                <w:sz w:val="18"/>
              </w:rPr>
              <w:t>0.33</w:t>
            </w:r>
          </w:p>
        </w:tc>
        <w:tc>
          <w:tcPr>
            <w:tcW w:type="dxa" w:w="1872"/>
            <w:shd w:fill="F2F7FC"/>
          </w:tcPr>
          <w:p>
            <w:pPr>
              <w:jc w:val="center"/>
            </w:pPr>
            <w:r>
              <w:rPr>
                <w:sz w:val="18"/>
              </w:rPr>
              <w:t>+0.6% vs best individual</w:t>
            </w:r>
          </w:p>
        </w:tc>
      </w:tr>
      <w:tr>
        <w:tc>
          <w:tcPr>
            <w:tcW w:type="dxa" w:w="1872"/>
          </w:tcPr>
          <w:p>
            <w:pPr>
              <w:jc w:val="center"/>
            </w:pPr>
            <w:r>
              <w:rPr>
                <w:sz w:val="18"/>
              </w:rPr>
              <w:t>German Credit</w:t>
            </w:r>
          </w:p>
        </w:tc>
        <w:tc>
          <w:tcPr>
            <w:tcW w:type="dxa" w:w="1872"/>
          </w:tcPr>
          <w:p>
            <w:pPr>
              <w:jc w:val="center"/>
            </w:pPr>
            <w:r>
              <w:rPr>
                <w:sz w:val="18"/>
              </w:rPr>
              <w:t>0.32</w:t>
            </w:r>
          </w:p>
        </w:tc>
        <w:tc>
          <w:tcPr>
            <w:tcW w:type="dxa" w:w="1872"/>
          </w:tcPr>
          <w:p>
            <w:pPr>
              <w:jc w:val="center"/>
            </w:pPr>
            <w:r>
              <w:rPr>
                <w:sz w:val="18"/>
              </w:rPr>
              <w:t>0.34</w:t>
            </w:r>
          </w:p>
        </w:tc>
        <w:tc>
          <w:tcPr>
            <w:tcW w:type="dxa" w:w="1872"/>
          </w:tcPr>
          <w:p>
            <w:pPr>
              <w:jc w:val="center"/>
            </w:pPr>
            <w:r>
              <w:rPr>
                <w:sz w:val="18"/>
              </w:rPr>
              <w:t>0.37</w:t>
            </w:r>
          </w:p>
        </w:tc>
        <w:tc>
          <w:tcPr>
            <w:tcW w:type="dxa" w:w="1872"/>
          </w:tcPr>
          <w:p>
            <w:pPr>
              <w:jc w:val="center"/>
            </w:pPr>
            <w:r>
              <w:rPr>
                <w:sz w:val="18"/>
              </w:rPr>
              <w:t>+0.4% vs best individual</w:t>
            </w:r>
          </w:p>
        </w:tc>
      </w:tr>
      <w:tr>
        <w:tc>
          <w:tcPr>
            <w:tcW w:type="dxa" w:w="1872"/>
            <w:shd w:fill="F2F7FC"/>
          </w:tcPr>
          <w:p>
            <w:pPr>
              <w:jc w:val="center"/>
            </w:pPr>
            <w:r>
              <w:rPr>
                <w:sz w:val="18"/>
              </w:rPr>
              <w:t>Home Credit</w:t>
            </w:r>
          </w:p>
        </w:tc>
        <w:tc>
          <w:tcPr>
            <w:tcW w:type="dxa" w:w="1872"/>
            <w:shd w:fill="F2F7FC"/>
          </w:tcPr>
          <w:p>
            <w:pPr>
              <w:jc w:val="center"/>
            </w:pPr>
            <w:r>
              <w:rPr>
                <w:sz w:val="18"/>
              </w:rPr>
              <w:t>0.35</w:t>
            </w:r>
          </w:p>
        </w:tc>
        <w:tc>
          <w:tcPr>
            <w:tcW w:type="dxa" w:w="1872"/>
            <w:shd w:fill="F2F7FC"/>
          </w:tcPr>
          <w:p>
            <w:pPr>
              <w:jc w:val="center"/>
            </w:pPr>
            <w:r>
              <w:rPr>
                <w:sz w:val="18"/>
              </w:rPr>
              <w:t>0.39</w:t>
            </w:r>
          </w:p>
        </w:tc>
        <w:tc>
          <w:tcPr>
            <w:tcW w:type="dxa" w:w="1872"/>
            <w:shd w:fill="F2F7FC"/>
          </w:tcPr>
          <w:p>
            <w:pPr>
              <w:jc w:val="center"/>
            </w:pPr>
            <w:r>
              <w:rPr>
                <w:sz w:val="18"/>
              </w:rPr>
              <w:t>0.34</w:t>
            </w:r>
          </w:p>
        </w:tc>
        <w:tc>
          <w:tcPr>
            <w:tcW w:type="dxa" w:w="1872"/>
            <w:shd w:fill="F2F7FC"/>
          </w:tcPr>
          <w:p>
            <w:pPr>
              <w:jc w:val="center"/>
            </w:pPr>
            <w:r>
              <w:rPr>
                <w:sz w:val="18"/>
              </w:rPr>
              <w:t>+0.7% vs best individual</w:t>
            </w:r>
          </w:p>
        </w:tc>
      </w:tr>
    </w:tbl>
    <w:p/>
    <w:p>
      <w:pPr>
        <w:pStyle w:val="Heading3"/>
      </w:pPr>
      <w:r>
        <w:rPr>
          <w:color w:val="000000"/>
        </w:rPr>
        <w:t>6.2.1 Trend Analysis: Adaptive Model Specialization</w:t>
      </w:r>
    </w:p>
    <w:p>
      <w:r>
        <w:t>An analysis of the meta-learner weights reveals adaptive specialization across datasets. On LendingClub and Home Credit (larger datasets with predominantly numerical features), LightGBM receives the highest weight (0.41 and 0.39 respectively). This happens because LightGBM's leaf-wise growth strategy and GOSS sampling are particularly effective for large-scale numerical data. By contrast, on German Credit (smaller dataset with more categorical features), CatBoost receives the highest weight (0.37). This occurs because CatBoost's native ordered target encoding is superior for categorical-heavy data. This adaptive behavior confirms that the meta-learner is learning meaningful complementary patterns rather than simply averaging.</w:t>
      </w:r>
    </w:p>
    <w:p>
      <w:pPr>
        <w:pStyle w:val="Heading3"/>
      </w:pPr>
      <w:r>
        <w:rPr>
          <w:color w:val="000000"/>
        </w:rPr>
        <w:t>6.2.2 Trend Analysis: Performance Metric Convergence</w:t>
      </w:r>
    </w:p>
    <w:p>
      <w:pPr>
        <w:spacing w:before="200"/>
        <w:jc w:val="center"/>
      </w:pPr>
      <w:r>
        <w:rPr>
          <w:b/>
          <w:sz w:val="20"/>
        </w:rPr>
        <w:t>Table 9: Meta-Learner Weight Distribution and Adaptive Specialization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18"/>
              </w:rPr>
              <w:t>Metric</w:t>
            </w:r>
          </w:p>
        </w:tc>
        <w:tc>
          <w:tcPr>
            <w:tcW w:type="dxa" w:w="2340"/>
            <w:shd w:fill="1F4E79"/>
          </w:tcPr>
          <w:p>
            <w:pPr>
              <w:jc w:val="center"/>
            </w:pPr>
            <w:r>
              <w:rPr>
                <w:b/>
                <w:color w:val="FFFFFF"/>
                <w:sz w:val="18"/>
              </w:rPr>
              <w:t>LendingClub</w:t>
            </w:r>
          </w:p>
        </w:tc>
        <w:tc>
          <w:tcPr>
            <w:tcW w:type="dxa" w:w="2340"/>
            <w:shd w:fill="1F4E79"/>
          </w:tcPr>
          <w:p>
            <w:pPr>
              <w:jc w:val="center"/>
            </w:pPr>
            <w:r>
              <w:rPr>
                <w:b/>
                <w:color w:val="FFFFFF"/>
                <w:sz w:val="18"/>
              </w:rPr>
              <w:t>German Credit</w:t>
            </w:r>
          </w:p>
        </w:tc>
        <w:tc>
          <w:tcPr>
            <w:tcW w:type="dxa" w:w="2340"/>
            <w:shd w:fill="1F4E79"/>
          </w:tcPr>
          <w:p>
            <w:pPr>
              <w:jc w:val="center"/>
            </w:pPr>
            <w:r>
              <w:rPr>
                <w:b/>
                <w:color w:val="FFFFFF"/>
                <w:sz w:val="18"/>
              </w:rPr>
              <w:t>Home Credit</w:t>
            </w:r>
          </w:p>
        </w:tc>
      </w:tr>
      <w:tr>
        <w:tc>
          <w:tcPr>
            <w:tcW w:type="dxa" w:w="2340"/>
            <w:shd w:fill="F2F7FC"/>
          </w:tcPr>
          <w:p>
            <w:pPr>
              <w:jc w:val="center"/>
            </w:pPr>
            <w:r>
              <w:rPr>
                <w:sz w:val="18"/>
              </w:rPr>
              <w:t>AUC-ROC</w:t>
            </w:r>
          </w:p>
        </w:tc>
        <w:tc>
          <w:tcPr>
            <w:tcW w:type="dxa" w:w="2340"/>
            <w:shd w:fill="F2F7FC"/>
          </w:tcPr>
          <w:p>
            <w:pPr>
              <w:jc w:val="center"/>
            </w:pPr>
            <w:r>
              <w:rPr>
                <w:sz w:val="18"/>
              </w:rPr>
              <w:t>0.782</w:t>
            </w:r>
          </w:p>
        </w:tc>
        <w:tc>
          <w:tcPr>
            <w:tcW w:type="dxa" w:w="2340"/>
            <w:shd w:fill="F2F7FC"/>
          </w:tcPr>
          <w:p>
            <w:pPr>
              <w:jc w:val="center"/>
            </w:pPr>
            <w:r>
              <w:rPr>
                <w:sz w:val="18"/>
              </w:rPr>
              <w:t>0.789</w:t>
            </w:r>
          </w:p>
        </w:tc>
        <w:tc>
          <w:tcPr>
            <w:tcW w:type="dxa" w:w="2340"/>
            <w:shd w:fill="F2F7FC"/>
          </w:tcPr>
          <w:p>
            <w:pPr>
              <w:jc w:val="center"/>
            </w:pPr>
            <w:r>
              <w:rPr>
                <w:sz w:val="18"/>
              </w:rPr>
              <w:t>0.793</w:t>
            </w:r>
          </w:p>
        </w:tc>
      </w:tr>
      <w:tr>
        <w:tc>
          <w:tcPr>
            <w:tcW w:type="dxa" w:w="2340"/>
          </w:tcPr>
          <w:p>
            <w:pPr>
              <w:jc w:val="center"/>
            </w:pPr>
            <w:r>
              <w:rPr>
                <w:sz w:val="18"/>
              </w:rPr>
              <w:t>AUC-PR</w:t>
            </w:r>
          </w:p>
        </w:tc>
        <w:tc>
          <w:tcPr>
            <w:tcW w:type="dxa" w:w="2340"/>
          </w:tcPr>
          <w:p>
            <w:pPr>
              <w:jc w:val="center"/>
            </w:pPr>
            <w:r>
              <w:rPr>
                <w:sz w:val="18"/>
              </w:rPr>
              <w:t>0.479</w:t>
            </w:r>
          </w:p>
        </w:tc>
        <w:tc>
          <w:tcPr>
            <w:tcW w:type="dxa" w:w="2340"/>
          </w:tcPr>
          <w:p>
            <w:pPr>
              <w:jc w:val="center"/>
            </w:pPr>
            <w:r>
              <w:rPr>
                <w:sz w:val="18"/>
              </w:rPr>
              <w:t>0.612</w:t>
            </w:r>
          </w:p>
        </w:tc>
        <w:tc>
          <w:tcPr>
            <w:tcW w:type="dxa" w:w="2340"/>
          </w:tcPr>
          <w:p>
            <w:pPr>
              <w:jc w:val="center"/>
            </w:pPr>
            <w:r>
              <w:rPr>
                <w:sz w:val="18"/>
              </w:rPr>
              <w:t>0.398</w:t>
            </w:r>
          </w:p>
        </w:tc>
      </w:tr>
      <w:tr>
        <w:tc>
          <w:tcPr>
            <w:tcW w:type="dxa" w:w="2340"/>
            <w:shd w:fill="F2F7FC"/>
          </w:tcPr>
          <w:p>
            <w:pPr>
              <w:jc w:val="center"/>
            </w:pPr>
            <w:r>
              <w:rPr>
                <w:sz w:val="18"/>
              </w:rPr>
              <w:t>KS Statistic</w:t>
            </w:r>
          </w:p>
        </w:tc>
        <w:tc>
          <w:tcPr>
            <w:tcW w:type="dxa" w:w="2340"/>
            <w:shd w:fill="F2F7FC"/>
          </w:tcPr>
          <w:p>
            <w:pPr>
              <w:jc w:val="center"/>
            </w:pPr>
            <w:r>
              <w:rPr>
                <w:sz w:val="18"/>
              </w:rPr>
              <w:t>0.431</w:t>
            </w:r>
          </w:p>
        </w:tc>
        <w:tc>
          <w:tcPr>
            <w:tcW w:type="dxa" w:w="2340"/>
            <w:shd w:fill="F2F7FC"/>
          </w:tcPr>
          <w:p>
            <w:pPr>
              <w:jc w:val="center"/>
            </w:pPr>
            <w:r>
              <w:rPr>
                <w:sz w:val="18"/>
              </w:rPr>
              <w:t>0.456</w:t>
            </w:r>
          </w:p>
        </w:tc>
        <w:tc>
          <w:tcPr>
            <w:tcW w:type="dxa" w:w="2340"/>
            <w:shd w:fill="F2F7FC"/>
          </w:tcPr>
          <w:p>
            <w:pPr>
              <w:jc w:val="center"/>
            </w:pPr>
            <w:r>
              <w:rPr>
                <w:sz w:val="18"/>
              </w:rPr>
              <w:t>0.447</w:t>
            </w:r>
          </w:p>
        </w:tc>
      </w:tr>
      <w:tr>
        <w:tc>
          <w:tcPr>
            <w:tcW w:type="dxa" w:w="2340"/>
          </w:tcPr>
          <w:p>
            <w:pPr>
              <w:jc w:val="center"/>
            </w:pPr>
            <w:r>
              <w:rPr>
                <w:sz w:val="18"/>
              </w:rPr>
              <w:t>Brier Score</w:t>
            </w:r>
          </w:p>
        </w:tc>
        <w:tc>
          <w:tcPr>
            <w:tcW w:type="dxa" w:w="2340"/>
          </w:tcPr>
          <w:p>
            <w:pPr>
              <w:jc w:val="center"/>
            </w:pPr>
            <w:r>
              <w:rPr>
                <w:sz w:val="18"/>
              </w:rPr>
              <w:t>0.088</w:t>
            </w:r>
          </w:p>
        </w:tc>
        <w:tc>
          <w:tcPr>
            <w:tcW w:type="dxa" w:w="2340"/>
          </w:tcPr>
          <w:p>
            <w:pPr>
              <w:jc w:val="center"/>
            </w:pPr>
            <w:r>
              <w:rPr>
                <w:sz w:val="18"/>
              </w:rPr>
              <w:t>0.171</w:t>
            </w:r>
          </w:p>
        </w:tc>
        <w:tc>
          <w:tcPr>
            <w:tcW w:type="dxa" w:w="2340"/>
          </w:tcPr>
          <w:p>
            <w:pPr>
              <w:jc w:val="center"/>
            </w:pPr>
            <w:r>
              <w:rPr>
                <w:sz w:val="18"/>
              </w:rPr>
              <w:t>0.065</w:t>
            </w:r>
          </w:p>
        </w:tc>
      </w:tr>
      <w:tr>
        <w:tc>
          <w:tcPr>
            <w:tcW w:type="dxa" w:w="2340"/>
            <w:shd w:fill="F2F7FC"/>
          </w:tcPr>
          <w:p>
            <w:pPr>
              <w:jc w:val="center"/>
            </w:pPr>
            <w:r>
              <w:rPr>
                <w:sz w:val="18"/>
              </w:rPr>
              <w:t>F1-Score (optimal threshold)</w:t>
            </w:r>
          </w:p>
        </w:tc>
        <w:tc>
          <w:tcPr>
            <w:tcW w:type="dxa" w:w="2340"/>
            <w:shd w:fill="F2F7FC"/>
          </w:tcPr>
          <w:p>
            <w:pPr>
              <w:jc w:val="center"/>
            </w:pPr>
            <w:r>
              <w:rPr>
                <w:sz w:val="18"/>
              </w:rPr>
              <w:t>0.539</w:t>
            </w:r>
          </w:p>
        </w:tc>
        <w:tc>
          <w:tcPr>
            <w:tcW w:type="dxa" w:w="2340"/>
            <w:shd w:fill="F2F7FC"/>
          </w:tcPr>
          <w:p>
            <w:pPr>
              <w:jc w:val="center"/>
            </w:pPr>
            <w:r>
              <w:rPr>
                <w:sz w:val="18"/>
              </w:rPr>
              <w:t>0.624</w:t>
            </w:r>
          </w:p>
        </w:tc>
        <w:tc>
          <w:tcPr>
            <w:tcW w:type="dxa" w:w="2340"/>
            <w:shd w:fill="F2F7FC"/>
          </w:tcPr>
          <w:p>
            <w:pPr>
              <w:jc w:val="center"/>
            </w:pPr>
            <w:r>
              <w:rPr>
                <w:sz w:val="18"/>
              </w:rPr>
              <w:t>0.487</w:t>
            </w:r>
          </w:p>
        </w:tc>
      </w:tr>
    </w:tbl>
    <w:p/>
    <w:p>
      <w:pPr>
        <w:pStyle w:val="Heading2"/>
      </w:pPr>
      <w:r>
        <w:rPr>
          <w:color w:val="000000"/>
        </w:rPr>
        <w:t>6.3 Explanation Consistency Analysis</w:t>
      </w:r>
    </w:p>
    <w:p/>
    <w:p>
      <w:pPr>
        <w:jc w:val="center"/>
      </w:pPr>
      <w:r>
        <w:drawing>
          <wp:inline xmlns:a="http://schemas.openxmlformats.org/drawingml/2006/main" xmlns:pic="http://schemas.openxmlformats.org/drawingml/2006/picture">
            <wp:extent cx="4754880" cy="2931641"/>
            <wp:docPr id="8" name="Picture 8"/>
            <wp:cNvGraphicFramePr>
              <a:graphicFrameLocks noChangeAspect="1"/>
            </wp:cNvGraphicFramePr>
            <a:graphic>
              <a:graphicData uri="http://schemas.openxmlformats.org/drawingml/2006/picture">
                <pic:pic>
                  <pic:nvPicPr>
                    <pic:cNvPr id="0" name="ecs_scores.png"/>
                    <pic:cNvPicPr/>
                  </pic:nvPicPr>
                  <pic:blipFill>
                    <a:blip r:embed="rId16"/>
                    <a:stretch>
                      <a:fillRect/>
                    </a:stretch>
                  </pic:blipFill>
                  <pic:spPr>
                    <a:xfrm>
                      <a:off x="0" y="0"/>
                      <a:ext cx="4754880" cy="2931641"/>
                    </a:xfrm>
                    <a:prstGeom prst="rect"/>
                  </pic:spPr>
                </pic:pic>
              </a:graphicData>
            </a:graphic>
          </wp:inline>
        </w:drawing>
      </w:r>
    </w:p>
    <w:p>
      <w:pPr>
        <w:spacing w:after="280"/>
        <w:jc w:val="center"/>
      </w:pPr>
      <w:r>
        <w:rPr>
          <w:b/>
          <w:i/>
          <w:sz w:val="20"/>
        </w:rPr>
        <w:t>Figure 8: Explanation Consistency Score (ECS) Components - Quantifying SHAP vs LIME Agreement (Empirical)</w:t>
      </w:r>
    </w:p>
    <w:p>
      <w:r>
        <w:t>From the ECS evaluation results, one can see the high agreement between SHAP and LIME explanations across all datasets.</w:t>
      </w:r>
    </w:p>
    <w:p>
      <w:pPr>
        <w:spacing w:before="200"/>
        <w:jc w:val="center"/>
      </w:pPr>
      <w:r>
        <w:rPr>
          <w:b/>
          <w:sz w:val="20"/>
        </w:rPr>
        <w:t>Table 10: Complete Performance Metrics Across All Datasets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18"/>
              </w:rPr>
              <w:t>ECS Component</w:t>
            </w:r>
          </w:p>
        </w:tc>
        <w:tc>
          <w:tcPr>
            <w:tcW w:type="dxa" w:w="1872"/>
            <w:shd w:fill="1F4E79"/>
          </w:tcPr>
          <w:p>
            <w:pPr>
              <w:jc w:val="center"/>
            </w:pPr>
            <w:r>
              <w:rPr>
                <w:b/>
                <w:color w:val="FFFFFF"/>
                <w:sz w:val="18"/>
              </w:rPr>
              <w:t>LendingClub</w:t>
            </w:r>
          </w:p>
        </w:tc>
        <w:tc>
          <w:tcPr>
            <w:tcW w:type="dxa" w:w="1872"/>
            <w:shd w:fill="1F4E79"/>
          </w:tcPr>
          <w:p>
            <w:pPr>
              <w:jc w:val="center"/>
            </w:pPr>
            <w:r>
              <w:rPr>
                <w:b/>
                <w:color w:val="FFFFFF"/>
                <w:sz w:val="18"/>
              </w:rPr>
              <w:t>German Credit</w:t>
            </w:r>
          </w:p>
        </w:tc>
        <w:tc>
          <w:tcPr>
            <w:tcW w:type="dxa" w:w="1872"/>
            <w:shd w:fill="1F4E79"/>
          </w:tcPr>
          <w:p>
            <w:pPr>
              <w:jc w:val="center"/>
            </w:pPr>
            <w:r>
              <w:rPr>
                <w:b/>
                <w:color w:val="FFFFFF"/>
                <w:sz w:val="18"/>
              </w:rPr>
              <w:t>Home Credit</w:t>
            </w:r>
          </w:p>
        </w:tc>
        <w:tc>
          <w:tcPr>
            <w:tcW w:type="dxa" w:w="1872"/>
            <w:shd w:fill="1F4E79"/>
          </w:tcPr>
          <w:p>
            <w:pPr>
              <w:jc w:val="center"/>
            </w:pPr>
            <w:r>
              <w:rPr>
                <w:b/>
                <w:color w:val="FFFFFF"/>
                <w:sz w:val="18"/>
              </w:rPr>
              <w:t>Average</w:t>
            </w:r>
          </w:p>
        </w:tc>
      </w:tr>
      <w:tr>
        <w:tc>
          <w:tcPr>
            <w:tcW w:type="dxa" w:w="1872"/>
            <w:shd w:fill="F2F7FC"/>
          </w:tcPr>
          <w:p>
            <w:pPr>
              <w:jc w:val="center"/>
            </w:pPr>
            <w:r>
              <w:rPr>
                <w:sz w:val="18"/>
              </w:rPr>
              <w:t>Rank Correlation (ρ)</w:t>
            </w:r>
          </w:p>
        </w:tc>
        <w:tc>
          <w:tcPr>
            <w:tcW w:type="dxa" w:w="1872"/>
            <w:shd w:fill="F2F7FC"/>
          </w:tcPr>
          <w:p>
            <w:pPr>
              <w:jc w:val="center"/>
            </w:pPr>
            <w:r>
              <w:rPr>
                <w:sz w:val="18"/>
              </w:rPr>
              <w:t>0.917</w:t>
            </w:r>
          </w:p>
        </w:tc>
        <w:tc>
          <w:tcPr>
            <w:tcW w:type="dxa" w:w="1872"/>
            <w:shd w:fill="F2F7FC"/>
          </w:tcPr>
          <w:p>
            <w:pPr>
              <w:jc w:val="center"/>
            </w:pPr>
            <w:r>
              <w:rPr>
                <w:sz w:val="18"/>
              </w:rPr>
              <w:t>0.891</w:t>
            </w:r>
          </w:p>
        </w:tc>
        <w:tc>
          <w:tcPr>
            <w:tcW w:type="dxa" w:w="1872"/>
            <w:shd w:fill="F2F7FC"/>
          </w:tcPr>
          <w:p>
            <w:pPr>
              <w:jc w:val="center"/>
            </w:pPr>
            <w:r>
              <w:rPr>
                <w:sz w:val="18"/>
              </w:rPr>
              <w:t>0.904</w:t>
            </w:r>
          </w:p>
        </w:tc>
        <w:tc>
          <w:tcPr>
            <w:tcW w:type="dxa" w:w="1872"/>
            <w:shd w:fill="F2F7FC"/>
          </w:tcPr>
          <w:p>
            <w:pPr>
              <w:jc w:val="center"/>
            </w:pPr>
            <w:r>
              <w:rPr>
                <w:sz w:val="18"/>
              </w:rPr>
              <w:t>0.904</w:t>
            </w:r>
          </w:p>
        </w:tc>
      </w:tr>
      <w:tr>
        <w:tc>
          <w:tcPr>
            <w:tcW w:type="dxa" w:w="1872"/>
          </w:tcPr>
          <w:p>
            <w:pPr>
              <w:jc w:val="center"/>
            </w:pPr>
            <w:r>
              <w:rPr>
                <w:sz w:val="18"/>
              </w:rPr>
              <w:t>Sign Agreement (SA)</w:t>
            </w:r>
          </w:p>
        </w:tc>
        <w:tc>
          <w:tcPr>
            <w:tcW w:type="dxa" w:w="1872"/>
          </w:tcPr>
          <w:p>
            <w:pPr>
              <w:jc w:val="center"/>
            </w:pPr>
            <w:r>
              <w:rPr>
                <w:sz w:val="18"/>
              </w:rPr>
              <w:t>0.968</w:t>
            </w:r>
          </w:p>
        </w:tc>
        <w:tc>
          <w:tcPr>
            <w:tcW w:type="dxa" w:w="1872"/>
          </w:tcPr>
          <w:p>
            <w:pPr>
              <w:jc w:val="center"/>
            </w:pPr>
            <w:r>
              <w:rPr>
                <w:sz w:val="18"/>
              </w:rPr>
              <w:t>0.952</w:t>
            </w:r>
          </w:p>
        </w:tc>
        <w:tc>
          <w:tcPr>
            <w:tcW w:type="dxa" w:w="1872"/>
          </w:tcPr>
          <w:p>
            <w:pPr>
              <w:jc w:val="center"/>
            </w:pPr>
            <w:r>
              <w:rPr>
                <w:sz w:val="18"/>
              </w:rPr>
              <w:t>0.961</w:t>
            </w:r>
          </w:p>
        </w:tc>
        <w:tc>
          <w:tcPr>
            <w:tcW w:type="dxa" w:w="1872"/>
          </w:tcPr>
          <w:p>
            <w:pPr>
              <w:jc w:val="center"/>
            </w:pPr>
            <w:r>
              <w:rPr>
                <w:sz w:val="18"/>
              </w:rPr>
              <w:t>0.960</w:t>
            </w:r>
          </w:p>
        </w:tc>
      </w:tr>
      <w:tr>
        <w:tc>
          <w:tcPr>
            <w:tcW w:type="dxa" w:w="1872"/>
            <w:shd w:fill="F2F7FC"/>
          </w:tcPr>
          <w:p>
            <w:pPr>
              <w:jc w:val="center"/>
            </w:pPr>
            <w:r>
              <w:rPr>
                <w:sz w:val="18"/>
              </w:rPr>
              <w:t>Top-5 Overlap (J₅)</w:t>
            </w:r>
          </w:p>
        </w:tc>
        <w:tc>
          <w:tcPr>
            <w:tcW w:type="dxa" w:w="1872"/>
            <w:shd w:fill="F2F7FC"/>
          </w:tcPr>
          <w:p>
            <w:pPr>
              <w:jc w:val="center"/>
            </w:pPr>
            <w:r>
              <w:rPr>
                <w:sz w:val="18"/>
              </w:rPr>
              <w:t>0.943</w:t>
            </w:r>
          </w:p>
        </w:tc>
        <w:tc>
          <w:tcPr>
            <w:tcW w:type="dxa" w:w="1872"/>
            <w:shd w:fill="F2F7FC"/>
          </w:tcPr>
          <w:p>
            <w:pPr>
              <w:jc w:val="center"/>
            </w:pPr>
            <w:r>
              <w:rPr>
                <w:sz w:val="18"/>
              </w:rPr>
              <w:t>0.924</w:t>
            </w:r>
          </w:p>
        </w:tc>
        <w:tc>
          <w:tcPr>
            <w:tcW w:type="dxa" w:w="1872"/>
            <w:shd w:fill="F2F7FC"/>
          </w:tcPr>
          <w:p>
            <w:pPr>
              <w:jc w:val="center"/>
            </w:pPr>
            <w:r>
              <w:rPr>
                <w:sz w:val="18"/>
              </w:rPr>
              <w:t>0.938</w:t>
            </w:r>
          </w:p>
        </w:tc>
        <w:tc>
          <w:tcPr>
            <w:tcW w:type="dxa" w:w="1872"/>
            <w:shd w:fill="F2F7FC"/>
          </w:tcPr>
          <w:p>
            <w:pPr>
              <w:jc w:val="center"/>
            </w:pPr>
            <w:r>
              <w:rPr>
                <w:sz w:val="18"/>
              </w:rPr>
              <w:t>0.935</w:t>
            </w:r>
          </w:p>
        </w:tc>
      </w:tr>
      <w:tr>
        <w:tc>
          <w:tcPr>
            <w:tcW w:type="dxa" w:w="1872"/>
          </w:tcPr>
          <w:p>
            <w:pPr>
              <w:jc w:val="center"/>
            </w:pPr>
            <w:r>
              <w:rPr>
                <w:sz w:val="18"/>
              </w:rPr>
              <w:t>**Overall ECS**</w:t>
            </w:r>
          </w:p>
        </w:tc>
        <w:tc>
          <w:tcPr>
            <w:tcW w:type="dxa" w:w="1872"/>
          </w:tcPr>
          <w:p>
            <w:pPr>
              <w:jc w:val="center"/>
            </w:pPr>
            <w:r>
              <w:rPr>
                <w:sz w:val="18"/>
              </w:rPr>
              <w:t>**0.943**</w:t>
            </w:r>
          </w:p>
        </w:tc>
        <w:tc>
          <w:tcPr>
            <w:tcW w:type="dxa" w:w="1872"/>
          </w:tcPr>
          <w:p>
            <w:pPr>
              <w:jc w:val="center"/>
            </w:pPr>
            <w:r>
              <w:rPr>
                <w:sz w:val="18"/>
              </w:rPr>
              <w:t>**0.924**</w:t>
            </w:r>
          </w:p>
        </w:tc>
        <w:tc>
          <w:tcPr>
            <w:tcW w:type="dxa" w:w="1872"/>
          </w:tcPr>
          <w:p>
            <w:pPr>
              <w:jc w:val="center"/>
            </w:pPr>
            <w:r>
              <w:rPr>
                <w:sz w:val="18"/>
              </w:rPr>
              <w:t>**0.936**</w:t>
            </w:r>
          </w:p>
        </w:tc>
        <w:tc>
          <w:tcPr>
            <w:tcW w:type="dxa" w:w="1872"/>
          </w:tcPr>
          <w:p>
            <w:pPr>
              <w:jc w:val="center"/>
            </w:pPr>
            <w:r>
              <w:rPr>
                <w:sz w:val="18"/>
              </w:rPr>
              <w:t>**0.934**</w:t>
            </w:r>
          </w:p>
        </w:tc>
      </w:tr>
    </w:tbl>
    <w:p/>
    <w:p>
      <w:pPr>
        <w:pStyle w:val="Heading3"/>
      </w:pPr>
      <w:r>
        <w:rPr>
          <w:color w:val="000000"/>
        </w:rPr>
        <w:t>6.3.1 Faithfulness Evaluation</w:t>
      </w:r>
    </w:p>
    <w:p>
      <w:pPr>
        <w:spacing w:before="200"/>
        <w:jc w:val="center"/>
      </w:pPr>
      <w:r>
        <w:rPr>
          <w:b/>
          <w:sz w:val="20"/>
        </w:rPr>
        <w:t>Table 11: Explanation Consistency Score (ECS)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18"/>
              </w:rPr>
              <w:t>Method</w:t>
            </w:r>
          </w:p>
        </w:tc>
        <w:tc>
          <w:tcPr>
            <w:tcW w:type="dxa" w:w="2340"/>
            <w:shd w:fill="1F4E79"/>
          </w:tcPr>
          <w:p>
            <w:pPr>
              <w:jc w:val="center"/>
            </w:pPr>
            <w:r>
              <w:rPr>
                <w:b/>
                <w:color w:val="FFFFFF"/>
                <w:sz w:val="18"/>
              </w:rPr>
              <w:t>LendingClub</w:t>
            </w:r>
          </w:p>
        </w:tc>
        <w:tc>
          <w:tcPr>
            <w:tcW w:type="dxa" w:w="2340"/>
            <w:shd w:fill="1F4E79"/>
          </w:tcPr>
          <w:p>
            <w:pPr>
              <w:jc w:val="center"/>
            </w:pPr>
            <w:r>
              <w:rPr>
                <w:b/>
                <w:color w:val="FFFFFF"/>
                <w:sz w:val="18"/>
              </w:rPr>
              <w:t>German Credit</w:t>
            </w:r>
          </w:p>
        </w:tc>
        <w:tc>
          <w:tcPr>
            <w:tcW w:type="dxa" w:w="2340"/>
            <w:shd w:fill="1F4E79"/>
          </w:tcPr>
          <w:p>
            <w:pPr>
              <w:jc w:val="center"/>
            </w:pPr>
            <w:r>
              <w:rPr>
                <w:b/>
                <w:color w:val="FFFFFF"/>
                <w:sz w:val="18"/>
              </w:rPr>
              <w:t>Home Credit</w:t>
            </w:r>
          </w:p>
        </w:tc>
      </w:tr>
      <w:tr>
        <w:tc>
          <w:tcPr>
            <w:tcW w:type="dxa" w:w="2340"/>
            <w:shd w:fill="F2F7FC"/>
          </w:tcPr>
          <w:p>
            <w:pPr>
              <w:jc w:val="center"/>
            </w:pPr>
            <w:r>
              <w:rPr>
                <w:sz w:val="18"/>
              </w:rPr>
              <w:t>SHAP (top-5 removal)</w:t>
            </w:r>
          </w:p>
        </w:tc>
        <w:tc>
          <w:tcPr>
            <w:tcW w:type="dxa" w:w="2340"/>
            <w:shd w:fill="F2F7FC"/>
          </w:tcPr>
          <w:p>
            <w:pPr>
              <w:jc w:val="center"/>
            </w:pPr>
            <w:r>
              <w:rPr>
                <w:sz w:val="18"/>
              </w:rPr>
              <w:t>0.089</w:t>
            </w:r>
          </w:p>
        </w:tc>
        <w:tc>
          <w:tcPr>
            <w:tcW w:type="dxa" w:w="2340"/>
            <w:shd w:fill="F2F7FC"/>
          </w:tcPr>
          <w:p>
            <w:pPr>
              <w:jc w:val="center"/>
            </w:pPr>
            <w:r>
              <w:rPr>
                <w:sz w:val="18"/>
              </w:rPr>
              <w:t>0.076</w:t>
            </w:r>
          </w:p>
        </w:tc>
        <w:tc>
          <w:tcPr>
            <w:tcW w:type="dxa" w:w="2340"/>
            <w:shd w:fill="F2F7FC"/>
          </w:tcPr>
          <w:p>
            <w:pPr>
              <w:jc w:val="center"/>
            </w:pPr>
            <w:r>
              <w:rPr>
                <w:sz w:val="18"/>
              </w:rPr>
              <w:t>0.083</w:t>
            </w:r>
          </w:p>
        </w:tc>
      </w:tr>
      <w:tr>
        <w:tc>
          <w:tcPr>
            <w:tcW w:type="dxa" w:w="2340"/>
          </w:tcPr>
          <w:p>
            <w:pPr>
              <w:jc w:val="center"/>
            </w:pPr>
            <w:r>
              <w:rPr>
                <w:sz w:val="18"/>
              </w:rPr>
              <w:t>LIME (top-5 removal)</w:t>
            </w:r>
          </w:p>
        </w:tc>
        <w:tc>
          <w:tcPr>
            <w:tcW w:type="dxa" w:w="2340"/>
          </w:tcPr>
          <w:p>
            <w:pPr>
              <w:jc w:val="center"/>
            </w:pPr>
            <w:r>
              <w:rPr>
                <w:sz w:val="18"/>
              </w:rPr>
              <w:t>0.084</w:t>
            </w:r>
          </w:p>
        </w:tc>
        <w:tc>
          <w:tcPr>
            <w:tcW w:type="dxa" w:w="2340"/>
          </w:tcPr>
          <w:p>
            <w:pPr>
              <w:jc w:val="center"/>
            </w:pPr>
            <w:r>
              <w:rPr>
                <w:sz w:val="18"/>
              </w:rPr>
              <w:t>0.071</w:t>
            </w:r>
          </w:p>
        </w:tc>
        <w:tc>
          <w:tcPr>
            <w:tcW w:type="dxa" w:w="2340"/>
          </w:tcPr>
          <w:p>
            <w:pPr>
              <w:jc w:val="center"/>
            </w:pPr>
            <w:r>
              <w:rPr>
                <w:sz w:val="18"/>
              </w:rPr>
              <w:t>0.079</w:t>
            </w:r>
          </w:p>
        </w:tc>
      </w:tr>
      <w:tr>
        <w:tc>
          <w:tcPr>
            <w:tcW w:type="dxa" w:w="2340"/>
            <w:shd w:fill="F2F7FC"/>
          </w:tcPr>
          <w:p>
            <w:pPr>
              <w:jc w:val="center"/>
            </w:pPr>
            <w:r>
              <w:rPr>
                <w:sz w:val="18"/>
              </w:rPr>
              <w:t>Random (top-5 removal)</w:t>
            </w:r>
          </w:p>
        </w:tc>
        <w:tc>
          <w:tcPr>
            <w:tcW w:type="dxa" w:w="2340"/>
            <w:shd w:fill="F2F7FC"/>
          </w:tcPr>
          <w:p>
            <w:pPr>
              <w:jc w:val="center"/>
            </w:pPr>
            <w:r>
              <w:rPr>
                <w:sz w:val="18"/>
              </w:rPr>
              <w:t>0.031</w:t>
            </w:r>
          </w:p>
        </w:tc>
        <w:tc>
          <w:tcPr>
            <w:tcW w:type="dxa" w:w="2340"/>
            <w:shd w:fill="F2F7FC"/>
          </w:tcPr>
          <w:p>
            <w:pPr>
              <w:jc w:val="center"/>
            </w:pPr>
            <w:r>
              <w:rPr>
                <w:sz w:val="18"/>
              </w:rPr>
              <w:t>0.028</w:t>
            </w:r>
          </w:p>
        </w:tc>
        <w:tc>
          <w:tcPr>
            <w:tcW w:type="dxa" w:w="2340"/>
            <w:shd w:fill="F2F7FC"/>
          </w:tcPr>
          <w:p>
            <w:pPr>
              <w:jc w:val="center"/>
            </w:pPr>
            <w:r>
              <w:rPr>
                <w:sz w:val="18"/>
              </w:rPr>
              <w:t>0.033</w:t>
            </w:r>
          </w:p>
        </w:tc>
      </w:tr>
      <w:tr>
        <w:tc>
          <w:tcPr>
            <w:tcW w:type="dxa" w:w="2340"/>
          </w:tcPr>
          <w:p>
            <w:pPr>
              <w:jc w:val="center"/>
            </w:pPr>
            <w:r>
              <w:rPr>
                <w:sz w:val="18"/>
              </w:rPr>
              <w:t>Faithfulness Ratio (SHAP/Random)</w:t>
            </w:r>
          </w:p>
        </w:tc>
        <w:tc>
          <w:tcPr>
            <w:tcW w:type="dxa" w:w="2340"/>
          </w:tcPr>
          <w:p>
            <w:pPr>
              <w:jc w:val="center"/>
            </w:pPr>
            <w:r>
              <w:rPr>
                <w:sz w:val="18"/>
              </w:rPr>
              <w:t>2.87x</w:t>
            </w:r>
          </w:p>
        </w:tc>
        <w:tc>
          <w:tcPr>
            <w:tcW w:type="dxa" w:w="2340"/>
          </w:tcPr>
          <w:p>
            <w:pPr>
              <w:jc w:val="center"/>
            </w:pPr>
            <w:r>
              <w:rPr>
                <w:sz w:val="18"/>
              </w:rPr>
              <w:t>2.71x</w:t>
            </w:r>
          </w:p>
        </w:tc>
        <w:tc>
          <w:tcPr>
            <w:tcW w:type="dxa" w:w="2340"/>
          </w:tcPr>
          <w:p>
            <w:pPr>
              <w:jc w:val="center"/>
            </w:pPr>
            <w:r>
              <w:rPr>
                <w:sz w:val="18"/>
              </w:rPr>
              <w:t>2.52x</w:t>
            </w:r>
          </w:p>
        </w:tc>
      </w:tr>
    </w:tbl>
    <w:p/>
    <w:p>
      <w:r>
        <w:t>Both SHAP and LIME identify features whose removal causes 2.5-3x larger prediction changes than random feature removal, confirming that explanations are faithful to actual model behavior, not artifacts.</w:t>
      </w:r>
    </w:p>
    <w:p>
      <w:pPr>
        <w:pStyle w:val="Heading3"/>
      </w:pPr>
      <w:r>
        <w:rPr>
          <w:color w:val="000000"/>
        </w:rPr>
        <w:t>6.3.2 LIME Stability Analysis</w:t>
      </w:r>
    </w:p>
    <w:p>
      <w:pPr>
        <w:spacing w:before="200"/>
        <w:jc w:val="center"/>
      </w:pPr>
      <w:r>
        <w:rPr>
          <w:b/>
          <w:sz w:val="20"/>
        </w:rPr>
        <w:t>Table 12: Explanation Faithfulness — Average Prediction Change After Feature Removal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18"/>
              </w:rPr>
              <w:t>Dataset</w:t>
            </w:r>
          </w:p>
        </w:tc>
        <w:tc>
          <w:tcPr>
            <w:tcW w:type="dxa" w:w="2340"/>
            <w:shd w:fill="1F4E79"/>
          </w:tcPr>
          <w:p>
            <w:pPr>
              <w:jc w:val="center"/>
            </w:pPr>
            <w:r>
              <w:rPr>
                <w:b/>
                <w:color w:val="FFFFFF"/>
                <w:sz w:val="18"/>
              </w:rPr>
              <w:t>Top-1 Stability</w:t>
            </w:r>
          </w:p>
        </w:tc>
        <w:tc>
          <w:tcPr>
            <w:tcW w:type="dxa" w:w="2340"/>
            <w:shd w:fill="1F4E79"/>
          </w:tcPr>
          <w:p>
            <w:pPr>
              <w:jc w:val="center"/>
            </w:pPr>
            <w:r>
              <w:rPr>
                <w:b/>
                <w:color w:val="FFFFFF"/>
                <w:sz w:val="18"/>
              </w:rPr>
              <w:t>Top-3 Stability</w:t>
            </w:r>
          </w:p>
        </w:tc>
        <w:tc>
          <w:tcPr>
            <w:tcW w:type="dxa" w:w="2340"/>
            <w:shd w:fill="1F4E79"/>
          </w:tcPr>
          <w:p>
            <w:pPr>
              <w:jc w:val="center"/>
            </w:pPr>
            <w:r>
              <w:rPr>
                <w:b/>
                <w:color w:val="FFFFFF"/>
                <w:sz w:val="18"/>
              </w:rPr>
              <w:t>Top-5 Stability</w:t>
            </w:r>
          </w:p>
        </w:tc>
      </w:tr>
      <w:tr>
        <w:tc>
          <w:tcPr>
            <w:tcW w:type="dxa" w:w="2340"/>
            <w:shd w:fill="F2F7FC"/>
          </w:tcPr>
          <w:p>
            <w:pPr>
              <w:jc w:val="center"/>
            </w:pPr>
            <w:r>
              <w:rPr>
                <w:sz w:val="18"/>
              </w:rPr>
              <w:t>LendingClub</w:t>
            </w:r>
          </w:p>
        </w:tc>
        <w:tc>
          <w:tcPr>
            <w:tcW w:type="dxa" w:w="2340"/>
            <w:shd w:fill="F2F7FC"/>
          </w:tcPr>
          <w:p>
            <w:pPr>
              <w:jc w:val="center"/>
            </w:pPr>
            <w:r>
              <w:rPr>
                <w:sz w:val="18"/>
              </w:rPr>
              <w:t>97.2%</w:t>
            </w:r>
          </w:p>
        </w:tc>
        <w:tc>
          <w:tcPr>
            <w:tcW w:type="dxa" w:w="2340"/>
            <w:shd w:fill="F2F7FC"/>
          </w:tcPr>
          <w:p>
            <w:pPr>
              <w:jc w:val="center"/>
            </w:pPr>
            <w:r>
              <w:rPr>
                <w:sz w:val="18"/>
              </w:rPr>
              <w:t>94.8%</w:t>
            </w:r>
          </w:p>
        </w:tc>
        <w:tc>
          <w:tcPr>
            <w:tcW w:type="dxa" w:w="2340"/>
            <w:shd w:fill="F2F7FC"/>
          </w:tcPr>
          <w:p>
            <w:pPr>
              <w:jc w:val="center"/>
            </w:pPr>
            <w:r>
              <w:rPr>
                <w:sz w:val="18"/>
              </w:rPr>
              <w:t>91.3%</w:t>
            </w:r>
          </w:p>
        </w:tc>
      </w:tr>
      <w:tr>
        <w:tc>
          <w:tcPr>
            <w:tcW w:type="dxa" w:w="2340"/>
          </w:tcPr>
          <w:p>
            <w:pPr>
              <w:jc w:val="center"/>
            </w:pPr>
            <w:r>
              <w:rPr>
                <w:sz w:val="18"/>
              </w:rPr>
              <w:t>German Credit</w:t>
            </w:r>
          </w:p>
        </w:tc>
        <w:tc>
          <w:tcPr>
            <w:tcW w:type="dxa" w:w="2340"/>
          </w:tcPr>
          <w:p>
            <w:pPr>
              <w:jc w:val="center"/>
            </w:pPr>
            <w:r>
              <w:rPr>
                <w:sz w:val="18"/>
              </w:rPr>
              <w:t>93.1%</w:t>
            </w:r>
          </w:p>
        </w:tc>
        <w:tc>
          <w:tcPr>
            <w:tcW w:type="dxa" w:w="2340"/>
          </w:tcPr>
          <w:p>
            <w:pPr>
              <w:jc w:val="center"/>
            </w:pPr>
            <w:r>
              <w:rPr>
                <w:sz w:val="18"/>
              </w:rPr>
              <w:t>89.4%</w:t>
            </w:r>
          </w:p>
        </w:tc>
        <w:tc>
          <w:tcPr>
            <w:tcW w:type="dxa" w:w="2340"/>
          </w:tcPr>
          <w:p>
            <w:pPr>
              <w:jc w:val="center"/>
            </w:pPr>
            <w:r>
              <w:rPr>
                <w:sz w:val="18"/>
              </w:rPr>
              <w:t>85.7%</w:t>
            </w:r>
          </w:p>
        </w:tc>
      </w:tr>
      <w:tr>
        <w:tc>
          <w:tcPr>
            <w:tcW w:type="dxa" w:w="2340"/>
            <w:shd w:fill="F2F7FC"/>
          </w:tcPr>
          <w:p>
            <w:pPr>
              <w:jc w:val="center"/>
            </w:pPr>
            <w:r>
              <w:rPr>
                <w:sz w:val="18"/>
              </w:rPr>
              <w:t>Home Credit</w:t>
            </w:r>
          </w:p>
        </w:tc>
        <w:tc>
          <w:tcPr>
            <w:tcW w:type="dxa" w:w="2340"/>
            <w:shd w:fill="F2F7FC"/>
          </w:tcPr>
          <w:p>
            <w:pPr>
              <w:jc w:val="center"/>
            </w:pPr>
            <w:r>
              <w:rPr>
                <w:sz w:val="18"/>
              </w:rPr>
              <w:t>95.8%</w:t>
            </w:r>
          </w:p>
        </w:tc>
        <w:tc>
          <w:tcPr>
            <w:tcW w:type="dxa" w:w="2340"/>
            <w:shd w:fill="F2F7FC"/>
          </w:tcPr>
          <w:p>
            <w:pPr>
              <w:jc w:val="center"/>
            </w:pPr>
            <w:r>
              <w:rPr>
                <w:sz w:val="18"/>
              </w:rPr>
              <w:t>92.6%</w:t>
            </w:r>
          </w:p>
        </w:tc>
        <w:tc>
          <w:tcPr>
            <w:tcW w:type="dxa" w:w="2340"/>
            <w:shd w:fill="F2F7FC"/>
          </w:tcPr>
          <w:p>
            <w:pPr>
              <w:jc w:val="center"/>
            </w:pPr>
            <w:r>
              <w:rPr>
                <w:sz w:val="18"/>
              </w:rPr>
              <w:t>88.9%</w:t>
            </w:r>
          </w:p>
        </w:tc>
      </w:tr>
    </w:tbl>
    <w:p/>
    <w:p>
      <w:r>
        <w:t>LIME stability is acceptably high (&gt;85% for top-5) across all datasets, with higher stability on larger datasets where the local neighborhood is better defined.</w:t>
      </w:r>
    </w:p>
    <w:p>
      <w:pPr>
        <w:pStyle w:val="Heading2"/>
      </w:pPr>
      <w:r>
        <w:rPr>
          <w:color w:val="000000"/>
        </w:rPr>
        <w:t>6.4 Counterfactual Recourse Quality</w:t>
      </w:r>
    </w:p>
    <w:p>
      <w:pPr>
        <w:spacing w:before="200"/>
        <w:jc w:val="center"/>
      </w:pPr>
      <w:r>
        <w:rPr>
          <w:b/>
          <w:sz w:val="20"/>
        </w:rPr>
        <w:t>Table 13: LIME Stability (% Consistency Across 50 Repeated Runs)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18"/>
              </w:rPr>
              <w:t>Metric</w:t>
            </w:r>
          </w:p>
        </w:tc>
        <w:tc>
          <w:tcPr>
            <w:tcW w:type="dxa" w:w="2340"/>
            <w:shd w:fill="1F4E79"/>
          </w:tcPr>
          <w:p>
            <w:pPr>
              <w:jc w:val="center"/>
            </w:pPr>
            <w:r>
              <w:rPr>
                <w:b/>
                <w:color w:val="FFFFFF"/>
                <w:sz w:val="18"/>
              </w:rPr>
              <w:t>LendingClub</w:t>
            </w:r>
          </w:p>
        </w:tc>
        <w:tc>
          <w:tcPr>
            <w:tcW w:type="dxa" w:w="2340"/>
            <w:shd w:fill="1F4E79"/>
          </w:tcPr>
          <w:p>
            <w:pPr>
              <w:jc w:val="center"/>
            </w:pPr>
            <w:r>
              <w:rPr>
                <w:b/>
                <w:color w:val="FFFFFF"/>
                <w:sz w:val="18"/>
              </w:rPr>
              <w:t>German Credit</w:t>
            </w:r>
          </w:p>
        </w:tc>
        <w:tc>
          <w:tcPr>
            <w:tcW w:type="dxa" w:w="2340"/>
            <w:shd w:fill="1F4E79"/>
          </w:tcPr>
          <w:p>
            <w:pPr>
              <w:jc w:val="center"/>
            </w:pPr>
            <w:r>
              <w:rPr>
                <w:b/>
                <w:color w:val="FFFFFF"/>
                <w:sz w:val="18"/>
              </w:rPr>
              <w:t>Home Credit</w:t>
            </w:r>
          </w:p>
        </w:tc>
      </w:tr>
      <w:tr>
        <w:tc>
          <w:tcPr>
            <w:tcW w:type="dxa" w:w="2340"/>
            <w:shd w:fill="F2F7FC"/>
          </w:tcPr>
          <w:p>
            <w:pPr>
              <w:jc w:val="center"/>
            </w:pPr>
            <w:r>
              <w:rPr>
                <w:sz w:val="18"/>
              </w:rPr>
              <w:t>Validity Rate</w:t>
            </w:r>
          </w:p>
        </w:tc>
        <w:tc>
          <w:tcPr>
            <w:tcW w:type="dxa" w:w="2340"/>
            <w:shd w:fill="F2F7FC"/>
          </w:tcPr>
          <w:p>
            <w:pPr>
              <w:jc w:val="center"/>
            </w:pPr>
            <w:r>
              <w:rPr>
                <w:sz w:val="18"/>
              </w:rPr>
              <w:t>96.8%</w:t>
            </w:r>
          </w:p>
        </w:tc>
        <w:tc>
          <w:tcPr>
            <w:tcW w:type="dxa" w:w="2340"/>
            <w:shd w:fill="F2F7FC"/>
          </w:tcPr>
          <w:p>
            <w:pPr>
              <w:jc w:val="center"/>
            </w:pPr>
            <w:r>
              <w:rPr>
                <w:sz w:val="18"/>
              </w:rPr>
              <w:t>94.2%</w:t>
            </w:r>
          </w:p>
        </w:tc>
        <w:tc>
          <w:tcPr>
            <w:tcW w:type="dxa" w:w="2340"/>
            <w:shd w:fill="F2F7FC"/>
          </w:tcPr>
          <w:p>
            <w:pPr>
              <w:jc w:val="center"/>
            </w:pPr>
            <w:r>
              <w:rPr>
                <w:sz w:val="18"/>
              </w:rPr>
              <w:t>95.7%</w:t>
            </w:r>
          </w:p>
        </w:tc>
      </w:tr>
      <w:tr>
        <w:tc>
          <w:tcPr>
            <w:tcW w:type="dxa" w:w="2340"/>
          </w:tcPr>
          <w:p>
            <w:pPr>
              <w:jc w:val="center"/>
            </w:pPr>
            <w:r>
              <w:rPr>
                <w:sz w:val="18"/>
              </w:rPr>
              <w:t>Avg. Features Changed</w:t>
            </w:r>
          </w:p>
        </w:tc>
        <w:tc>
          <w:tcPr>
            <w:tcW w:type="dxa" w:w="2340"/>
          </w:tcPr>
          <w:p>
            <w:pPr>
              <w:jc w:val="center"/>
            </w:pPr>
            <w:r>
              <w:rPr>
                <w:sz w:val="18"/>
              </w:rPr>
              <w:t>2.3</w:t>
            </w:r>
          </w:p>
        </w:tc>
        <w:tc>
          <w:tcPr>
            <w:tcW w:type="dxa" w:w="2340"/>
          </w:tcPr>
          <w:p>
            <w:pPr>
              <w:jc w:val="center"/>
            </w:pPr>
            <w:r>
              <w:rPr>
                <w:sz w:val="18"/>
              </w:rPr>
              <w:t>2.1</w:t>
            </w:r>
          </w:p>
        </w:tc>
        <w:tc>
          <w:tcPr>
            <w:tcW w:type="dxa" w:w="2340"/>
          </w:tcPr>
          <w:p>
            <w:pPr>
              <w:jc w:val="center"/>
            </w:pPr>
            <w:r>
              <w:rPr>
                <w:sz w:val="18"/>
              </w:rPr>
              <w:t>2.5</w:t>
            </w:r>
          </w:p>
        </w:tc>
      </w:tr>
      <w:tr>
        <w:tc>
          <w:tcPr>
            <w:tcW w:type="dxa" w:w="2340"/>
            <w:shd w:fill="F2F7FC"/>
          </w:tcPr>
          <w:p>
            <w:pPr>
              <w:jc w:val="center"/>
            </w:pPr>
            <w:r>
              <w:rPr>
                <w:sz w:val="18"/>
              </w:rPr>
              <w:t>Avg. L1 Distance</w:t>
            </w:r>
          </w:p>
        </w:tc>
        <w:tc>
          <w:tcPr>
            <w:tcW w:type="dxa" w:w="2340"/>
            <w:shd w:fill="F2F7FC"/>
          </w:tcPr>
          <w:p>
            <w:pPr>
              <w:jc w:val="center"/>
            </w:pPr>
            <w:r>
              <w:rPr>
                <w:sz w:val="18"/>
              </w:rPr>
              <w:t>0.34</w:t>
            </w:r>
          </w:p>
        </w:tc>
        <w:tc>
          <w:tcPr>
            <w:tcW w:type="dxa" w:w="2340"/>
            <w:shd w:fill="F2F7FC"/>
          </w:tcPr>
          <w:p>
            <w:pPr>
              <w:jc w:val="center"/>
            </w:pPr>
            <w:r>
              <w:rPr>
                <w:sz w:val="18"/>
              </w:rPr>
              <w:t>0.29</w:t>
            </w:r>
          </w:p>
        </w:tc>
        <w:tc>
          <w:tcPr>
            <w:tcW w:type="dxa" w:w="2340"/>
            <w:shd w:fill="F2F7FC"/>
          </w:tcPr>
          <w:p>
            <w:pPr>
              <w:jc w:val="center"/>
            </w:pPr>
            <w:r>
              <w:rPr>
                <w:sz w:val="18"/>
              </w:rPr>
              <w:t>0.38</w:t>
            </w:r>
          </w:p>
        </w:tc>
      </w:tr>
      <w:tr>
        <w:tc>
          <w:tcPr>
            <w:tcW w:type="dxa" w:w="2340"/>
          </w:tcPr>
          <w:p>
            <w:pPr>
              <w:jc w:val="center"/>
            </w:pPr>
            <w:r>
              <w:rPr>
                <w:sz w:val="18"/>
              </w:rPr>
              <w:t>Diversity Score</w:t>
            </w:r>
          </w:p>
        </w:tc>
        <w:tc>
          <w:tcPr>
            <w:tcW w:type="dxa" w:w="2340"/>
          </w:tcPr>
          <w:p>
            <w:pPr>
              <w:jc w:val="center"/>
            </w:pPr>
            <w:r>
              <w:rPr>
                <w:sz w:val="18"/>
              </w:rPr>
              <w:t>0.72</w:t>
            </w:r>
          </w:p>
        </w:tc>
        <w:tc>
          <w:tcPr>
            <w:tcW w:type="dxa" w:w="2340"/>
          </w:tcPr>
          <w:p>
            <w:pPr>
              <w:jc w:val="center"/>
            </w:pPr>
            <w:r>
              <w:rPr>
                <w:sz w:val="18"/>
              </w:rPr>
              <w:t>0.68</w:t>
            </w:r>
          </w:p>
        </w:tc>
        <w:tc>
          <w:tcPr>
            <w:tcW w:type="dxa" w:w="2340"/>
          </w:tcPr>
          <w:p>
            <w:pPr>
              <w:jc w:val="center"/>
            </w:pPr>
            <w:r>
              <w:rPr>
                <w:sz w:val="18"/>
              </w:rPr>
              <w:t>0.74</w:t>
            </w:r>
          </w:p>
        </w:tc>
      </w:tr>
      <w:tr>
        <w:tc>
          <w:tcPr>
            <w:tcW w:type="dxa" w:w="2340"/>
            <w:shd w:fill="F2F7FC"/>
          </w:tcPr>
          <w:p>
            <w:pPr>
              <w:jc w:val="center"/>
            </w:pPr>
            <w:r>
              <w:rPr>
                <w:sz w:val="18"/>
              </w:rPr>
              <w:t>Feasibility Rate</w:t>
            </w:r>
          </w:p>
        </w:tc>
        <w:tc>
          <w:tcPr>
            <w:tcW w:type="dxa" w:w="2340"/>
            <w:shd w:fill="F2F7FC"/>
          </w:tcPr>
          <w:p>
            <w:pPr>
              <w:jc w:val="center"/>
            </w:pPr>
            <w:r>
              <w:rPr>
                <w:sz w:val="18"/>
              </w:rPr>
              <w:t>89.4%</w:t>
            </w:r>
          </w:p>
        </w:tc>
        <w:tc>
          <w:tcPr>
            <w:tcW w:type="dxa" w:w="2340"/>
            <w:shd w:fill="F2F7FC"/>
          </w:tcPr>
          <w:p>
            <w:pPr>
              <w:jc w:val="center"/>
            </w:pPr>
            <w:r>
              <w:rPr>
                <w:sz w:val="18"/>
              </w:rPr>
              <w:t>91.2%</w:t>
            </w:r>
          </w:p>
        </w:tc>
        <w:tc>
          <w:tcPr>
            <w:tcW w:type="dxa" w:w="2340"/>
            <w:shd w:fill="F2F7FC"/>
          </w:tcPr>
          <w:p>
            <w:pPr>
              <w:jc w:val="center"/>
            </w:pPr>
            <w:r>
              <w:rPr>
                <w:sz w:val="18"/>
              </w:rPr>
              <w:t>87.6%</w:t>
            </w:r>
          </w:p>
        </w:tc>
      </w:tr>
      <w:tr>
        <w:tc>
          <w:tcPr>
            <w:tcW w:type="dxa" w:w="2340"/>
          </w:tcPr>
          <w:p>
            <w:pPr>
              <w:jc w:val="center"/>
            </w:pPr>
            <w:r>
              <w:rPr>
                <w:sz w:val="18"/>
              </w:rPr>
              <w:t>Generation Time (ms)</w:t>
            </w:r>
          </w:p>
        </w:tc>
        <w:tc>
          <w:tcPr>
            <w:tcW w:type="dxa" w:w="2340"/>
          </w:tcPr>
          <w:p>
            <w:pPr>
              <w:jc w:val="center"/>
            </w:pPr>
            <w:r>
              <w:rPr>
                <w:sz w:val="18"/>
              </w:rPr>
              <w:t>245</w:t>
            </w:r>
          </w:p>
        </w:tc>
        <w:tc>
          <w:tcPr>
            <w:tcW w:type="dxa" w:w="2340"/>
          </w:tcPr>
          <w:p>
            <w:pPr>
              <w:jc w:val="center"/>
            </w:pPr>
            <w:r>
              <w:rPr>
                <w:sz w:val="18"/>
              </w:rPr>
              <w:t>18</w:t>
            </w:r>
          </w:p>
        </w:tc>
        <w:tc>
          <w:tcPr>
            <w:tcW w:type="dxa" w:w="2340"/>
          </w:tcPr>
          <w:p>
            <w:pPr>
              <w:jc w:val="center"/>
            </w:pPr>
            <w:r>
              <w:rPr>
                <w:sz w:val="18"/>
              </w:rPr>
              <w:t>312</w:t>
            </w:r>
          </w:p>
        </w:tc>
      </w:tr>
    </w:tbl>
    <w:p/>
    <w:p>
      <w:r>
        <w:t>The counterfactual module generates valid recourse (&gt;94% flip the prediction) with minimal changes (2.1-2.5 features), high diversity (0.68-0.74), and acceptable feasibility (87-91% pass all constraints). The generation time is fast enough for real-time deployment (&lt;350ms per instance).</w:t>
      </w:r>
    </w:p>
    <w:p>
      <w:pPr>
        <w:pStyle w:val="Heading2"/>
      </w:pPr>
      <w:r>
        <w:rPr>
          <w:color w:val="000000"/>
        </w:rPr>
        <w:t>6.5 Comparison with Existing XAI Approaches</w:t>
      </w:r>
    </w:p>
    <w:p>
      <w:pPr>
        <w:spacing w:before="200"/>
        <w:jc w:val="center"/>
      </w:pPr>
      <w:r>
        <w:rPr>
          <w:b/>
          <w:sz w:val="20"/>
        </w:rPr>
        <w:t>Table 14: Counterfactual Explanation Quality Metrics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18"/>
              </w:rPr>
              <w:t>Feature</w:t>
            </w:r>
          </w:p>
        </w:tc>
        <w:tc>
          <w:tcPr>
            <w:tcW w:type="dxa" w:w="1872"/>
            <w:shd w:fill="1F4E79"/>
          </w:tcPr>
          <w:p>
            <w:pPr>
              <w:jc w:val="center"/>
            </w:pPr>
            <w:r>
              <w:rPr>
                <w:b/>
                <w:color w:val="FFFFFF"/>
                <w:sz w:val="18"/>
              </w:rPr>
              <w:t>SHAP Only [32]</w:t>
            </w:r>
          </w:p>
        </w:tc>
        <w:tc>
          <w:tcPr>
            <w:tcW w:type="dxa" w:w="1872"/>
            <w:shd w:fill="1F4E79"/>
          </w:tcPr>
          <w:p>
            <w:pPr>
              <w:jc w:val="center"/>
            </w:pPr>
            <w:r>
              <w:rPr>
                <w:b/>
                <w:color w:val="FFFFFF"/>
                <w:sz w:val="18"/>
              </w:rPr>
              <w:t>LIME Only [34]</w:t>
            </w:r>
          </w:p>
        </w:tc>
        <w:tc>
          <w:tcPr>
            <w:tcW w:type="dxa" w:w="1872"/>
            <w:shd w:fill="1F4E79"/>
          </w:tcPr>
          <w:p>
            <w:pPr>
              <w:jc w:val="center"/>
            </w:pPr>
            <w:r>
              <w:rPr>
                <w:b/>
                <w:color w:val="FFFFFF"/>
                <w:sz w:val="18"/>
              </w:rPr>
              <w:t>Grad-CAM Analogy [25]</w:t>
            </w:r>
          </w:p>
        </w:tc>
        <w:tc>
          <w:tcPr>
            <w:tcW w:type="dxa" w:w="1872"/>
            <w:shd w:fill="1F4E79"/>
          </w:tcPr>
          <w:p>
            <w:pPr>
              <w:jc w:val="center"/>
            </w:pPr>
            <w:r>
              <w:rPr>
                <w:b/>
                <w:color w:val="FFFFFF"/>
                <w:sz w:val="18"/>
              </w:rPr>
              <w:t>MLECS (Ours)</w:t>
            </w:r>
          </w:p>
        </w:tc>
      </w:tr>
      <w:tr>
        <w:tc>
          <w:tcPr>
            <w:tcW w:type="dxa" w:w="1872"/>
            <w:shd w:fill="F2F7FC"/>
          </w:tcPr>
          <w:p>
            <w:pPr>
              <w:jc w:val="center"/>
            </w:pPr>
            <w:r>
              <w:rPr>
                <w:sz w:val="18"/>
              </w:rPr>
              <w:t>Logic Type</w:t>
            </w:r>
          </w:p>
        </w:tc>
        <w:tc>
          <w:tcPr>
            <w:tcW w:type="dxa" w:w="1872"/>
            <w:shd w:fill="F2F7FC"/>
          </w:tcPr>
          <w:p>
            <w:pPr>
              <w:jc w:val="center"/>
            </w:pPr>
            <w:r>
              <w:rPr>
                <w:sz w:val="18"/>
              </w:rPr>
              <w:t>Global + Local (single)</w:t>
            </w:r>
          </w:p>
        </w:tc>
        <w:tc>
          <w:tcPr>
            <w:tcW w:type="dxa" w:w="1872"/>
            <w:shd w:fill="F2F7FC"/>
          </w:tcPr>
          <w:p>
            <w:pPr>
              <w:jc w:val="center"/>
            </w:pPr>
            <w:r>
              <w:rPr>
                <w:sz w:val="18"/>
              </w:rPr>
              <w:t>Local only</w:t>
            </w:r>
          </w:p>
        </w:tc>
        <w:tc>
          <w:tcPr>
            <w:tcW w:type="dxa" w:w="1872"/>
            <w:shd w:fill="F2F7FC"/>
          </w:tcPr>
          <w:p>
            <w:pPr>
              <w:jc w:val="center"/>
            </w:pPr>
            <w:r>
              <w:rPr>
                <w:sz w:val="18"/>
              </w:rPr>
              <w:t>Saliency-based</w:t>
            </w:r>
          </w:p>
        </w:tc>
        <w:tc>
          <w:tcPr>
            <w:tcW w:type="dxa" w:w="1872"/>
            <w:shd w:fill="F2F7FC"/>
          </w:tcPr>
          <w:p>
            <w:pPr>
              <w:jc w:val="center"/>
            </w:pPr>
            <w:r>
              <w:rPr>
                <w:sz w:val="18"/>
              </w:rPr>
              <w:t>Multi-Level (3 tiers)</w:t>
            </w:r>
          </w:p>
        </w:tc>
      </w:tr>
      <w:tr>
        <w:tc>
          <w:tcPr>
            <w:tcW w:type="dxa" w:w="1872"/>
          </w:tcPr>
          <w:p>
            <w:pPr>
              <w:jc w:val="center"/>
            </w:pPr>
            <w:r>
              <w:rPr>
                <w:sz w:val="18"/>
              </w:rPr>
              <w:t>Consistency Check</w:t>
            </w:r>
          </w:p>
        </w:tc>
        <w:tc>
          <w:tcPr>
            <w:tcW w:type="dxa" w:w="1872"/>
          </w:tcPr>
          <w:p>
            <w:pPr>
              <w:jc w:val="center"/>
            </w:pPr>
            <w:r>
              <w:rPr>
                <w:sz w:val="18"/>
              </w:rPr>
              <w:t>None</w:t>
            </w:r>
          </w:p>
        </w:tc>
        <w:tc>
          <w:tcPr>
            <w:tcW w:type="dxa" w:w="1872"/>
          </w:tcPr>
          <w:p>
            <w:pPr>
              <w:jc w:val="center"/>
            </w:pPr>
            <w:r>
              <w:rPr>
                <w:sz w:val="18"/>
              </w:rPr>
              <w:t>None</w:t>
            </w:r>
          </w:p>
        </w:tc>
        <w:tc>
          <w:tcPr>
            <w:tcW w:type="dxa" w:w="1872"/>
          </w:tcPr>
          <w:p>
            <w:pPr>
              <w:jc w:val="center"/>
            </w:pPr>
            <w:r>
              <w:rPr>
                <w:sz w:val="18"/>
              </w:rPr>
              <w:t>None</w:t>
            </w:r>
          </w:p>
        </w:tc>
        <w:tc>
          <w:tcPr>
            <w:tcW w:type="dxa" w:w="1872"/>
          </w:tcPr>
          <w:p>
            <w:pPr>
              <w:jc w:val="center"/>
            </w:pPr>
            <w:r>
              <w:rPr>
                <w:sz w:val="18"/>
              </w:rPr>
              <w:t>ECS (quantitative)</w:t>
            </w:r>
          </w:p>
        </w:tc>
      </w:tr>
      <w:tr>
        <w:tc>
          <w:tcPr>
            <w:tcW w:type="dxa" w:w="1872"/>
            <w:shd w:fill="F2F7FC"/>
          </w:tcPr>
          <w:p>
            <w:pPr>
              <w:jc w:val="center"/>
            </w:pPr>
            <w:r>
              <w:rPr>
                <w:sz w:val="18"/>
              </w:rPr>
              <w:t>Actionable Recourse</w:t>
            </w:r>
          </w:p>
        </w:tc>
        <w:tc>
          <w:tcPr>
            <w:tcW w:type="dxa" w:w="1872"/>
            <w:shd w:fill="F2F7FC"/>
          </w:tcPr>
          <w:p>
            <w:pPr>
              <w:jc w:val="center"/>
            </w:pPr>
            <w:r>
              <w:rPr>
                <w:sz w:val="18"/>
              </w:rPr>
              <w:t>No</w:t>
            </w:r>
          </w:p>
        </w:tc>
        <w:tc>
          <w:tcPr>
            <w:tcW w:type="dxa" w:w="1872"/>
            <w:shd w:fill="F2F7FC"/>
          </w:tcPr>
          <w:p>
            <w:pPr>
              <w:jc w:val="center"/>
            </w:pPr>
            <w:r>
              <w:rPr>
                <w:sz w:val="18"/>
              </w:rPr>
              <w:t>No</w:t>
            </w:r>
          </w:p>
        </w:tc>
        <w:tc>
          <w:tcPr>
            <w:tcW w:type="dxa" w:w="1872"/>
            <w:shd w:fill="F2F7FC"/>
          </w:tcPr>
          <w:p>
            <w:pPr>
              <w:jc w:val="center"/>
            </w:pPr>
            <w:r>
              <w:rPr>
                <w:sz w:val="18"/>
              </w:rPr>
              <w:t>No</w:t>
            </w:r>
          </w:p>
        </w:tc>
        <w:tc>
          <w:tcPr>
            <w:tcW w:type="dxa" w:w="1872"/>
            <w:shd w:fill="F2F7FC"/>
          </w:tcPr>
          <w:p>
            <w:pPr>
              <w:jc w:val="center"/>
            </w:pPr>
            <w:r>
              <w:rPr>
                <w:sz w:val="18"/>
              </w:rPr>
              <w:t>Yes (DiCE)</w:t>
            </w:r>
          </w:p>
        </w:tc>
      </w:tr>
      <w:tr>
        <w:tc>
          <w:tcPr>
            <w:tcW w:type="dxa" w:w="1872"/>
          </w:tcPr>
          <w:p>
            <w:pPr>
              <w:jc w:val="center"/>
            </w:pPr>
            <w:r>
              <w:rPr>
                <w:sz w:val="18"/>
              </w:rPr>
              <w:t>Faithfulness Metric</w:t>
            </w:r>
          </w:p>
        </w:tc>
        <w:tc>
          <w:tcPr>
            <w:tcW w:type="dxa" w:w="1872"/>
          </w:tcPr>
          <w:p>
            <w:pPr>
              <w:jc w:val="center"/>
            </w:pPr>
            <w:r>
              <w:rPr>
                <w:sz w:val="18"/>
              </w:rPr>
              <w:t>Sometimes</w:t>
            </w:r>
          </w:p>
        </w:tc>
        <w:tc>
          <w:tcPr>
            <w:tcW w:type="dxa" w:w="1872"/>
          </w:tcPr>
          <w:p>
            <w:pPr>
              <w:jc w:val="center"/>
            </w:pPr>
            <w:r>
              <w:rPr>
                <w:sz w:val="18"/>
              </w:rPr>
              <w:t>Rarely</w:t>
            </w:r>
          </w:p>
        </w:tc>
        <w:tc>
          <w:tcPr>
            <w:tcW w:type="dxa" w:w="1872"/>
          </w:tcPr>
          <w:p>
            <w:pPr>
              <w:jc w:val="center"/>
            </w:pPr>
            <w:r>
              <w:rPr>
                <w:sz w:val="18"/>
              </w:rPr>
              <w:t>No</w:t>
            </w:r>
          </w:p>
        </w:tc>
        <w:tc>
          <w:tcPr>
            <w:tcW w:type="dxa" w:w="1872"/>
          </w:tcPr>
          <w:p>
            <w:pPr>
              <w:jc w:val="center"/>
            </w:pPr>
            <w:r>
              <w:rPr>
                <w:sz w:val="18"/>
              </w:rPr>
              <w:t>Built-in (Feature Removal)</w:t>
            </w:r>
          </w:p>
        </w:tc>
      </w:tr>
      <w:tr>
        <w:tc>
          <w:tcPr>
            <w:tcW w:type="dxa" w:w="1872"/>
            <w:shd w:fill="F2F7FC"/>
          </w:tcPr>
          <w:p>
            <w:pPr>
              <w:jc w:val="center"/>
            </w:pPr>
            <w:r>
              <w:rPr>
                <w:sz w:val="18"/>
              </w:rPr>
              <w:t>Regulatory Compliance</w:t>
            </w:r>
          </w:p>
        </w:tc>
        <w:tc>
          <w:tcPr>
            <w:tcW w:type="dxa" w:w="1872"/>
            <w:shd w:fill="F2F7FC"/>
          </w:tcPr>
          <w:p>
            <w:pPr>
              <w:jc w:val="center"/>
            </w:pPr>
            <w:r>
              <w:rPr>
                <w:sz w:val="18"/>
              </w:rPr>
              <w:t>Partial</w:t>
            </w:r>
          </w:p>
        </w:tc>
        <w:tc>
          <w:tcPr>
            <w:tcW w:type="dxa" w:w="1872"/>
            <w:shd w:fill="F2F7FC"/>
          </w:tcPr>
          <w:p>
            <w:pPr>
              <w:jc w:val="center"/>
            </w:pPr>
            <w:r>
              <w:rPr>
                <w:sz w:val="18"/>
              </w:rPr>
              <w:t>Partial</w:t>
            </w:r>
          </w:p>
        </w:tc>
        <w:tc>
          <w:tcPr>
            <w:tcW w:type="dxa" w:w="1872"/>
            <w:shd w:fill="F2F7FC"/>
          </w:tcPr>
          <w:p>
            <w:pPr>
              <w:jc w:val="center"/>
            </w:pPr>
            <w:r>
              <w:rPr>
                <w:sz w:val="18"/>
              </w:rPr>
              <w:t>Low</w:t>
            </w:r>
          </w:p>
        </w:tc>
        <w:tc>
          <w:tcPr>
            <w:tcW w:type="dxa" w:w="1872"/>
            <w:shd w:fill="F2F7FC"/>
          </w:tcPr>
          <w:p>
            <w:pPr>
              <w:jc w:val="center"/>
            </w:pPr>
            <w:r>
              <w:rPr>
                <w:sz w:val="18"/>
              </w:rPr>
              <w:t>Full (EU AI Act + ECOA)</w:t>
            </w:r>
          </w:p>
        </w:tc>
      </w:tr>
      <w:tr>
        <w:tc>
          <w:tcPr>
            <w:tcW w:type="dxa" w:w="1872"/>
          </w:tcPr>
          <w:p>
            <w:pPr>
              <w:jc w:val="center"/>
            </w:pPr>
            <w:r>
              <w:rPr>
                <w:sz w:val="18"/>
              </w:rPr>
              <w:t>Cross-Dataset Validation</w:t>
            </w:r>
          </w:p>
        </w:tc>
        <w:tc>
          <w:tcPr>
            <w:tcW w:type="dxa" w:w="1872"/>
          </w:tcPr>
          <w:p>
            <w:pPr>
              <w:jc w:val="center"/>
            </w:pPr>
            <w:r>
              <w:rPr>
                <w:sz w:val="18"/>
              </w:rPr>
              <w:t>Rarely</w:t>
            </w:r>
          </w:p>
        </w:tc>
        <w:tc>
          <w:tcPr>
            <w:tcW w:type="dxa" w:w="1872"/>
          </w:tcPr>
          <w:p>
            <w:pPr>
              <w:jc w:val="center"/>
            </w:pPr>
            <w:r>
              <w:rPr>
                <w:sz w:val="18"/>
              </w:rPr>
              <w:t>Rarely</w:t>
            </w:r>
          </w:p>
        </w:tc>
        <w:tc>
          <w:tcPr>
            <w:tcW w:type="dxa" w:w="1872"/>
          </w:tcPr>
          <w:p>
            <w:pPr>
              <w:jc w:val="center"/>
            </w:pPr>
            <w:r>
              <w:rPr>
                <w:sz w:val="18"/>
              </w:rPr>
              <w:t>No</w:t>
            </w:r>
          </w:p>
        </w:tc>
        <w:tc>
          <w:tcPr>
            <w:tcW w:type="dxa" w:w="1872"/>
          </w:tcPr>
          <w:p>
            <w:pPr>
              <w:jc w:val="center"/>
            </w:pPr>
            <w:r>
              <w:rPr>
                <w:sz w:val="18"/>
              </w:rPr>
              <w:t>Yes (3 datasets)</w:t>
            </w:r>
          </w:p>
        </w:tc>
      </w:tr>
    </w:tbl>
    <w:p/>
    <w:p>
      <w:pPr>
        <w:pStyle w:val="Heading2"/>
      </w:pPr>
      <w:r>
        <w:rPr>
          <w:color w:val="000000"/>
        </w:rPr>
        <w:t>6.6 Computational Efficiency and Resource Analysis</w:t>
      </w:r>
    </w:p>
    <w:p>
      <w:r>
        <w:t>For confirming the effectiveness of resource usage in the proposed MLECS framework, the computational requirements have been compared across different pipeline components.</w:t>
      </w:r>
    </w:p>
    <w:p>
      <w:pPr>
        <w:spacing w:before="200"/>
        <w:jc w:val="center"/>
      </w:pPr>
      <w:r>
        <w:rPr>
          <w:b/>
          <w:sz w:val="20"/>
        </w:rPr>
        <w:t>Table 15: Comparison of MLECS with Existing Explainability Frameworks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18"/>
              </w:rPr>
              <w:t>Component</w:t>
            </w:r>
          </w:p>
        </w:tc>
        <w:tc>
          <w:tcPr>
            <w:tcW w:type="dxa" w:w="2340"/>
            <w:shd w:fill="1F4E79"/>
          </w:tcPr>
          <w:p>
            <w:pPr>
              <w:jc w:val="center"/>
            </w:pPr>
            <w:r>
              <w:rPr>
                <w:b/>
                <w:color w:val="FFFFFF"/>
                <w:sz w:val="18"/>
              </w:rPr>
              <w:t>Parameters/Complexity</w:t>
            </w:r>
          </w:p>
        </w:tc>
        <w:tc>
          <w:tcPr>
            <w:tcW w:type="dxa" w:w="2340"/>
            <w:shd w:fill="1F4E79"/>
          </w:tcPr>
          <w:p>
            <w:pPr>
              <w:jc w:val="center"/>
            </w:pPr>
            <w:r>
              <w:rPr>
                <w:b/>
                <w:color w:val="FFFFFF"/>
                <w:sz w:val="18"/>
              </w:rPr>
              <w:t>Time (LendingClub)</w:t>
            </w:r>
          </w:p>
        </w:tc>
        <w:tc>
          <w:tcPr>
            <w:tcW w:type="dxa" w:w="2340"/>
            <w:shd w:fill="1F4E79"/>
          </w:tcPr>
          <w:p>
            <w:pPr>
              <w:jc w:val="center"/>
            </w:pPr>
            <w:r>
              <w:rPr>
                <w:b/>
                <w:color w:val="FFFFFF"/>
                <w:sz w:val="18"/>
              </w:rPr>
              <w:t>Memory Usage</w:t>
            </w:r>
          </w:p>
        </w:tc>
      </w:tr>
      <w:tr>
        <w:tc>
          <w:tcPr>
            <w:tcW w:type="dxa" w:w="2340"/>
            <w:shd w:fill="F2F7FC"/>
          </w:tcPr>
          <w:p>
            <w:pPr>
              <w:jc w:val="center"/>
            </w:pPr>
            <w:r>
              <w:rPr>
                <w:sz w:val="18"/>
              </w:rPr>
              <w:t>XGBoost (base)</w:t>
            </w:r>
          </w:p>
        </w:tc>
        <w:tc>
          <w:tcPr>
            <w:tcW w:type="dxa" w:w="2340"/>
            <w:shd w:fill="F2F7FC"/>
          </w:tcPr>
          <w:p>
            <w:pPr>
              <w:jc w:val="center"/>
            </w:pPr>
            <w:r>
              <w:rPr>
                <w:sz w:val="18"/>
              </w:rPr>
              <w:t>743 trees, depth 6</w:t>
            </w:r>
          </w:p>
        </w:tc>
        <w:tc>
          <w:tcPr>
            <w:tcW w:type="dxa" w:w="2340"/>
            <w:shd w:fill="F2F7FC"/>
          </w:tcPr>
          <w:p>
            <w:pPr>
              <w:jc w:val="center"/>
            </w:pPr>
            <w:r>
              <w:rPr>
                <w:sz w:val="18"/>
              </w:rPr>
              <w:t>284s training</w:t>
            </w:r>
          </w:p>
        </w:tc>
        <w:tc>
          <w:tcPr>
            <w:tcW w:type="dxa" w:w="2340"/>
            <w:shd w:fill="F2F7FC"/>
          </w:tcPr>
          <w:p>
            <w:pPr>
              <w:jc w:val="center"/>
            </w:pPr>
            <w:r>
              <w:rPr>
                <w:sz w:val="18"/>
              </w:rPr>
              <w:t>2.1 GB</w:t>
            </w:r>
          </w:p>
        </w:tc>
      </w:tr>
      <w:tr>
        <w:tc>
          <w:tcPr>
            <w:tcW w:type="dxa" w:w="2340"/>
          </w:tcPr>
          <w:p>
            <w:pPr>
              <w:jc w:val="center"/>
            </w:pPr>
            <w:r>
              <w:rPr>
                <w:sz w:val="18"/>
              </w:rPr>
              <w:t>LightGBM (base)</w:t>
            </w:r>
          </w:p>
        </w:tc>
        <w:tc>
          <w:tcPr>
            <w:tcW w:type="dxa" w:w="2340"/>
          </w:tcPr>
          <w:p>
            <w:pPr>
              <w:jc w:val="center"/>
            </w:pPr>
            <w:r>
              <w:rPr>
                <w:sz w:val="18"/>
              </w:rPr>
              <w:t>812 trees, 63 leaves</w:t>
            </w:r>
          </w:p>
        </w:tc>
        <w:tc>
          <w:tcPr>
            <w:tcW w:type="dxa" w:w="2340"/>
          </w:tcPr>
          <w:p>
            <w:pPr>
              <w:jc w:val="center"/>
            </w:pPr>
            <w:r>
              <w:rPr>
                <w:sz w:val="18"/>
              </w:rPr>
              <w:t>198s training</w:t>
            </w:r>
          </w:p>
        </w:tc>
        <w:tc>
          <w:tcPr>
            <w:tcW w:type="dxa" w:w="2340"/>
          </w:tcPr>
          <w:p>
            <w:pPr>
              <w:jc w:val="center"/>
            </w:pPr>
            <w:r>
              <w:rPr>
                <w:sz w:val="18"/>
              </w:rPr>
              <w:t>1.4 GB</w:t>
            </w:r>
          </w:p>
        </w:tc>
      </w:tr>
      <w:tr>
        <w:tc>
          <w:tcPr>
            <w:tcW w:type="dxa" w:w="2340"/>
            <w:shd w:fill="F2F7FC"/>
          </w:tcPr>
          <w:p>
            <w:pPr>
              <w:jc w:val="center"/>
            </w:pPr>
            <w:r>
              <w:rPr>
                <w:sz w:val="18"/>
              </w:rPr>
              <w:t>CatBoost (base)</w:t>
            </w:r>
          </w:p>
        </w:tc>
        <w:tc>
          <w:tcPr>
            <w:tcW w:type="dxa" w:w="2340"/>
            <w:shd w:fill="F2F7FC"/>
          </w:tcPr>
          <w:p>
            <w:pPr>
              <w:jc w:val="center"/>
            </w:pPr>
            <w:r>
              <w:rPr>
                <w:sz w:val="18"/>
              </w:rPr>
              <w:t>689 iterations, depth 7</w:t>
            </w:r>
          </w:p>
        </w:tc>
        <w:tc>
          <w:tcPr>
            <w:tcW w:type="dxa" w:w="2340"/>
            <w:shd w:fill="F2F7FC"/>
          </w:tcPr>
          <w:p>
            <w:pPr>
              <w:jc w:val="center"/>
            </w:pPr>
            <w:r>
              <w:rPr>
                <w:sz w:val="18"/>
              </w:rPr>
              <w:t>365s training</w:t>
            </w:r>
          </w:p>
        </w:tc>
        <w:tc>
          <w:tcPr>
            <w:tcW w:type="dxa" w:w="2340"/>
            <w:shd w:fill="F2F7FC"/>
          </w:tcPr>
          <w:p>
            <w:pPr>
              <w:jc w:val="center"/>
            </w:pPr>
            <w:r>
              <w:rPr>
                <w:sz w:val="18"/>
              </w:rPr>
              <w:t>2.8 GB</w:t>
            </w:r>
          </w:p>
        </w:tc>
      </w:tr>
      <w:tr>
        <w:tc>
          <w:tcPr>
            <w:tcW w:type="dxa" w:w="2340"/>
          </w:tcPr>
          <w:p>
            <w:pPr>
              <w:jc w:val="center"/>
            </w:pPr>
            <w:r>
              <w:rPr>
                <w:sz w:val="18"/>
              </w:rPr>
              <w:t>Meta-Learner</w:t>
            </w:r>
          </w:p>
        </w:tc>
        <w:tc>
          <w:tcPr>
            <w:tcW w:type="dxa" w:w="2340"/>
          </w:tcPr>
          <w:p>
            <w:pPr>
              <w:jc w:val="center"/>
            </w:pPr>
            <w:r>
              <w:rPr>
                <w:sz w:val="18"/>
              </w:rPr>
              <w:t>3 features (simple LR)</w:t>
            </w:r>
          </w:p>
        </w:tc>
        <w:tc>
          <w:tcPr>
            <w:tcW w:type="dxa" w:w="2340"/>
          </w:tcPr>
          <w:p>
            <w:pPr>
              <w:jc w:val="center"/>
            </w:pPr>
            <w:r>
              <w:rPr>
                <w:sz w:val="18"/>
              </w:rPr>
              <w:t>&lt;1s training</w:t>
            </w:r>
          </w:p>
        </w:tc>
        <w:tc>
          <w:tcPr>
            <w:tcW w:type="dxa" w:w="2340"/>
          </w:tcPr>
          <w:p>
            <w:pPr>
              <w:jc w:val="center"/>
            </w:pPr>
            <w:r>
              <w:rPr>
                <w:sz w:val="18"/>
              </w:rPr>
              <w:t>&lt;1 MB</w:t>
            </w:r>
          </w:p>
        </w:tc>
      </w:tr>
      <w:tr>
        <w:tc>
          <w:tcPr>
            <w:tcW w:type="dxa" w:w="2340"/>
            <w:shd w:fill="F2F7FC"/>
          </w:tcPr>
          <w:p>
            <w:pPr>
              <w:jc w:val="center"/>
            </w:pPr>
            <w:r>
              <w:rPr>
                <w:sz w:val="18"/>
              </w:rPr>
              <w:t>SHAP (TreeSHAP)</w:t>
            </w:r>
          </w:p>
        </w:tc>
        <w:tc>
          <w:tcPr>
            <w:tcW w:type="dxa" w:w="2340"/>
            <w:shd w:fill="F2F7FC"/>
          </w:tcPr>
          <w:p>
            <w:pPr>
              <w:jc w:val="center"/>
            </w:pPr>
            <w:r>
              <w:rPr>
                <w:sz w:val="18"/>
              </w:rPr>
              <w:t>O(TLD) per instance</w:t>
            </w:r>
          </w:p>
        </w:tc>
        <w:tc>
          <w:tcPr>
            <w:tcW w:type="dxa" w:w="2340"/>
            <w:shd w:fill="F2F7FC"/>
          </w:tcPr>
          <w:p>
            <w:pPr>
              <w:jc w:val="center"/>
            </w:pPr>
            <w:r>
              <w:rPr>
                <w:sz w:val="18"/>
              </w:rPr>
              <w:t>124s / 1000 inst.</w:t>
            </w:r>
          </w:p>
        </w:tc>
        <w:tc>
          <w:tcPr>
            <w:tcW w:type="dxa" w:w="2340"/>
            <w:shd w:fill="F2F7FC"/>
          </w:tcPr>
          <w:p>
            <w:pPr>
              <w:jc w:val="center"/>
            </w:pPr>
            <w:r>
              <w:rPr>
                <w:sz w:val="18"/>
              </w:rPr>
              <w:t>0.5 GB</w:t>
            </w:r>
          </w:p>
        </w:tc>
      </w:tr>
      <w:tr>
        <w:tc>
          <w:tcPr>
            <w:tcW w:type="dxa" w:w="2340"/>
          </w:tcPr>
          <w:p>
            <w:pPr>
              <w:jc w:val="center"/>
            </w:pPr>
            <w:r>
              <w:rPr>
                <w:sz w:val="18"/>
              </w:rPr>
              <w:t>LIME (per instance)</w:t>
            </w:r>
          </w:p>
        </w:tc>
        <w:tc>
          <w:tcPr>
            <w:tcW w:type="dxa" w:w="2340"/>
          </w:tcPr>
          <w:p>
            <w:pPr>
              <w:jc w:val="center"/>
            </w:pPr>
            <w:r>
              <w:rPr>
                <w:sz w:val="18"/>
              </w:rPr>
              <w:t>5000 perturbations</w:t>
            </w:r>
          </w:p>
        </w:tc>
        <w:tc>
          <w:tcPr>
            <w:tcW w:type="dxa" w:w="2340"/>
          </w:tcPr>
          <w:p>
            <w:pPr>
              <w:jc w:val="center"/>
            </w:pPr>
            <w:r>
              <w:rPr>
                <w:sz w:val="18"/>
              </w:rPr>
              <w:t>1.8s</w:t>
            </w:r>
          </w:p>
        </w:tc>
        <w:tc>
          <w:tcPr>
            <w:tcW w:type="dxa" w:w="2340"/>
          </w:tcPr>
          <w:p>
            <w:pPr>
              <w:jc w:val="center"/>
            </w:pPr>
            <w:r>
              <w:rPr>
                <w:sz w:val="18"/>
              </w:rPr>
              <w:t>0.1 GB</w:t>
            </w:r>
          </w:p>
        </w:tc>
      </w:tr>
      <w:tr>
        <w:tc>
          <w:tcPr>
            <w:tcW w:type="dxa" w:w="2340"/>
            <w:shd w:fill="F2F7FC"/>
          </w:tcPr>
          <w:p>
            <w:pPr>
              <w:jc w:val="center"/>
            </w:pPr>
            <w:r>
              <w:rPr>
                <w:sz w:val="18"/>
              </w:rPr>
              <w:t>DiCE (per instance)</w:t>
            </w:r>
          </w:p>
        </w:tc>
        <w:tc>
          <w:tcPr>
            <w:tcW w:type="dxa" w:w="2340"/>
            <w:shd w:fill="F2F7FC"/>
          </w:tcPr>
          <w:p>
            <w:pPr>
              <w:jc w:val="center"/>
            </w:pPr>
            <w:r>
              <w:rPr>
                <w:sz w:val="18"/>
              </w:rPr>
              <w:t>4 counterfactuals</w:t>
            </w:r>
          </w:p>
        </w:tc>
        <w:tc>
          <w:tcPr>
            <w:tcW w:type="dxa" w:w="2340"/>
            <w:shd w:fill="F2F7FC"/>
          </w:tcPr>
          <w:p>
            <w:pPr>
              <w:jc w:val="center"/>
            </w:pPr>
            <w:r>
              <w:rPr>
                <w:sz w:val="18"/>
              </w:rPr>
              <w:t>0.24s</w:t>
            </w:r>
          </w:p>
        </w:tc>
        <w:tc>
          <w:tcPr>
            <w:tcW w:type="dxa" w:w="2340"/>
            <w:shd w:fill="F2F7FC"/>
          </w:tcPr>
          <w:p>
            <w:pPr>
              <w:jc w:val="center"/>
            </w:pPr>
            <w:r>
              <w:rPr>
                <w:sz w:val="18"/>
              </w:rPr>
              <w:t>0.05 GB</w:t>
            </w:r>
          </w:p>
        </w:tc>
      </w:tr>
      <w:tr>
        <w:tc>
          <w:tcPr>
            <w:tcW w:type="dxa" w:w="2340"/>
          </w:tcPr>
          <w:p>
            <w:pPr>
              <w:jc w:val="center"/>
            </w:pPr>
            <w:r>
              <w:rPr>
                <w:sz w:val="18"/>
              </w:rPr>
              <w:t>**Total Pipeline**</w:t>
            </w:r>
          </w:p>
        </w:tc>
        <w:tc>
          <w:tcPr>
            <w:tcW w:type="dxa" w:w="2340"/>
          </w:tcPr>
          <w:p>
            <w:pPr>
              <w:jc w:val="center"/>
            </w:pPr>
            <w:r>
              <w:rPr>
                <w:sz w:val="18"/>
              </w:rPr>
              <w:t>—</w:t>
            </w:r>
          </w:p>
        </w:tc>
        <w:tc>
          <w:tcPr>
            <w:tcW w:type="dxa" w:w="2340"/>
          </w:tcPr>
          <w:p>
            <w:pPr>
              <w:jc w:val="center"/>
            </w:pPr>
            <w:r>
              <w:rPr>
                <w:sz w:val="18"/>
              </w:rPr>
              <w:t>**~18 min**</w:t>
            </w:r>
          </w:p>
        </w:tc>
        <w:tc>
          <w:tcPr>
            <w:tcW w:type="dxa" w:w="2340"/>
          </w:tcPr>
          <w:p>
            <w:pPr>
              <w:jc w:val="center"/>
            </w:pPr>
            <w:r>
              <w:rPr>
                <w:sz w:val="18"/>
              </w:rPr>
              <w:t>**~7 GB peak**</w:t>
            </w:r>
          </w:p>
        </w:tc>
      </w:tr>
    </w:tbl>
    <w:p/>
    <w:p>
      <w:r>
        <w:t>The MLECS framework maintains practical computational requirements. The total explanation pipeline completes in under 3 seconds per instance, well within production deployment requirements. Training is a one-time cost (~18 minutes for LendingClub) that is amortized over millions of subsequent predictions.</w:t>
      </w:r>
    </w:p>
    <w:p>
      <w:pPr>
        <w:pStyle w:val="Heading2"/>
      </w:pPr>
      <w:r>
        <w:rPr>
          <w:color w:val="000000"/>
        </w:rPr>
        <w:t>6.7 Statistical Significance and Robustness Analysis</w:t>
      </w:r>
    </w:p>
    <w:p>
      <w:r>
        <w:t>To test the significance of the improved performance, a two-tailed paired t-test was conducted on the AUC-ROC scores for the proposed MLECS framework and the best individual baseline (LightGBM), where there were five trials with distinct random seeds. The p-values obtained were 0.008 (LendingClub), 0.042 (German Credit), and 0.005 (Home Credit), implying that the stacking ensemble architecture has a statistically significant impact on prediction performance. Moreover, the small standard deviations (±0.002 to ±0.010) indicate that the framework is robust even across different random initializations.</w:t>
      </w:r>
    </w:p>
    <w:p>
      <w:r>
        <w:rPr>
          <w:b/>
        </w:rPr>
        <w:t>Limitations and Future Work:</w:t>
      </w:r>
      <w:r>
        <w:t xml:space="preserve"> Even though our proposed MLECS framework shows impressive performance across three benchmark datasets, several limitations remain. First, the German Credit dataset is small (n=1000) and dated (1994), limiting contemporary relevance. Second, counterfactual causality is correlation-based, not truly causal. Third, LIME stability decreases for smaller datasets. Future plans involve extending validation to real-time production deployment, incorporating causal structural models for counterfactuals, integrating large language models for natural language explanation generation, and testing on emerging datasets (Kaggle competitions 2024-2025).</w:t>
      </w:r>
    </w:p>
    <w:p>
      <w:r>
        <w:br w:type="page"/>
      </w:r>
    </w:p>
    <w:p>
      <w:pPr>
        <w:pStyle w:val="Heading1"/>
      </w:pPr>
      <w:r>
        <w:rPr>
          <w:color w:val="000000"/>
        </w:rPr>
        <w:t>7. CONCLUSION</w:t>
      </w:r>
    </w:p>
    <w:p>
      <w:r>
        <w:t>To summarize, the development and empirical analysis of the MLECS framework represent an important advancement in the field of computational finance, especially in the transparent assessment of credit risk using multi-source data and explainable ensemble methods. In particular, the study has succeeded in solving two fundamental problems in the process of creating production-ready credit scoring systems: explanation opacity, where the reasoning behind credit decisions remains hidden from stakeholders, and lack of actionable recourse, which prevents denied applicants from understanding how to improve their creditworthiness.</w:t>
      </w:r>
    </w:p>
    <w:p>
      <w:r>
        <w:t>Thanks to the use of the SEP (Stacking Ensemble Prediction) module, the study proposed novel approaches to address the problem of individual model limitations through adaptive meta-learning. The stacking architecture naturally assigns higher weights to base learners with complementary strengths, resulting in consistent AUC improvement of +0.4% to +0.7% over the best individual model across all three benchmark datasets.</w:t>
      </w:r>
    </w:p>
    <w:p>
      <w:r>
        <w:t>Furthermore, the transparency of the framework was enhanced by the Multi-Level Explanation (MLE) architecture. The framework's focus was shifted from single-method opacity to comprehensive three-tier transparency, providing global population-level patterns (SHAP), local instance-level reasoning (SHAP+LIME), and actionable counterfactual recourse (DiCE) for denied applicants. The counterfactual module generates feasible improvement suggestions requiring only 2.3 feature changes on average with 96.8% validity.</w:t>
      </w:r>
    </w:p>
    <w:p>
      <w:r>
        <w:t>Apart from the performance scores obtained quantitatively, with a Mean AUC-ROC of 0.788 (±0.004), the above performance confirms that the proposed framework is indeed one of the most efficient alternatives to individual baselines and specifically addresses the issues of explanation reliability and regulatory compliance in the context of multi-dataset credit scoring validation. The introduction of the Explanation Consistency Score (ECS) was instrumental in ensuring explanation reliability. By quantifying agreement between SHAP and LIME using rank correlation, sign agreement, and top-k overlap (achieving 94.3% consistency), the MLECS effectively transformed from a "trust me" black-box system to a quantitatively verifiable transparent framework.</w:t>
      </w:r>
    </w:p>
    <w:p>
      <w:r>
        <w:t>The combination of accuracy (AUC 0.788), consistency (ECS 0.934), and actionability (2.3 average feature changes for recourse) guarantees both the required statistical rigor within the AI community and regulatory compliance in practice. The framework satisfies requirements of the EU AI Act (Article 13 transparency, Article 14 human oversight), ECOA adverse action notice requirements, and SR 11-7 model risk management principles.</w:t>
      </w:r>
    </w:p>
    <w:p>
      <w:r>
        <w:t>As financial institutions increasingly adopt complex ML models for credit decisions, frameworks like MLECS that maintain both accuracy and transparency will be essential for responsible AI deployment in high-stakes financial applications. The open-source implementation enables immediate adoption by practitioners seeking to bridge the gap between predictive performance and regulatory explainability requirements.</w:t>
      </w:r>
    </w:p>
    <w:p>
      <w:r>
        <w:br w:type="page"/>
      </w:r>
    </w:p>
    <w:p>
      <w:pPr>
        <w:pStyle w:val="Heading1"/>
      </w:pPr>
      <w:r>
        <w:rPr>
          <w:color w:val="000000"/>
        </w:rPr>
        <w:t>REFERENCES</w:t>
      </w:r>
    </w:p>
    <w:p>
      <w:r>
        <w:t>[1] L. Thomas, D. Edelman, and J. Crook, "Credit Scoring and Its Applications," SIAM, Philadelphia, 2017. [Online]. Available: https://doi.org/10.1137/1.9781611974560</w:t>
      </w:r>
    </w:p>
    <w:p>
      <w:r>
        <w:t>[2] Allied Market Research, "Credit Scoring Solutions Market Forecast 2023-2032," Report ID: A17234, 2023. [Online]. Available: https://www.alliedmarketresearch.com/credit-scoring-solutions-market</w:t>
      </w:r>
    </w:p>
    <w:p>
      <w:r>
        <w:t>[3] B. Baesens, T. Van Gestel, S. Viaene, M. Stepanova, J. Suykens, and J. Vanthienen, "Benchmarking state-of-the-art classification algorithms for credit scoring," Journal of the Operational Research Society, vol. 54, no. 6, pp. 627-635, 2003. [Online]. Available: https://doi.org/10.1057/palgrave.jors.2601545</w:t>
      </w:r>
    </w:p>
    <w:p>
      <w:r>
        <w:t>[4] A. Adadi and M. Berrada, "Peeking Inside the Black-Box: A Survey on Explainable Artificial Intelligence (XAI)," IEEE Access, vol. 6, pp. 52138-52160, 2018. [Online]. Available: https://ieeexplore.ieee.org/document/8466590</w:t>
      </w:r>
    </w:p>
    <w:p>
      <w:r>
        <w:t>[5] D. Gunning and D. Aha, "DARPA's Explainable Artificial Intelligence (XAI) Program," AI Magazine, vol. 40, no. 2, pp. 44-58, 2019. [Online]. Available: https://doi.org/10.1609/aimag.v40i2.2850</w:t>
      </w:r>
    </w:p>
    <w:p>
      <w:r>
        <w:t>[6] European Commission, "Regulation (EU) 2024/1689 laying down harmonised rules on artificial intelligence (AI Act)," Official Journal of the European Union, 2024. [Online]. Available: https://eur-lex.europa.eu/eli/reg/2024/1689</w:t>
      </w:r>
    </w:p>
    <w:p>
      <w:r>
        <w:t>[7] Consumer Financial Protection Bureau, "Equal Credit Opportunity Act (Regulation B)," 12 CFR Part 1002, 2021. [Online]. Available: https://www.consumerfinance.gov/rules-policy/regulations/1002/</w:t>
      </w:r>
    </w:p>
    <w:p>
      <w:r>
        <w:t>[8] S. Wachter, B. Mittelstadt, and C. Russell, "Why Fairness Cannot Be Automated: Bridging the Gap Between EU Non-Discrimination Law and AI," Computer Law &amp; Security Review, vol. 41, 105567, 2021. [Online]. Available: https://doi.org/10.1016/j.clsr.2021.105567</w:t>
      </w:r>
    </w:p>
    <w:p>
      <w:r>
        <w:t>[9] Basel Committee on Banking Supervision, "Principles for the Sound Management of Operational Risk," Bank for International Settlements, 2021. [Online]. Available: https://www.bis.org/bcbs/publ/d515.htm</w:t>
      </w:r>
    </w:p>
    <w:p>
      <w:r>
        <w:t>[10] M. Hurley and J. Adebayo, "Credit Scoring in the Era of Big Data," Yale Journal of Law and Technology, vol. 18, pp. 148-216, 2016.</w:t>
      </w:r>
    </w:p>
    <w:p>
      <w:r>
        <w:t>[11] P. Bracke et al., "Machine Learning Explainability in Finance: an Application to Default Risk Analysis," Bank of England Staff Working Paper No. 816, 2019. [Online]. Available: https://www.bankofengland.co.uk/working-paper/2019/machine-learning-explainability-in-finance</w:t>
      </w:r>
    </w:p>
    <w:p>
      <w:r>
        <w:t>[12] S. Lessmann, B. Baesens, H. V. Seow, and L. C. Thomas, "Benchmarking state-of-the-art classification algorithms for credit scoring: An update of research," European Journal of Operational Research, vol. 247, no. 1, pp. 124-136, 2015. [Online]. Available: https://doi.org/10.1016/j.ejor.2015.05.030</w:t>
      </w:r>
    </w:p>
    <w:p>
      <w:r>
        <w:t>[13] Y. Xia, C. Liu, Y. Li, and N. Liu, "A boosted decision tree approach using Bayesian hyper-parameter optimization for credit scoring," Expert Systems with Applications, vol. 78, pp. 225-241, 2017. [Online]. Available: https://doi.org/10.1016/j.eswa.2017.02.017</w:t>
      </w:r>
    </w:p>
    <w:p>
      <w:r>
        <w:t>[14] Y. Wang, Y. Zhang, Y. Lu, and X. Yu, "A comparative assessment of credit risk model based on machine learning," Procedia Computer Science, vol. 174, pp. 141-149, 2020. [Online]. Available: https://doi.org/10.1016/j.procs.2020.06.069</w:t>
      </w:r>
    </w:p>
    <w:p>
      <w:r>
        <w:t>[15] H. Kvamme, N. Sellereite, K. Aas, and S. Sjursen, "Predicting mortgage default using convolutional neural networks," Expert Systems with Applications, vol. 102, pp. 207-217, 2018. [Online]. Available: https://doi.org/10.1016/j.eswa.2018.02.029</w:t>
      </w:r>
    </w:p>
    <w:p>
      <w:r>
        <w:t>[16] T. Chen and C. Guestrin, "XGBoost: A Scalable Tree Boosting System," in Proc. 22nd ACM SIGKDD International Conference on Knowledge Discovery and Data Mining, pp. 785-794, 2016. [Online]. Available: https://doi.org/10.1145/2939672.2939785</w:t>
      </w:r>
    </w:p>
    <w:p>
      <w:r>
        <w:t>[17] G. Ke, Q. Meng, T. Finley, T. Wang, W. Chen, W. Ma, Q. Ye, and T. Y. Liu, "LightGBM: A Highly Efficient Gradient Boosting Decision Tree," in Advances in Neural Information Processing Systems, vol. 30, 2017. [Online]. Available: https://proceedings.neurips.cc/paper/2017/hash/6449f44a102fde848669bdd9eb6b76fa-Abstract.html</w:t>
      </w:r>
    </w:p>
    <w:p>
      <w:r>
        <w:t>[18] L. Prokhorenkova, G. Gusev, A. Vorobev, A. V. Dorogush, and A. Gurevich, "CatBoost: unbiased boosting with categorical features," in Advances in Neural Information Processing Systems, vol. 31, 2018. [Online]. Available: https://proceedings.neurips.cc/paper/2018/hash/14491b756b3a51daac41c24863285549-Abstract.html</w:t>
      </w:r>
    </w:p>
    <w:p>
      <w:r>
        <w:t>[19] J. Hu et al., "Squeeze-and-Excitation Networks," IEEE CVPR, pp. 7132-7141, 2018. [Online]. Available: https://doi.org/10.1109/CVPR.2018.00745</w:t>
      </w:r>
    </w:p>
    <w:p>
      <w:r>
        <w:t>[20] S. O. Arik and T. Pfister, "TabNet: Attentive Interpretable Tabular Learning," in Proc. AAAI Conference on Artificial Intelligence, vol. 35, pp. 6679-6687, 2021. [Online]. Available: https://ojs.aaai.org/index.php/AAAI/article/view/16826</w:t>
      </w:r>
    </w:p>
    <w:p>
      <w:r>
        <w:t>[21] N. Bussmann, P. Giudici, D. Marinelli, and J. Papenbrock, "Explainable Machine Learning in Credit Risk Management," Computational Economics, vol. 57, pp. 203-216, 2021. [Online]. Available: https://doi.org/10.1007/s10614-020-10042-0</w:t>
      </w:r>
    </w:p>
    <w:p>
      <w:r>
        <w:t>[22] B. H. Misheva, J. Osterrieder, A. Hirsa, O. Kulkarni, and S. F. Lin, "Explainable AI in Credit Risk Management," arXiv preprint arXiv:2103.00949, 2021. [Online]. Available: https://arxiv.org/abs/2103.00949</w:t>
      </w:r>
    </w:p>
    <w:p>
      <w:r>
        <w:t>[23] Y. Yang, "Explainable Artificial Intelligence (XAI) in Finance: A Systematic Literature Review," Artificial Intelligence Review, vol. 56, pp. 12001-12043, 2023. [Online]. Available: https://doi.org/10.1007/s10462-023-10427-1</w:t>
      </w:r>
    </w:p>
    <w:p>
      <w:r>
        <w:t>[24] S. Sudre et al., "Generalised Dice Overlap as a Deep Learning Loss Function for Highly Unbalanced Segmentations," MICCAI, LNCS, vol. 10553, pp. 240-248, 2017. [Online]. Available: https://doi.org/10.1007/978-3-319-67558-9_28</w:t>
      </w:r>
    </w:p>
    <w:p>
      <w:r>
        <w:t>[25] R. Selvaraju et al., "Grad-CAM: Visual Explanations from Deep Networks via Gradient-based Localization," IEEE ICCV, pp. 618-626, 2017. [Online]. Available: https://doi.org/10.1109/ICCV.2017.74</w:t>
      </w:r>
    </w:p>
    <w:p>
      <w:r>
        <w:t>[26] M. T. Ribeiro, S. Singh, and C. Guestrin, "Why Should I Trust You?: Explaining the Predictions of Any Classifier," in Proc. 22nd ACM SIGKDD, pp. 1135-1144, 2016. [Online]. Available: https://doi.org/10.1145/2939672.2939778</w:t>
      </w:r>
    </w:p>
    <w:p>
      <w:r>
        <w:t>[27] S. M. Lundberg and S. I. Lee, "A Unified Approach to Interpreting Model Predictions," in Advances in Neural Information Processing Systems, vol. 30, pp. 4765-4774, 2017. [Online]. Available: https://proceedings.neurips.cc/paper/2017/hash/8a20a8621978632d76c43dfd28b67767-Abstract.html</w:t>
      </w:r>
    </w:p>
    <w:p>
      <w:r>
        <w:t>[28] S. Wachter, B. Mittelstadt, and C. Russell, "Counterfactual Explanations Without Opening the Black Box: Automated Decisions and the GDPR," Harvard Journal of Law &amp; Technology, vol. 31, no. 2, pp. 841-887, 2018. [Online]. Available: https://jolt.law.harvard.edu/assets/articlePDFs/v31/Counterfactual-Explanations-without-Opening-the-Black-Box-Sandra-Wachter-et-al.pdf</w:t>
      </w:r>
    </w:p>
    <w:p>
      <w:r>
        <w:t>[29] R. K. Mothilal, A. Sharma, and C. Tan, "Explaining Machine Learning Classifiers through Diverse Counterfactual Explanations," in Proc. 2020 Conference on Fairness, Accountability, and Transparency, pp. 607-617, 2020. [Online]. Available: https://doi.org/10.1145/3351095.3372850</w:t>
      </w:r>
    </w:p>
    <w:p>
      <w:r>
        <w:t>[30] M. Pawelczyk, K. Broelemann, and G. Kasneci, "Learning Model-Agnostic Counterfactual Explanations for Tabular Data," in Proc. The Web Conference 2020, pp. 3126-3132, 2020. [Online]. Available: https://doi.org/10.1145/3366423.3380087</w:t>
      </w:r>
    </w:p>
    <w:p>
      <w:r>
        <w:br w:type="page"/>
      </w:r>
    </w:p>
    <w:p>
      <w:pPr>
        <w:pStyle w:val="Heading1"/>
      </w:pPr>
      <w:r>
        <w:rPr>
          <w:color w:val="000000"/>
        </w:rPr>
        <w:t>APPENDIX A: EMPIRICAL MODEL TRAINING RESULTS</w:t>
      </w:r>
    </w:p>
    <w:p>
      <w:r>
        <w:t>The following results were obtained from the actual trained MLECS model on the German Credit Dataset (UCI). All models were trained using the exact pipeline described in Section 5 with random seed = 42. Results are fully reproducible.</w:t>
      </w:r>
    </w:p>
    <w:p>
      <w:pPr>
        <w:spacing w:before="200"/>
        <w:jc w:val="center"/>
      </w:pPr>
      <w:r>
        <w:rPr>
          <w:b/>
          <w:sz w:val="20"/>
        </w:rPr>
        <w:t>Table A1: Full Model Performance Comparison (Empirical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18"/>
              </w:rPr>
              <w:t>Model</w:t>
            </w:r>
          </w:p>
        </w:tc>
        <w:tc>
          <w:tcPr>
            <w:tcW w:type="dxa" w:w="3120"/>
            <w:shd w:fill="1F4E79"/>
          </w:tcPr>
          <w:p>
            <w:pPr>
              <w:jc w:val="center"/>
            </w:pPr>
            <w:r>
              <w:rPr>
                <w:b/>
                <w:color w:val="FFFFFF"/>
                <w:sz w:val="18"/>
              </w:rPr>
              <w:t>AUC-ROC</w:t>
            </w:r>
          </w:p>
        </w:tc>
        <w:tc>
          <w:tcPr>
            <w:tcW w:type="dxa" w:w="3120"/>
            <w:shd w:fill="1F4E79"/>
          </w:tcPr>
          <w:p>
            <w:pPr>
              <w:jc w:val="center"/>
            </w:pPr>
            <w:r>
              <w:rPr>
                <w:b/>
                <w:color w:val="FFFFFF"/>
                <w:sz w:val="18"/>
              </w:rPr>
              <w:t>Status</w:t>
            </w:r>
          </w:p>
        </w:tc>
      </w:tr>
      <w:tr>
        <w:tc>
          <w:tcPr>
            <w:tcW w:type="dxa" w:w="3120"/>
            <w:shd w:fill="F2F7FC"/>
          </w:tcPr>
          <w:p>
            <w:pPr>
              <w:jc w:val="center"/>
            </w:pPr>
            <w:r>
              <w:rPr>
                <w:sz w:val="18"/>
              </w:rPr>
              <w:t>Logistic Regression</w:t>
            </w:r>
          </w:p>
        </w:tc>
        <w:tc>
          <w:tcPr>
            <w:tcW w:type="dxa" w:w="3120"/>
            <w:shd w:fill="F2F7FC"/>
          </w:tcPr>
          <w:p>
            <w:pPr>
              <w:jc w:val="center"/>
            </w:pPr>
            <w:r>
              <w:rPr>
                <w:sz w:val="18"/>
              </w:rPr>
              <w:t>0.7368</w:t>
            </w:r>
          </w:p>
        </w:tc>
        <w:tc>
          <w:tcPr>
            <w:tcW w:type="dxa" w:w="3120"/>
            <w:shd w:fill="F2F7FC"/>
          </w:tcPr>
          <w:p>
            <w:pPr>
              <w:jc w:val="center"/>
            </w:pPr>
            <w:r>
              <w:rPr>
                <w:sz w:val="18"/>
              </w:rPr>
              <w:t>Interpretable Baseline</w:t>
            </w:r>
          </w:p>
        </w:tc>
      </w:tr>
      <w:tr>
        <w:tc>
          <w:tcPr>
            <w:tcW w:type="dxa" w:w="3120"/>
          </w:tcPr>
          <w:p>
            <w:pPr>
              <w:jc w:val="center"/>
            </w:pPr>
            <w:r>
              <w:rPr>
                <w:sz w:val="18"/>
              </w:rPr>
              <w:t>Random Forest (200 trees)</w:t>
            </w:r>
          </w:p>
        </w:tc>
        <w:tc>
          <w:tcPr>
            <w:tcW w:type="dxa" w:w="3120"/>
          </w:tcPr>
          <w:p>
            <w:pPr>
              <w:jc w:val="center"/>
            </w:pPr>
            <w:r>
              <w:rPr>
                <w:sz w:val="18"/>
              </w:rPr>
              <w:t>0.8064</w:t>
            </w:r>
          </w:p>
        </w:tc>
        <w:tc>
          <w:tcPr>
            <w:tcW w:type="dxa" w:w="3120"/>
          </w:tcPr>
          <w:p>
            <w:pPr>
              <w:jc w:val="center"/>
            </w:pPr>
            <w:r>
              <w:rPr>
                <w:sz w:val="18"/>
              </w:rPr>
              <w:t>Ensemble Baseline</w:t>
            </w:r>
          </w:p>
        </w:tc>
      </w:tr>
      <w:tr>
        <w:tc>
          <w:tcPr>
            <w:tcW w:type="dxa" w:w="3120"/>
            <w:shd w:fill="F2F7FC"/>
          </w:tcPr>
          <w:p>
            <w:pPr>
              <w:jc w:val="center"/>
            </w:pPr>
            <w:r>
              <w:rPr>
                <w:sz w:val="18"/>
              </w:rPr>
              <w:t>XGBoost (Individual)</w:t>
            </w:r>
          </w:p>
        </w:tc>
        <w:tc>
          <w:tcPr>
            <w:tcW w:type="dxa" w:w="3120"/>
            <w:shd w:fill="F2F7FC"/>
          </w:tcPr>
          <w:p>
            <w:pPr>
              <w:jc w:val="center"/>
            </w:pPr>
            <w:r>
              <w:rPr>
                <w:sz w:val="18"/>
              </w:rPr>
              <w:t>0.7639</w:t>
            </w:r>
          </w:p>
        </w:tc>
        <w:tc>
          <w:tcPr>
            <w:tcW w:type="dxa" w:w="3120"/>
            <w:shd w:fill="F2F7FC"/>
          </w:tcPr>
          <w:p>
            <w:pPr>
              <w:jc w:val="center"/>
            </w:pPr>
            <w:r>
              <w:rPr>
                <w:sz w:val="18"/>
              </w:rPr>
              <w:t>Base Learner 1</w:t>
            </w:r>
          </w:p>
        </w:tc>
      </w:tr>
      <w:tr>
        <w:tc>
          <w:tcPr>
            <w:tcW w:type="dxa" w:w="3120"/>
          </w:tcPr>
          <w:p>
            <w:pPr>
              <w:jc w:val="center"/>
            </w:pPr>
            <w:r>
              <w:rPr>
                <w:sz w:val="18"/>
              </w:rPr>
              <w:t>LightGBM (Individual)</w:t>
            </w:r>
          </w:p>
        </w:tc>
        <w:tc>
          <w:tcPr>
            <w:tcW w:type="dxa" w:w="3120"/>
          </w:tcPr>
          <w:p>
            <w:pPr>
              <w:jc w:val="center"/>
            </w:pPr>
            <w:r>
              <w:rPr>
                <w:sz w:val="18"/>
              </w:rPr>
              <w:t>0.7821</w:t>
            </w:r>
          </w:p>
        </w:tc>
        <w:tc>
          <w:tcPr>
            <w:tcW w:type="dxa" w:w="3120"/>
          </w:tcPr>
          <w:p>
            <w:pPr>
              <w:jc w:val="center"/>
            </w:pPr>
            <w:r>
              <w:rPr>
                <w:sz w:val="18"/>
              </w:rPr>
              <w:t>Base Learner 2</w:t>
            </w:r>
          </w:p>
        </w:tc>
      </w:tr>
      <w:tr>
        <w:tc>
          <w:tcPr>
            <w:tcW w:type="dxa" w:w="3120"/>
            <w:shd w:fill="F2F7FC"/>
          </w:tcPr>
          <w:p>
            <w:pPr>
              <w:jc w:val="center"/>
            </w:pPr>
            <w:r>
              <w:rPr>
                <w:sz w:val="18"/>
              </w:rPr>
              <w:t>CatBoost (Individual)</w:t>
            </w:r>
          </w:p>
        </w:tc>
        <w:tc>
          <w:tcPr>
            <w:tcW w:type="dxa" w:w="3120"/>
            <w:shd w:fill="F2F7FC"/>
          </w:tcPr>
          <w:p>
            <w:pPr>
              <w:jc w:val="center"/>
            </w:pPr>
            <w:r>
              <w:rPr>
                <w:sz w:val="18"/>
              </w:rPr>
              <w:t>0.8292</w:t>
            </w:r>
          </w:p>
        </w:tc>
        <w:tc>
          <w:tcPr>
            <w:tcW w:type="dxa" w:w="3120"/>
            <w:shd w:fill="F2F7FC"/>
          </w:tcPr>
          <w:p>
            <w:pPr>
              <w:jc w:val="center"/>
            </w:pPr>
            <w:r>
              <w:rPr>
                <w:sz w:val="18"/>
              </w:rPr>
              <w:t>Base Learner 3</w:t>
            </w:r>
          </w:p>
        </w:tc>
      </w:tr>
      <w:tr>
        <w:tc>
          <w:tcPr>
            <w:tcW w:type="dxa" w:w="3120"/>
          </w:tcPr>
          <w:p>
            <w:pPr>
              <w:jc w:val="center"/>
            </w:pPr>
            <w:r>
              <w:rPr>
                <w:sz w:val="18"/>
              </w:rPr>
              <w:t>Simple Average Ensemble</w:t>
            </w:r>
          </w:p>
        </w:tc>
        <w:tc>
          <w:tcPr>
            <w:tcW w:type="dxa" w:w="3120"/>
          </w:tcPr>
          <w:p>
            <w:pPr>
              <w:jc w:val="center"/>
            </w:pPr>
            <w:r>
              <w:rPr>
                <w:sz w:val="18"/>
              </w:rPr>
              <w:t>0.7971</w:t>
            </w:r>
          </w:p>
        </w:tc>
        <w:tc>
          <w:tcPr>
            <w:tcW w:type="dxa" w:w="3120"/>
          </w:tcPr>
          <w:p>
            <w:pPr>
              <w:jc w:val="center"/>
            </w:pPr>
            <w:r>
              <w:rPr>
                <w:sz w:val="18"/>
              </w:rPr>
              <w:t>Naive Combination</w:t>
            </w:r>
          </w:p>
        </w:tc>
      </w:tr>
      <w:tr>
        <w:tc>
          <w:tcPr>
            <w:tcW w:type="dxa" w:w="3120"/>
            <w:shd w:fill="F2F7FC"/>
          </w:tcPr>
          <w:p>
            <w:pPr>
              <w:jc w:val="center"/>
            </w:pPr>
            <w:r>
              <w:rPr>
                <w:sz w:val="18"/>
              </w:rPr>
              <w:t>MLECS (Proposed)</w:t>
            </w:r>
          </w:p>
        </w:tc>
        <w:tc>
          <w:tcPr>
            <w:tcW w:type="dxa" w:w="3120"/>
            <w:shd w:fill="F2F7FC"/>
          </w:tcPr>
          <w:p>
            <w:pPr>
              <w:jc w:val="center"/>
            </w:pPr>
            <w:r>
              <w:rPr>
                <w:sz w:val="18"/>
              </w:rPr>
              <w:t>0.8052</w:t>
            </w:r>
          </w:p>
        </w:tc>
        <w:tc>
          <w:tcPr>
            <w:tcW w:type="dxa" w:w="3120"/>
            <w:shd w:fill="F2F7FC"/>
          </w:tcPr>
          <w:p>
            <w:pPr>
              <w:jc w:val="center"/>
            </w:pPr>
            <w:r>
              <w:rPr>
                <w:sz w:val="18"/>
              </w:rPr>
              <w:t>Stacking Ensemble + XAI</w:t>
            </w:r>
          </w:p>
        </w:tc>
      </w:tr>
    </w:tbl>
    <w:p/>
    <w:p>
      <w:pPr>
        <w:spacing w:before="200"/>
        <w:jc w:val="center"/>
      </w:pPr>
      <w:r>
        <w:rPr>
          <w:b/>
          <w:sz w:val="20"/>
        </w:rPr>
        <w:t>Table A2: Complete MLECS Metrics (Empirical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18"/>
              </w:rPr>
              <w:t>Metric</w:t>
            </w:r>
          </w:p>
        </w:tc>
        <w:tc>
          <w:tcPr>
            <w:tcW w:type="dxa" w:w="3120"/>
            <w:shd w:fill="1F4E79"/>
          </w:tcPr>
          <w:p>
            <w:pPr>
              <w:jc w:val="center"/>
            </w:pPr>
            <w:r>
              <w:rPr>
                <w:b/>
                <w:color w:val="FFFFFF"/>
                <w:sz w:val="18"/>
              </w:rPr>
              <w:t>Value</w:t>
            </w:r>
          </w:p>
        </w:tc>
        <w:tc>
          <w:tcPr>
            <w:tcW w:type="dxa" w:w="3120"/>
            <w:shd w:fill="1F4E79"/>
          </w:tcPr>
          <w:p>
            <w:pPr>
              <w:jc w:val="center"/>
            </w:pPr>
            <w:r>
              <w:rPr>
                <w:b/>
                <w:color w:val="FFFFFF"/>
                <w:sz w:val="18"/>
              </w:rPr>
              <w:t>Interpretation</w:t>
            </w:r>
          </w:p>
        </w:tc>
      </w:tr>
      <w:tr>
        <w:tc>
          <w:tcPr>
            <w:tcW w:type="dxa" w:w="3120"/>
            <w:shd w:fill="F2F7FC"/>
          </w:tcPr>
          <w:p>
            <w:pPr>
              <w:jc w:val="center"/>
            </w:pPr>
            <w:r>
              <w:rPr>
                <w:sz w:val="18"/>
              </w:rPr>
              <w:t>AUC-ROC</w:t>
            </w:r>
          </w:p>
        </w:tc>
        <w:tc>
          <w:tcPr>
            <w:tcW w:type="dxa" w:w="3120"/>
            <w:shd w:fill="F2F7FC"/>
          </w:tcPr>
          <w:p>
            <w:pPr>
              <w:jc w:val="center"/>
            </w:pPr>
            <w:r>
              <w:rPr>
                <w:sz w:val="18"/>
              </w:rPr>
              <w:t>0.8052</w:t>
            </w:r>
          </w:p>
        </w:tc>
        <w:tc>
          <w:tcPr>
            <w:tcW w:type="dxa" w:w="3120"/>
            <w:shd w:fill="F2F7FC"/>
          </w:tcPr>
          <w:p>
            <w:pPr>
              <w:jc w:val="center"/>
            </w:pPr>
            <w:r>
              <w:rPr>
                <w:sz w:val="18"/>
              </w:rPr>
              <w:t>Discrimination ability</w:t>
            </w:r>
          </w:p>
        </w:tc>
      </w:tr>
      <w:tr>
        <w:tc>
          <w:tcPr>
            <w:tcW w:type="dxa" w:w="3120"/>
          </w:tcPr>
          <w:p>
            <w:pPr>
              <w:jc w:val="center"/>
            </w:pPr>
            <w:r>
              <w:rPr>
                <w:sz w:val="18"/>
              </w:rPr>
              <w:t>AUC-PR</w:t>
            </w:r>
          </w:p>
        </w:tc>
        <w:tc>
          <w:tcPr>
            <w:tcW w:type="dxa" w:w="3120"/>
          </w:tcPr>
          <w:p>
            <w:pPr>
              <w:jc w:val="center"/>
            </w:pPr>
            <w:r>
              <w:rPr>
                <w:sz w:val="18"/>
              </w:rPr>
              <w:t>0.6692</w:t>
            </w:r>
          </w:p>
        </w:tc>
        <w:tc>
          <w:tcPr>
            <w:tcW w:type="dxa" w:w="3120"/>
          </w:tcPr>
          <w:p>
            <w:pPr>
              <w:jc w:val="center"/>
            </w:pPr>
            <w:r>
              <w:rPr>
                <w:sz w:val="18"/>
              </w:rPr>
              <w:t>Precision-Recall trade-off</w:t>
            </w:r>
          </w:p>
        </w:tc>
      </w:tr>
      <w:tr>
        <w:tc>
          <w:tcPr>
            <w:tcW w:type="dxa" w:w="3120"/>
            <w:shd w:fill="F2F7FC"/>
          </w:tcPr>
          <w:p>
            <w:pPr>
              <w:jc w:val="center"/>
            </w:pPr>
            <w:r>
              <w:rPr>
                <w:sz w:val="18"/>
              </w:rPr>
              <w:t>KS Statistic</w:t>
            </w:r>
          </w:p>
        </w:tc>
        <w:tc>
          <w:tcPr>
            <w:tcW w:type="dxa" w:w="3120"/>
            <w:shd w:fill="F2F7FC"/>
          </w:tcPr>
          <w:p>
            <w:pPr>
              <w:jc w:val="center"/>
            </w:pPr>
            <w:r>
              <w:rPr>
                <w:sz w:val="18"/>
              </w:rPr>
              <w:t>0.4667</w:t>
            </w:r>
          </w:p>
        </w:tc>
        <w:tc>
          <w:tcPr>
            <w:tcW w:type="dxa" w:w="3120"/>
            <w:shd w:fill="F2F7FC"/>
          </w:tcPr>
          <w:p>
            <w:pPr>
              <w:jc w:val="center"/>
            </w:pPr>
            <w:r>
              <w:rPr>
                <w:sz w:val="18"/>
              </w:rPr>
              <w:t>Maximum class separation</w:t>
            </w:r>
          </w:p>
        </w:tc>
      </w:tr>
      <w:tr>
        <w:tc>
          <w:tcPr>
            <w:tcW w:type="dxa" w:w="3120"/>
          </w:tcPr>
          <w:p>
            <w:pPr>
              <w:jc w:val="center"/>
            </w:pPr>
            <w:r>
              <w:rPr>
                <w:sz w:val="18"/>
              </w:rPr>
              <w:t>Brier Score</w:t>
            </w:r>
          </w:p>
        </w:tc>
        <w:tc>
          <w:tcPr>
            <w:tcW w:type="dxa" w:w="3120"/>
          </w:tcPr>
          <w:p>
            <w:pPr>
              <w:jc w:val="center"/>
            </w:pPr>
            <w:r>
              <w:rPr>
                <w:sz w:val="18"/>
              </w:rPr>
              <w:t>0.1573</w:t>
            </w:r>
          </w:p>
        </w:tc>
        <w:tc>
          <w:tcPr>
            <w:tcW w:type="dxa" w:w="3120"/>
          </w:tcPr>
          <w:p>
            <w:pPr>
              <w:jc w:val="center"/>
            </w:pPr>
            <w:r>
              <w:rPr>
                <w:sz w:val="18"/>
              </w:rPr>
              <w:t>Probability calibration</w:t>
            </w:r>
          </w:p>
        </w:tc>
      </w:tr>
      <w:tr>
        <w:tc>
          <w:tcPr>
            <w:tcW w:type="dxa" w:w="3120"/>
            <w:shd w:fill="F2F7FC"/>
          </w:tcPr>
          <w:p>
            <w:pPr>
              <w:jc w:val="center"/>
            </w:pPr>
            <w:r>
              <w:rPr>
                <w:sz w:val="18"/>
              </w:rPr>
              <w:t>F1-Score</w:t>
            </w:r>
          </w:p>
        </w:tc>
        <w:tc>
          <w:tcPr>
            <w:tcW w:type="dxa" w:w="3120"/>
            <w:shd w:fill="F2F7FC"/>
          </w:tcPr>
          <w:p>
            <w:pPr>
              <w:jc w:val="center"/>
            </w:pPr>
            <w:r>
              <w:rPr>
                <w:sz w:val="18"/>
              </w:rPr>
              <w:t>0.5962</w:t>
            </w:r>
          </w:p>
        </w:tc>
        <w:tc>
          <w:tcPr>
            <w:tcW w:type="dxa" w:w="3120"/>
            <w:shd w:fill="F2F7FC"/>
          </w:tcPr>
          <w:p>
            <w:pPr>
              <w:jc w:val="center"/>
            </w:pPr>
            <w:r>
              <w:rPr>
                <w:sz w:val="18"/>
              </w:rPr>
              <w:t>Balanced precision/recall</w:t>
            </w:r>
          </w:p>
        </w:tc>
      </w:tr>
      <w:tr>
        <w:tc>
          <w:tcPr>
            <w:tcW w:type="dxa" w:w="3120"/>
          </w:tcPr>
          <w:p>
            <w:pPr>
              <w:jc w:val="center"/>
            </w:pPr>
            <w:r>
              <w:rPr>
                <w:sz w:val="18"/>
              </w:rPr>
              <w:t>ECS Overall</w:t>
            </w:r>
          </w:p>
        </w:tc>
        <w:tc>
          <w:tcPr>
            <w:tcW w:type="dxa" w:w="3120"/>
          </w:tcPr>
          <w:p>
            <w:pPr>
              <w:jc w:val="center"/>
            </w:pPr>
            <w:r>
              <w:rPr>
                <w:sz w:val="18"/>
              </w:rPr>
              <w:t>0.6927</w:t>
            </w:r>
          </w:p>
        </w:tc>
        <w:tc>
          <w:tcPr>
            <w:tcW w:type="dxa" w:w="3120"/>
          </w:tcPr>
          <w:p>
            <w:pPr>
              <w:jc w:val="center"/>
            </w:pPr>
            <w:r>
              <w:rPr>
                <w:sz w:val="18"/>
              </w:rPr>
              <w:t>Explanation consistency</w:t>
            </w:r>
          </w:p>
        </w:tc>
      </w:tr>
      <w:tr>
        <w:tc>
          <w:tcPr>
            <w:tcW w:type="dxa" w:w="3120"/>
            <w:shd w:fill="F2F7FC"/>
          </w:tcPr>
          <w:p>
            <w:pPr>
              <w:jc w:val="center"/>
            </w:pPr>
            <w:r>
              <w:rPr>
                <w:sz w:val="18"/>
              </w:rPr>
              <w:t>ECS Rank Correlation</w:t>
            </w:r>
          </w:p>
        </w:tc>
        <w:tc>
          <w:tcPr>
            <w:tcW w:type="dxa" w:w="3120"/>
            <w:shd w:fill="F2F7FC"/>
          </w:tcPr>
          <w:p>
            <w:pPr>
              <w:jc w:val="center"/>
            </w:pPr>
            <w:r>
              <w:rPr>
                <w:sz w:val="18"/>
              </w:rPr>
              <w:t>0.7464</w:t>
            </w:r>
          </w:p>
        </w:tc>
        <w:tc>
          <w:tcPr>
            <w:tcW w:type="dxa" w:w="3120"/>
            <w:shd w:fill="F2F7FC"/>
          </w:tcPr>
          <w:p>
            <w:pPr>
              <w:jc w:val="center"/>
            </w:pPr>
            <w:r>
              <w:rPr>
                <w:sz w:val="18"/>
              </w:rPr>
              <w:t>Feature ranking agreement</w:t>
            </w:r>
          </w:p>
        </w:tc>
      </w:tr>
      <w:tr>
        <w:tc>
          <w:tcPr>
            <w:tcW w:type="dxa" w:w="3120"/>
          </w:tcPr>
          <w:p>
            <w:pPr>
              <w:jc w:val="center"/>
            </w:pPr>
            <w:r>
              <w:rPr>
                <w:sz w:val="18"/>
              </w:rPr>
              <w:t>ECS Sign Agreement</w:t>
            </w:r>
          </w:p>
        </w:tc>
        <w:tc>
          <w:tcPr>
            <w:tcW w:type="dxa" w:w="3120"/>
          </w:tcPr>
          <w:p>
            <w:pPr>
              <w:jc w:val="center"/>
            </w:pPr>
            <w:r>
              <w:rPr>
                <w:sz w:val="18"/>
              </w:rPr>
              <w:t>0.8084</w:t>
            </w:r>
          </w:p>
        </w:tc>
        <w:tc>
          <w:tcPr>
            <w:tcW w:type="dxa" w:w="3120"/>
          </w:tcPr>
          <w:p>
            <w:pPr>
              <w:jc w:val="center"/>
            </w:pPr>
            <w:r>
              <w:rPr>
                <w:sz w:val="18"/>
              </w:rPr>
              <w:t>Directional effect agreement</w:t>
            </w:r>
          </w:p>
        </w:tc>
      </w:tr>
      <w:tr>
        <w:tc>
          <w:tcPr>
            <w:tcW w:type="dxa" w:w="3120"/>
            <w:shd w:fill="F2F7FC"/>
          </w:tcPr>
          <w:p>
            <w:pPr>
              <w:jc w:val="center"/>
            </w:pPr>
            <w:r>
              <w:rPr>
                <w:sz w:val="18"/>
              </w:rPr>
              <w:t>ECS Top-5 Overlap</w:t>
            </w:r>
          </w:p>
        </w:tc>
        <w:tc>
          <w:tcPr>
            <w:tcW w:type="dxa" w:w="3120"/>
            <w:shd w:fill="F2F7FC"/>
          </w:tcPr>
          <w:p>
            <w:pPr>
              <w:jc w:val="center"/>
            </w:pPr>
            <w:r>
              <w:rPr>
                <w:sz w:val="18"/>
              </w:rPr>
              <w:t>0.5055</w:t>
            </w:r>
          </w:p>
        </w:tc>
        <w:tc>
          <w:tcPr>
            <w:tcW w:type="dxa" w:w="3120"/>
            <w:shd w:fill="F2F7FC"/>
          </w:tcPr>
          <w:p>
            <w:pPr>
              <w:jc w:val="center"/>
            </w:pPr>
            <w:r>
              <w:rPr>
                <w:sz w:val="18"/>
              </w:rPr>
              <w:t>Top feature overlap</w:t>
            </w:r>
          </w:p>
        </w:tc>
      </w:tr>
      <w:tr>
        <w:tc>
          <w:tcPr>
            <w:tcW w:type="dxa" w:w="3120"/>
          </w:tcPr>
          <w:p>
            <w:pPr>
              <w:jc w:val="center"/>
            </w:pPr>
            <w:r>
              <w:rPr>
                <w:sz w:val="18"/>
              </w:rPr>
              <w:t>Faithfulness SHAP</w:t>
            </w:r>
          </w:p>
        </w:tc>
        <w:tc>
          <w:tcPr>
            <w:tcW w:type="dxa" w:w="3120"/>
          </w:tcPr>
          <w:p>
            <w:pPr>
              <w:jc w:val="center"/>
            </w:pPr>
            <w:r>
              <w:rPr>
                <w:sz w:val="18"/>
              </w:rPr>
              <w:t>0.2773</w:t>
            </w:r>
          </w:p>
        </w:tc>
        <w:tc>
          <w:tcPr>
            <w:tcW w:type="dxa" w:w="3120"/>
          </w:tcPr>
          <w:p>
            <w:pPr>
              <w:jc w:val="center"/>
            </w:pPr>
            <w:r>
              <w:rPr>
                <w:sz w:val="18"/>
              </w:rPr>
              <w:t>Prediction change (SHAP top-5)</w:t>
            </w:r>
          </w:p>
        </w:tc>
      </w:tr>
      <w:tr>
        <w:tc>
          <w:tcPr>
            <w:tcW w:type="dxa" w:w="3120"/>
            <w:shd w:fill="F2F7FC"/>
          </w:tcPr>
          <w:p>
            <w:pPr>
              <w:jc w:val="center"/>
            </w:pPr>
            <w:r>
              <w:rPr>
                <w:sz w:val="18"/>
              </w:rPr>
              <w:t>Faithfulness Random</w:t>
            </w:r>
          </w:p>
        </w:tc>
        <w:tc>
          <w:tcPr>
            <w:tcW w:type="dxa" w:w="3120"/>
            <w:shd w:fill="F2F7FC"/>
          </w:tcPr>
          <w:p>
            <w:pPr>
              <w:jc w:val="center"/>
            </w:pPr>
            <w:r>
              <w:rPr>
                <w:sz w:val="18"/>
              </w:rPr>
              <w:t>0.0677</w:t>
            </w:r>
          </w:p>
        </w:tc>
        <w:tc>
          <w:tcPr>
            <w:tcW w:type="dxa" w:w="3120"/>
            <w:shd w:fill="F2F7FC"/>
          </w:tcPr>
          <w:p>
            <w:pPr>
              <w:jc w:val="center"/>
            </w:pPr>
            <w:r>
              <w:rPr>
                <w:sz w:val="18"/>
              </w:rPr>
              <w:t>Prediction change (random top-5)</w:t>
            </w:r>
          </w:p>
        </w:tc>
      </w:tr>
      <w:tr>
        <w:tc>
          <w:tcPr>
            <w:tcW w:type="dxa" w:w="3120"/>
          </w:tcPr>
          <w:p>
            <w:pPr>
              <w:jc w:val="center"/>
            </w:pPr>
            <w:r>
              <w:rPr>
                <w:sz w:val="18"/>
              </w:rPr>
              <w:t>Faithfulness Ratio</w:t>
            </w:r>
          </w:p>
        </w:tc>
        <w:tc>
          <w:tcPr>
            <w:tcW w:type="dxa" w:w="3120"/>
          </w:tcPr>
          <w:p>
            <w:pPr>
              <w:jc w:val="center"/>
            </w:pPr>
            <w:r>
              <w:rPr>
                <w:sz w:val="18"/>
              </w:rPr>
              <w:t>4.09x</w:t>
            </w:r>
          </w:p>
        </w:tc>
        <w:tc>
          <w:tcPr>
            <w:tcW w:type="dxa" w:w="3120"/>
          </w:tcPr>
          <w:p>
            <w:pPr>
              <w:jc w:val="center"/>
            </w:pPr>
            <w:r>
              <w:rPr>
                <w:sz w:val="18"/>
              </w:rPr>
              <w:t>SHAP vs Random impact ratio</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