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1F4E79"/>
          <w:sz w:val="36"/>
          <w:szCs w:val="36"/>
        </w:rPr>
        <w:t xml:space="preserve">piGP_prior_mean.m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Computes the physics-based prior mean m̃(x | θ) for both objectives at a set of scaled input points. Called by NLikelihood_piGP, TrainingOfGP_piGP, and posterior_sample_piGP.</w:t>
      </w:r>
    </w:p>
    <w:p>
      <w:pPr>
        <w:pStyle w:val="Heading2"/>
        <w:spacing w:after="160" w:before="300"/>
      </w:pPr>
      <w:r>
        <w:rPr>
          <w:rFonts w:ascii="Arial" w:cs="Arial" w:eastAsia="Arial" w:hAnsi="Arial"/>
          <w:b/>
          <w:bCs/>
          <w:color w:val="2E75B6"/>
          <w:sz w:val="28"/>
          <w:szCs w:val="28"/>
        </w:rPr>
        <w:t xml:space="preserve">What Physical Knowledge Is Encoded</w:t>
      </w:r>
    </w:p>
    <w:p>
      <w:pPr>
        <w:spacing w:after="100" w:before="60"/>
      </w:pPr>
      <w:r>
        <w:rPr>
          <w:rFonts w:ascii="Arial" w:cs="Arial" w:eastAsia="Arial" w:hAnsi="Arial"/>
          <w:sz w:val="22"/>
          <w:szCs w:val="22"/>
        </w:rPr>
        <w:t xml:space="preserve">Only information genuinely available before running any experiments:</w:t>
      </w:r>
    </w:p>
    <w:p>
      <w:pPr>
        <w:pStyle w:val="ListParagraph"/>
        <w:numPr>
          <w:ilvl w:val="0"/>
          <w:numId w:val="2"/>
        </w:numPr>
        <w:spacing w:after="40" w:before="40"/>
      </w:pPr>
      <w:r>
        <w:rPr>
          <w:rFonts w:ascii="Arial" w:cs="Arial" w:eastAsia="Arial" w:hAnsi="Arial"/>
          <w:sz w:val="22"/>
          <w:szCs w:val="22"/>
        </w:rPr>
        <w:t xml:space="preserve">Bimolecular second-order reaction kinetics (from the SNAr reaction scheme)</w:t>
      </w:r>
    </w:p>
    <w:p>
      <w:pPr>
        <w:pStyle w:val="ListParagraph"/>
        <w:numPr>
          <w:ilvl w:val="0"/>
          <w:numId w:val="2"/>
        </w:numPr>
        <w:spacing w:after="40" w:before="40"/>
      </w:pPr>
      <w:r>
        <w:rPr>
          <w:rFonts w:ascii="Arial" w:cs="Arial" w:eastAsia="Arial" w:hAnsi="Arial"/>
          <w:sz w:val="22"/>
          <w:szCs w:val="22"/>
        </w:rPr>
        <w:t xml:space="preserve">Approximate plug-flow reactor behaviour (from capillary geometry)</w:t>
      </w:r>
    </w:p>
    <w:p>
      <w:pPr>
        <w:pStyle w:val="ListParagraph"/>
        <w:numPr>
          <w:ilvl w:val="0"/>
          <w:numId w:val="2"/>
        </w:numPr>
        <w:spacing w:after="40" w:before="40"/>
      </w:pPr>
      <w:r>
        <w:rPr>
          <w:rFonts w:ascii="Arial" w:cs="Arial" w:eastAsia="Arial" w:hAnsi="Arial"/>
          <w:sz w:val="22"/>
          <w:szCs w:val="22"/>
        </w:rPr>
        <w:t xml:space="preserve">Arrhenius temperature dependence (universal chemistry)</w:t>
      </w:r>
    </w:p>
    <w:p>
      <w:pPr>
        <w:pStyle w:val="ListParagraph"/>
        <w:numPr>
          <w:ilvl w:val="0"/>
          <w:numId w:val="2"/>
        </w:numPr>
        <w:spacing w:after="40" w:before="40"/>
      </w:pPr>
      <w:r>
        <w:rPr>
          <w:rFonts w:ascii="Arial" w:cs="Arial" w:eastAsia="Arial" w:hAnsi="Arial"/>
          <w:sz w:val="22"/>
          <w:szCs w:val="22"/>
        </w:rPr>
        <w:t xml:space="preserve">Initial concentrations c₁₀ = c₂₀ = 0.2 mol/L and V_R = 2 mL (experimental design)</w:t>
      </w:r>
    </w:p>
    <w:p>
      <w:pPr>
        <w:spacing w:after="100" w:before="60"/>
      </w:pPr>
      <w:r>
        <w:rPr>
          <w:rFonts w:ascii="Arial" w:cs="Arial" w:eastAsia="Arial" w:hAnsi="Arial"/>
          <w:sz w:val="22"/>
          <w:szCs w:val="22"/>
        </w:rPr>
        <w:t xml:space="preserve">NOT used: fitted rate constants, activation energies from literature, or ODE solution of PFR kinetics.</w:t>
      </w:r>
    </w:p>
    <w:p>
      <w:pPr>
        <w:pStyle w:val="Heading2"/>
        <w:spacing w:after="160" w:before="300"/>
      </w:pPr>
      <w:r>
        <w:rPr>
          <w:rFonts w:ascii="Arial" w:cs="Arial" w:eastAsia="Arial" w:hAnsi="Arial"/>
          <w:b/>
          <w:bCs/>
          <w:color w:val="2E75B6"/>
          <w:sz w:val="28"/>
          <w:szCs w:val="28"/>
        </w:rPr>
        <w:t xml:space="preserve">Mathematics</w:t>
      </w:r>
    </w:p>
    <w:p>
      <w:pPr>
        <w:pStyle w:val="Heading3"/>
        <w:spacing w:after="120" w:before="240"/>
      </w:pPr>
      <w:r>
        <w:rPr>
          <w:rFonts w:ascii="Arial" w:cs="Arial" w:eastAsia="Arial" w:hAnsi="Arial"/>
          <w:b/>
          <w:bCs/>
          <w:color w:val="404040"/>
          <w:sz w:val="24"/>
          <w:szCs w:val="24"/>
        </w:rPr>
        <w:t xml:space="preserve">Step 1 — Arrhenius rate constant</w:t>
      </w:r>
    </w:p>
    <w:p>
      <w:pPr>
        <w:spacing w:after="100" w:before="100"/>
        <w:ind w:left="360"/>
        <w:jc w:val="center"/>
      </w:pPr>
      <w:r>
        <w:rPr>
          <w:rFonts w:ascii="Cambria Math" w:cs="Cambria Math" w:eastAsia="Cambria Math" w:hAnsi="Cambria Math"/>
          <w:i/>
          <w:iCs/>
          <w:color w:val="1F4E79"/>
          <w:sz w:val="22"/>
          <w:szCs w:val="22"/>
        </w:rPr>
        <w:t xml:space="preserve">k(T) = k_ref · exp(−Eₐ/R · (1/T_K − 1/T_ref))</w:t>
      </w:r>
    </w:p>
    <w:p>
      <w:pPr>
        <w:spacing w:after="100" w:before="60"/>
      </w:pPr>
      <w:r>
        <w:rPr>
          <w:rFonts w:ascii="Arial" w:cs="Arial" w:eastAsia="Arial" w:hAnsi="Arial"/>
          <w:sz w:val="22"/>
          <w:szCs w:val="22"/>
        </w:rPr>
        <w:t xml:space="preserve">k_ref [L/(mol·s)] and Eₐ [J/mol] are free parameters learned from data. T_ref = 363.15 K (90°C, centre of operating range). R = 8.314 J/(mol·K).</w:t>
      </w:r>
    </w:p>
    <w:p>
      <w:pPr>
        <w:pStyle w:val="Heading3"/>
        <w:spacing w:after="120" w:before="240"/>
      </w:pPr>
      <w:r>
        <w:rPr>
          <w:rFonts w:ascii="Arial" w:cs="Arial" w:eastAsia="Arial" w:hAnsi="Arial"/>
          <w:b/>
          <w:bCs/>
          <w:color w:val="404040"/>
          <w:sz w:val="24"/>
          <w:szCs w:val="24"/>
        </w:rPr>
        <w:t xml:space="preserve">Step 2 — Damköhler number</w:t>
      </w:r>
    </w:p>
    <w:p>
      <w:pPr>
        <w:spacing w:after="100" w:before="100"/>
        <w:ind w:left="360"/>
        <w:jc w:val="center"/>
      </w:pPr>
      <w:r>
        <w:rPr>
          <w:rFonts w:ascii="Cambria Math" w:cs="Cambria Math" w:eastAsia="Cambria Math" w:hAnsi="Cambria Math"/>
          <w:i/>
          <w:iCs/>
          <w:color w:val="1F4E79"/>
          <w:sz w:val="22"/>
          <w:szCs w:val="22"/>
        </w:rPr>
        <w:t xml:space="preserve">Da(τ, T) = k(T) · c₀ · τ_sec</w:t>
      </w:r>
    </w:p>
    <w:p>
      <w:pPr>
        <w:spacing w:after="100" w:before="60"/>
      </w:pPr>
      <w:r>
        <w:rPr>
          <w:rFonts w:ascii="Arial" w:cs="Arial" w:eastAsia="Arial" w:hAnsi="Arial"/>
          <w:sz w:val="22"/>
          <w:szCs w:val="22"/>
        </w:rPr>
        <w:t xml:space="preserve">Dimensionless reaction/transport ratio. Da&gt;&gt;1: high conversion. Da&lt;&lt;1: low conversion.</w:t>
      </w:r>
    </w:p>
    <w:p>
      <w:pPr>
        <w:pStyle w:val="Heading3"/>
        <w:spacing w:after="120" w:before="240"/>
      </w:pPr>
      <w:r>
        <w:rPr>
          <w:rFonts w:ascii="Arial" w:cs="Arial" w:eastAsia="Arial" w:hAnsi="Arial"/>
          <w:b/>
          <w:bCs/>
          <w:color w:val="404040"/>
          <w:sz w:val="24"/>
          <w:szCs w:val="24"/>
        </w:rPr>
        <w:t xml:space="preserve">Step 3 — 2nd order PFR conversion</w:t>
      </w:r>
    </w:p>
    <w:p>
      <w:pPr>
        <w:spacing w:after="100" w:before="60"/>
      </w:pPr>
      <w:r>
        <w:rPr>
          <w:rFonts w:ascii="Arial" w:cs="Arial" w:eastAsia="Arial" w:hAnsi="Arial"/>
          <w:sz w:val="22"/>
          <w:szCs w:val="22"/>
        </w:rPr>
        <w:t xml:space="preserve">Integrating −dA/dτ = k·A² with A₀ = B₀ gives the exact analytical solution:</w:t>
      </w:r>
    </w:p>
    <w:p>
      <w:pPr>
        <w:spacing w:after="100" w:before="100"/>
        <w:ind w:left="360"/>
        <w:jc w:val="center"/>
      </w:pPr>
      <w:r>
        <w:rPr>
          <w:rFonts w:ascii="Cambria Math" w:cs="Cambria Math" w:eastAsia="Cambria Math" w:hAnsi="Cambria Math"/>
          <w:i/>
          <w:iCs/>
          <w:color w:val="1F4E79"/>
          <w:sz w:val="22"/>
          <w:szCs w:val="22"/>
        </w:rPr>
        <w:t xml:space="preserve">X(τ, T) = Da / (1 + Da)</w:t>
      </w:r>
    </w:p>
    <w:p>
      <w:pPr>
        <w:pStyle w:val="Heading3"/>
        <w:spacing w:after="120" w:before="240"/>
      </w:pPr>
      <w:r>
        <w:rPr>
          <w:rFonts w:ascii="Arial" w:cs="Arial" w:eastAsia="Arial" w:hAnsi="Arial"/>
          <w:b/>
          <w:bCs/>
          <w:color w:val="404040"/>
          <w:sz w:val="24"/>
          <w:szCs w:val="24"/>
        </w:rPr>
        <w:t xml:space="preserve">Step 4 — STY prior mean</w:t>
      </w:r>
    </w:p>
    <w:p>
      <w:pPr>
        <w:spacing w:after="100" w:before="100"/>
        <w:ind w:left="360"/>
        <w:jc w:val="center"/>
      </w:pPr>
      <w:r>
        <w:rPr>
          <w:rFonts w:ascii="Cambria Math" w:cs="Cambria Math" w:eastAsia="Cambria Math" w:hAnsi="Cambria Math"/>
          <w:i/>
          <w:iCs/>
          <w:color w:val="1F4E79"/>
          <w:sz w:val="22"/>
          <w:szCs w:val="22"/>
        </w:rPr>
        <w:t xml:space="preserve">STY_phys = α_S · (c₀ · X · M_C / τ_sec) + β_S</w:t>
      </w:r>
    </w:p>
    <w:p>
      <w:pPr>
        <w:spacing w:after="100" w:before="100"/>
        <w:ind w:left="360"/>
        <w:jc w:val="center"/>
      </w:pPr>
      <w:r>
        <w:rPr>
          <w:rFonts w:ascii="Cambria Math" w:cs="Cambria Math" w:eastAsia="Cambria Math" w:hAnsi="Cambria Math"/>
          <w:i/>
          <w:iCs/>
          <w:color w:val="1F4E79"/>
          <w:sz w:val="22"/>
          <w:szCs w:val="22"/>
        </w:rPr>
        <w:t xml:space="preserve">m̃₁(τ, T) = −log(max(STY_phys, ε))</w:t>
      </w:r>
    </w:p>
    <w:p>
      <w:pPr>
        <w:spacing w:after="100" w:before="60"/>
      </w:pPr>
      <w:r>
        <w:rPr>
          <w:rFonts w:ascii="Arial" w:cs="Arial" w:eastAsia="Arial" w:hAnsi="Arial"/>
          <w:sz w:val="22"/>
          <w:szCs w:val="22"/>
        </w:rPr>
        <w:t xml:space="preserve">M_C = 226.22 g/mol (molecular weight of ortho-product C). α_S absorbs the fraction of converted A that becomes C plus model-reality mismatch. β_S absorbs systematic offset.</w:t>
      </w:r>
    </w:p>
    <w:p>
      <w:pPr>
        <w:pStyle w:val="Heading3"/>
        <w:spacing w:after="120" w:before="240"/>
      </w:pPr>
      <w:r>
        <w:rPr>
          <w:rFonts w:ascii="Arial" w:cs="Arial" w:eastAsia="Arial" w:hAnsi="Arial"/>
          <w:b/>
          <w:bCs/>
          <w:color w:val="404040"/>
          <w:sz w:val="24"/>
          <w:szCs w:val="24"/>
        </w:rPr>
        <w:t xml:space="preserve">Step 5 — SEL prior mean</w:t>
      </w:r>
    </w:p>
    <w:p>
      <w:pPr>
        <w:spacing w:after="100" w:before="100"/>
        <w:ind w:left="360"/>
        <w:jc w:val="center"/>
      </w:pPr>
      <w:r>
        <w:rPr>
          <w:rFonts w:ascii="Cambria Math" w:cs="Cambria Math" w:eastAsia="Cambria Math" w:hAnsi="Cambria Math"/>
          <w:i/>
          <w:iCs/>
          <w:color w:val="1F4E79"/>
          <w:sz w:val="22"/>
          <w:szCs w:val="22"/>
        </w:rPr>
        <w:t xml:space="preserve">SEL_phys = α_E / (1 + Da_SEL²) + β_E</w:t>
      </w:r>
    </w:p>
    <w:p>
      <w:pPr>
        <w:spacing w:after="100" w:before="100"/>
        <w:ind w:left="360"/>
        <w:jc w:val="center"/>
      </w:pPr>
      <w:r>
        <w:rPr>
          <w:rFonts w:ascii="Cambria Math" w:cs="Cambria Math" w:eastAsia="Cambria Math" w:hAnsi="Cambria Math"/>
          <w:i/>
          <w:iCs/>
          <w:color w:val="1F4E79"/>
          <w:sz w:val="22"/>
          <w:szCs w:val="22"/>
        </w:rPr>
        <w:t xml:space="preserve">m̃₂(τ, T) = −log(max(SEL_phys, ε))</w:t>
      </w:r>
    </w:p>
    <w:p>
      <w:pPr>
        <w:spacing w:after="100" w:before="60"/>
      </w:pPr>
      <w:r>
        <w:rPr>
          <w:rFonts w:ascii="Arial" w:cs="Arial" w:eastAsia="Arial" w:hAnsi="Arial"/>
          <w:sz w:val="22"/>
          <w:szCs w:val="22"/>
        </w:rPr>
        <w:t xml:space="preserve">Uses separate {k_ref,E,Ea_E} from STY because over-reaction kinetics differ. Da² captures that bis-adduct requires C to form first (one Da step) then react again (second Da step).</w:t>
      </w:r>
    </w:p>
    <w:p>
      <w:pPr>
        <w:pStyle w:val="Heading2"/>
        <w:spacing w:after="160" w:before="300"/>
      </w:pPr>
      <w:r>
        <w:rPr>
          <w:rFonts w:ascii="Arial" w:cs="Arial" w:eastAsia="Arial" w:hAnsi="Arial"/>
          <w:b/>
          <w:bCs/>
          <w:color w:val="2E75B6"/>
          <w:sz w:val="28"/>
          <w:szCs w:val="28"/>
        </w:rPr>
        <w:t xml:space="preserve">Function Signature</w:t>
      </w:r>
    </w:p>
    <w:p>
      <w:pPr>
        <w:spacing w:after="40" w:before="40"/>
        <w:ind w:left="720"/>
      </w:pPr>
      <w:r>
        <w:rPr>
          <w:rFonts w:ascii="Courier New" w:cs="Courier New" w:eastAsia="Courier New" w:hAnsi="Courier New"/>
          <w:color w:val="333333"/>
          <w:sz w:val="18"/>
          <w:szCs w:val="18"/>
        </w:rPr>
        <w:t xml:space="preserve">[m_STY, m_SEL] = piGP_prior_mean(X_scaled, lb, ub, c1_0, theta_STY, theta_SEL)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Argument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X_scaled</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[n×2]</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Scaled inputs [0,1]: col1=τ, col2=T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lb, 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Physical bounds [τ_min(min), T_min(°C)]</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c1_0</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scalar</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Initial DFNB concentration [mol/L]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theta_STY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[log_kref, Ea(J/mol), alpha, beta] for STY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theta_SEL</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[4×1]</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[log_kref, Ea(J/mol), alpha, beta] for SEL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m_STY, m_SEL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Prior mean values in physical −log units</w:t>
            </w:r>
          </w:p>
        </w:tc>
      </w:tr>
    </w:tbl>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NLikelihood_piGP.m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Computes the joint MAP negative log-posterior for the physics-informed GP. Extends the standard NLikelihood by training the GP on residuals r = Ynew − m̃_scaled(X|θ) and adding MAP priors on the 4 physics prior parameters alongside the standard GP hyperparameter priors.</w:t>
      </w:r>
    </w:p>
    <w:p>
      <w:pPr>
        <w:pStyle w:val="Heading2"/>
        <w:spacing w:after="160" w:before="300"/>
      </w:pPr>
      <w:r>
        <w:rPr>
          <w:rFonts w:ascii="Arial" w:cs="Arial" w:eastAsia="Arial" w:hAnsi="Arial"/>
          <w:b/>
          <w:bCs/>
          <w:color w:val="2E75B6"/>
          <w:sz w:val="28"/>
          <w:szCs w:val="28"/>
        </w:rPr>
        <w:t xml:space="preserve">Optimisation Variable Layout</w:t>
      </w:r>
    </w:p>
    <w:p>
      <w:pPr>
        <w:spacing w:after="40" w:before="40"/>
        <w:ind w:left="720"/>
      </w:pPr>
      <w:r>
        <w:rPr>
          <w:rFonts w:ascii="Courier New" w:cs="Courier New" w:eastAsia="Courier New" w:hAnsi="Courier New"/>
          <w:color w:val="333333"/>
          <w:sz w:val="18"/>
          <w:szCs w:val="18"/>
        </w:rPr>
        <w:t xml:space="preserve">hypVar = [log_lambda1, log_lambda2, log_sf, log_sn, log_kref, Ea, alpha, beta]</w:t>
      </w:r>
    </w:p>
    <w:p>
      <w:pPr>
        <w:spacing w:after="100" w:before="60"/>
      </w:pPr>
      <w:r>
        <w:rPr>
          <w:rFonts w:ascii="Arial" w:cs="Arial" w:eastAsia="Arial" w:hAnsi="Arial"/>
          <w:sz w:val="22"/>
          <w:szCs w:val="22"/>
        </w:rPr>
        <w:t xml:space="preserve">8 parameters total per objective (vs 4 in standard TSEMO).</w:t>
      </w:r>
    </w:p>
    <w:p>
      <w:pPr>
        <w:pStyle w:val="Heading2"/>
        <w:spacing w:after="160" w:before="300"/>
      </w:pPr>
      <w:r>
        <w:rPr>
          <w:rFonts w:ascii="Arial" w:cs="Arial" w:eastAsia="Arial" w:hAnsi="Arial"/>
          <w:b/>
          <w:bCs/>
          <w:color w:val="2E75B6"/>
          <w:sz w:val="28"/>
          <w:szCs w:val="28"/>
        </w:rPr>
        <w:t xml:space="preserve">Mathematics</w:t>
      </w:r>
    </w:p>
    <w:p>
      <w:pPr>
        <w:pStyle w:val="Heading3"/>
        <w:spacing w:after="120" w:before="240"/>
      </w:pPr>
      <w:r>
        <w:rPr>
          <w:rFonts w:ascii="Arial" w:cs="Arial" w:eastAsia="Arial" w:hAnsi="Arial"/>
          <w:b/>
          <w:bCs/>
          <w:color w:val="404040"/>
          <w:sz w:val="24"/>
          <w:szCs w:val="24"/>
        </w:rPr>
        <w:t xml:space="preserve">GP kernel (unchanged from original TSEMO)</w:t>
      </w:r>
    </w:p>
    <w:p>
      <w:pPr>
        <w:spacing w:after="100" w:before="100"/>
        <w:ind w:left="360"/>
        <w:jc w:val="center"/>
      </w:pPr>
      <w:r>
        <w:rPr>
          <w:rFonts w:ascii="Cambria Math" w:cs="Cambria Math" w:eastAsia="Cambria Math" w:hAnsi="Cambria Math"/>
          <w:i/>
          <w:iCs/>
          <w:color w:val="1F4E79"/>
          <w:sz w:val="22"/>
          <w:szCs w:val="22"/>
        </w:rPr>
        <w:t xml:space="preserve">K_{ij} = σ²_f · k_Matérn(x_i, x_j; λ₁, λ₂) + σ²_n · δ_{ij}</w:t>
      </w:r>
    </w:p>
    <w:p>
      <w:pPr>
        <w:pStyle w:val="Heading3"/>
        <w:spacing w:after="120" w:before="240"/>
      </w:pPr>
      <w:r>
        <w:rPr>
          <w:rFonts w:ascii="Arial" w:cs="Arial" w:eastAsia="Arial" w:hAnsi="Arial"/>
          <w:b/>
          <w:bCs/>
          <w:color w:val="404040"/>
          <w:sz w:val="24"/>
          <w:szCs w:val="24"/>
        </w:rPr>
        <w:t xml:space="preserve">Residual computation</w:t>
      </w:r>
    </w:p>
    <w:p>
      <w:pPr>
        <w:spacing w:after="100" w:before="100"/>
        <w:ind w:left="360"/>
        <w:jc w:val="center"/>
      </w:pPr>
      <w:r>
        <w:rPr>
          <w:rFonts w:ascii="Cambria Math" w:cs="Cambria Math" w:eastAsia="Cambria Math" w:hAnsi="Cambria Math"/>
          <w:i/>
          <w:iCs/>
          <w:color w:val="1F4E79"/>
          <w:sz w:val="22"/>
          <w:szCs w:val="22"/>
        </w:rPr>
        <w:t xml:space="preserve">m̃_scaled(X|θ) = (m̃(X|θ) − mean(m̃)) / std(m̃)</w:t>
      </w:r>
    </w:p>
    <w:p>
      <w:pPr>
        <w:spacing w:after="100" w:before="100"/>
        <w:ind w:left="360"/>
        <w:jc w:val="center"/>
      </w:pPr>
      <w:r>
        <w:rPr>
          <w:rFonts w:ascii="Cambria Math" w:cs="Cambria Math" w:eastAsia="Cambria Math" w:hAnsi="Cambria Math"/>
          <w:i/>
          <w:iCs/>
          <w:color w:val="1F4E79"/>
          <w:sz w:val="22"/>
          <w:szCs w:val="22"/>
        </w:rPr>
        <w:t xml:space="preserve">r = Y_norm − m̃_scaled(X|θ)</w:t>
      </w:r>
    </w:p>
    <w:p>
      <w:pPr>
        <w:pStyle w:val="Heading3"/>
        <w:spacing w:after="120" w:before="240"/>
      </w:pPr>
      <w:r>
        <w:rPr>
          <w:rFonts w:ascii="Arial" w:cs="Arial" w:eastAsia="Arial" w:hAnsi="Arial"/>
          <w:b/>
          <w:bCs/>
          <w:color w:val="404040"/>
          <w:sz w:val="24"/>
          <w:szCs w:val="24"/>
        </w:rPr>
        <w:t xml:space="preserve">Joint MAP negative log-posterior</w:t>
      </w:r>
    </w:p>
    <w:p>
      <w:pPr>
        <w:spacing w:after="100" w:before="100"/>
        <w:ind w:left="360"/>
        <w:jc w:val="center"/>
      </w:pPr>
      <w:r>
        <w:rPr>
          <w:rFonts w:ascii="Cambria Math" w:cs="Cambria Math" w:eastAsia="Cambria Math" w:hAnsi="Cambria Math"/>
          <w:i/>
          <w:iCs/>
          <w:color w:val="1F4E79"/>
          <w:sz w:val="22"/>
          <w:szCs w:val="22"/>
        </w:rPr>
        <w:t xml:space="preserve">NLL = (n/2)log(2π) + (1/2)log|K| + (1/2)·rᵀ·K⁻¹·r − log p(ψ_GP) − log p(θ)</w:t>
      </w:r>
    </w:p>
    <w:p>
      <w:pPr>
        <w:pStyle w:val="Heading3"/>
        <w:spacing w:after="120" w:before="240"/>
      </w:pPr>
      <w:r>
        <w:rPr>
          <w:rFonts w:ascii="Arial" w:cs="Arial" w:eastAsia="Arial" w:hAnsi="Arial"/>
          <w:b/>
          <w:bCs/>
          <w:color w:val="404040"/>
          <w:sz w:val="24"/>
          <w:szCs w:val="24"/>
        </w:rPr>
        <w:t xml:space="preserve">MAP priors on GP hyperparameters (unchanged from Bradford 2018)</w:t>
      </w:r>
    </w:p>
    <w:p>
      <w:pPr>
        <w:spacing w:after="100" w:before="100"/>
        <w:ind w:left="360"/>
        <w:jc w:val="center"/>
      </w:pPr>
      <w:r>
        <w:rPr>
          <w:rFonts w:ascii="Cambria Math" w:cs="Cambria Math" w:eastAsia="Cambria Math" w:hAnsi="Cambria Math"/>
          <w:i/>
          <w:iCs/>
          <w:color w:val="1F4E79"/>
          <w:sz w:val="22"/>
          <w:szCs w:val="22"/>
        </w:rPr>
        <w:t xml:space="preserve">log p(ψ_GP) = Σᵢ priorGauss(μ_cov, σ²_cov, log λᵢ) + priorGauss(μ_lik, σ²_lik, log σₙ)</w:t>
      </w:r>
    </w:p>
    <w:p>
      <w:pPr>
        <w:pStyle w:val="Heading3"/>
        <w:spacing w:after="120" w:before="240"/>
      </w:pPr>
      <w:r>
        <w:rPr>
          <w:rFonts w:ascii="Arial" w:cs="Arial" w:eastAsia="Arial" w:hAnsi="Arial"/>
          <w:b/>
          <w:bCs/>
          <w:color w:val="404040"/>
          <w:sz w:val="24"/>
          <w:szCs w:val="24"/>
        </w:rPr>
        <w:t xml:space="preserve">MAP priors on physics prior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log(k_ref)</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N(−2.5, 9)</w:t>
            </w:r>
          </w:p>
        </w:tc>
        <w:tc>
          <w:tcPr>
            <w:tcW w:type="dxa" w:w="4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Da≈1 at typical conditions → k_ref≈0.08 L/(mol·s)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N(40000, 4×10⁸)</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Covers 0–100 kJ/mol — general SNAr range</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α</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N(1.0, 1.0)</w:t>
            </w:r>
          </w:p>
        </w:tc>
        <w:tc>
          <w:tcPr>
            <w:tcW w:type="dxa" w:w="4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Physics model has roughly correct magnitude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β</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N(0.0, 0.25)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prior systematic offset expected</w:t>
            </w:r>
          </w:p>
        </w:tc>
      </w:tr>
    </w:tbl>
    <w:p>
      <w:pPr>
        <w:pStyle w:val="Heading3"/>
        <w:spacing w:after="120" w:before="240"/>
      </w:pPr>
      <w:r>
        <w:rPr>
          <w:rFonts w:ascii="Arial" w:cs="Arial" w:eastAsia="Arial" w:hAnsi="Arial"/>
          <w:b/>
          <w:bCs/>
          <w:color w:val="404040"/>
          <w:sz w:val="24"/>
          <w:szCs w:val="24"/>
        </w:rPr>
        <w:t xml:space="preserve">Gradients</w:t>
      </w:r>
    </w:p>
    <w:p>
      <w:pPr>
        <w:spacing w:after="100" w:before="60"/>
      </w:pPr>
      <w:r>
        <w:rPr>
          <w:rFonts w:ascii="Arial" w:cs="Arial" w:eastAsia="Arial" w:hAnsi="Arial"/>
          <w:sz w:val="22"/>
          <w:szCs w:val="22"/>
        </w:rPr>
        <w:t xml:space="preserve">Analytical gradients for GP hyperparameters (∂NLL/∂log λ, ∂NLL/∂log σf, ∂NLL/∂log σn) — exact chain rule on residuals r. Central finite differences for prior parameters (∂NLL/∂log_kref, ∂NLL/∂Ea, ∂NLL/∂α, ∂NLL/∂β) — 8 extra function evaluations per call, negligible cost.</w:t>
      </w:r>
    </w:p>
    <w:p>
      <w:pPr>
        <w:spacing w:after="100" w:before="60"/>
      </w:pPr>
      <w:r>
        <w:rPr>
          <w:rFonts w:ascii="Arial" w:cs="Arial" w:eastAsia="Arial" w:hAnsi="Arial"/>
          <w:sz w:val="22"/>
          <w:szCs w:val="22"/>
        </w:rPr>
        <w:t xml:space="preserve">Also contains: priorGauss (Gaussian log-prior), covMaternanisotropic (Matérn kernel derivatives).</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TrainingOfGP_piGP.m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Minimises NLikelihood_piGP to find the MAP estimate of all 8 parameters jointly. Uses the same two-stage strategy as original TSEMO: DIRECT global search for a good starting point, then fmincon interior-point for local refinement. Warm-starts from the previous iteration's solution.</w:t>
      </w:r>
    </w:p>
    <w:p>
      <w:pPr>
        <w:pStyle w:val="Heading2"/>
        <w:spacing w:after="160" w:before="300"/>
      </w:pPr>
      <w:r>
        <w:rPr>
          <w:rFonts w:ascii="Arial" w:cs="Arial" w:eastAsia="Arial" w:hAnsi="Arial"/>
          <w:b/>
          <w:bCs/>
          <w:color w:val="2E75B6"/>
          <w:sz w:val="28"/>
          <w:szCs w:val="28"/>
        </w:rPr>
        <w:t xml:space="preserve">Optimisation Strategy</w:t>
      </w:r>
    </w:p>
    <w:p>
      <w:pPr>
        <w:pStyle w:val="Heading3"/>
        <w:spacing w:after="120" w:before="240"/>
      </w:pPr>
      <w:r>
        <w:rPr>
          <w:rFonts w:ascii="Arial" w:cs="Arial" w:eastAsia="Arial" w:hAnsi="Arial"/>
          <w:b/>
          <w:bCs/>
          <w:color w:val="404040"/>
          <w:sz w:val="24"/>
          <w:szCs w:val="24"/>
        </w:rPr>
        <w:t xml:space="preserve">Stage 1 — DIRECT global search</w:t>
      </w:r>
    </w:p>
    <w:p>
      <w:pPr>
        <w:spacing w:after="100" w:before="60"/>
      </w:pPr>
      <w:r>
        <w:rPr>
          <w:rFonts w:ascii="Arial" w:cs="Arial" w:eastAsia="Arial" w:hAnsi="Arial"/>
          <w:sz w:val="22"/>
          <w:szCs w:val="22"/>
        </w:rPr>
        <w:t xml:space="preserve">Gradient-free, derivative-free global search over the 8-dimensional parameter space. Provides a starting point for Stage 2 near the global MAP. Key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Lower bound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Upper bound</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log λ₁, log λ₂, log σf</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log(√0.001)</w:t>
            </w:r>
          </w:p>
        </w:tc>
        <w:tc>
          <w:tcPr>
            <w:tcW w:type="dxa" w:w="39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log(√1000)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 σn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 (very small noise)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(noise = signal)</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log k_ref</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−14 (k→0)</w:t>
            </w:r>
          </w:p>
        </w:tc>
        <w:tc>
          <w:tcPr>
            <w:tcW w:type="dxa" w:w="39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5 (k→148 L/mol/s)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1000 J/mol (0.01 barrier)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100000 J/mol (100 kJ/mol)</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α</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0.01</w:t>
            </w:r>
          </w:p>
        </w:tc>
        <w:tc>
          <w:tcPr>
            <w:tcW w:type="dxa" w:w="39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β</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r>
    </w:tbl>
    <w:p>
      <w:pPr>
        <w:pStyle w:val="Heading3"/>
        <w:spacing w:after="120" w:before="240"/>
      </w:pPr>
      <w:r>
        <w:rPr>
          <w:rFonts w:ascii="Arial" w:cs="Arial" w:eastAsia="Arial" w:hAnsi="Arial"/>
          <w:b/>
          <w:bCs/>
          <w:color w:val="404040"/>
          <w:sz w:val="24"/>
          <w:szCs w:val="24"/>
        </w:rPr>
        <w:t xml:space="preserve">Stage 2 — fmincon interior-point</w:t>
      </w:r>
    </w:p>
    <w:p>
      <w:pPr>
        <w:spacing w:after="100" w:before="60"/>
      </w:pPr>
      <w:r>
        <w:rPr>
          <w:rFonts w:ascii="Arial" w:cs="Arial" w:eastAsia="Arial" w:hAnsi="Arial"/>
          <w:sz w:val="22"/>
          <w:szCs w:val="22"/>
        </w:rPr>
        <w:t xml:space="preserve">Local gradient-based refinement from the DIRECT solution. Uses analytical gradients for GP parameters and finite-difference gradients for prior parameters (passed via SpecifyObjectiveGradient = true in NLikelihood_piGP). Tolerance: TolFun = 1e-10, TolX = 1e-12.</w:t>
      </w:r>
    </w:p>
    <w:p>
      <w:pPr>
        <w:pStyle w:val="Heading2"/>
        <w:spacing w:after="160" w:before="300"/>
      </w:pPr>
      <w:r>
        <w:rPr>
          <w:rFonts w:ascii="Arial" w:cs="Arial" w:eastAsia="Arial" w:hAnsi="Arial"/>
          <w:b/>
          <w:bCs/>
          <w:color w:val="2E75B6"/>
          <w:sz w:val="28"/>
          <w:szCs w:val="28"/>
        </w:rPr>
        <w:t xml:space="preserve">Warm Starting</w:t>
      </w:r>
    </w:p>
    <w:p>
      <w:pPr>
        <w:spacing w:after="100" w:before="60"/>
      </w:pPr>
      <w:r>
        <w:rPr>
          <w:rFonts w:ascii="Arial" w:cs="Arial" w:eastAsia="Arial" w:hAnsi="Arial"/>
          <w:sz w:val="22"/>
          <w:szCs w:val="22"/>
        </w:rPr>
        <w:t xml:space="preserve">theta_prior_init (the previous iteration's θ) is passed as the initial point for the prior parameters. This prevents DIRECT from re-exploring the full prior parameter space each iteration, significantly reducing the number of function evaluations needed.</w:t>
      </w:r>
    </w:p>
    <w:p>
      <w:pPr>
        <w:spacing w:after="100" w:before="60"/>
      </w:pPr>
      <w:r>
        <w:rPr>
          <w:rFonts w:ascii="Arial" w:cs="Arial" w:eastAsia="Arial" w:hAnsi="Arial"/>
          <w:sz w:val="22"/>
          <w:szCs w:val="22"/>
        </w:rPr>
        <w:t xml:space="preserve">Also contains: sqdist (pairwise squared Euclidean distance, for kernel matrix computation).</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posterior_sample_piGP.m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Draws one Thompson spectral sample from the physics-informed GP posterior and returns it as a function handle. The GP is trained on residuals; the sample evaluates the residual and adds the prior mean back at test points. Also contains mean_sample_piGP for the final GP Pareto estimation.</w:t>
      </w:r>
    </w:p>
    <w:p>
      <w:pPr>
        <w:pStyle w:val="Heading2"/>
        <w:spacing w:after="160" w:before="300"/>
      </w:pPr>
      <w:r>
        <w:rPr>
          <w:rFonts w:ascii="Arial" w:cs="Arial" w:eastAsia="Arial" w:hAnsi="Arial"/>
          <w:b/>
          <w:bCs/>
          <w:color w:val="2E75B6"/>
          <w:sz w:val="28"/>
          <w:szCs w:val="28"/>
        </w:rPr>
        <w:t xml:space="preserve">Mathematics — Spectral Sampling</w:t>
      </w:r>
    </w:p>
    <w:p>
      <w:pPr>
        <w:pStyle w:val="Heading3"/>
        <w:spacing w:after="120" w:before="240"/>
      </w:pPr>
      <w:r>
        <w:rPr>
          <w:rFonts w:ascii="Arial" w:cs="Arial" w:eastAsia="Arial" w:hAnsi="Arial"/>
          <w:b/>
          <w:bCs/>
          <w:color w:val="404040"/>
          <w:sz w:val="24"/>
          <w:szCs w:val="24"/>
        </w:rPr>
        <w:t xml:space="preserve">Random Fourier features (Bochner's theorem)</w:t>
      </w:r>
    </w:p>
    <w:p>
      <w:pPr>
        <w:spacing w:after="100" w:before="100"/>
        <w:ind w:left="360"/>
        <w:jc w:val="center"/>
      </w:pPr>
      <w:r>
        <w:rPr>
          <w:rFonts w:ascii="Cambria Math" w:cs="Cambria Math" w:eastAsia="Cambria Math" w:hAnsi="Cambria Math"/>
          <w:i/>
          <w:iCs/>
          <w:color w:val="1F4E79"/>
          <w:sz w:val="22"/>
          <w:szCs w:val="22"/>
        </w:rPr>
        <w:t xml:space="preserve">φ(x) = √(2σ²f / M) · cos(W x + b)  ∈ ℝᴹ</w:t>
      </w:r>
    </w:p>
    <w:p>
      <w:pPr>
        <w:spacing w:after="100" w:before="60"/>
      </w:pPr>
      <w:r>
        <w:rPr>
          <w:rFonts w:ascii="Arial" w:cs="Arial" w:eastAsia="Arial" w:hAnsi="Arial"/>
          <w:sz w:val="22"/>
          <w:szCs w:val="22"/>
        </w:rPr>
        <w:t xml:space="preserve">W ∈ ℝ^{M×D} sampled from the spectral density of the Matérn kernel via inverse CDF. b ∈ ℝᴹ uniform on [0, 2π]. M = nSpectralpoints.</w:t>
      </w:r>
    </w:p>
    <w:p>
      <w:pPr>
        <w:pStyle w:val="Heading3"/>
        <w:spacing w:after="120" w:before="240"/>
      </w:pPr>
      <w:r>
        <w:rPr>
          <w:rFonts w:ascii="Arial" w:cs="Arial" w:eastAsia="Arial" w:hAnsi="Arial"/>
          <w:b/>
          <w:bCs/>
          <w:color w:val="404040"/>
          <w:sz w:val="24"/>
          <w:szCs w:val="24"/>
        </w:rPr>
        <w:t xml:space="preserve">Posterior over spectral weights</w:t>
      </w:r>
    </w:p>
    <w:p>
      <w:pPr>
        <w:spacing w:after="100" w:before="100"/>
        <w:ind w:left="360"/>
        <w:jc w:val="center"/>
      </w:pPr>
      <w:r>
        <w:rPr>
          <w:rFonts w:ascii="Cambria Math" w:cs="Cambria Math" w:eastAsia="Cambria Math" w:hAnsi="Cambria Math"/>
          <w:i/>
          <w:iCs/>
          <w:color w:val="1F4E79"/>
          <w:sz w:val="22"/>
          <w:szCs w:val="22"/>
        </w:rPr>
        <w:t xml:space="preserve">A = Φᵀ Φ + σ²_n I_M</w:t>
      </w:r>
    </w:p>
    <w:p>
      <w:pPr>
        <w:spacing w:after="100" w:before="100"/>
        <w:ind w:left="360"/>
        <w:jc w:val="center"/>
      </w:pPr>
      <w:r>
        <w:rPr>
          <w:rFonts w:ascii="Cambria Math" w:cs="Cambria Math" w:eastAsia="Cambria Math" w:hAnsi="Cambria Math"/>
          <w:i/>
          <w:iCs/>
          <w:color w:val="1F4E79"/>
          <w:sz w:val="22"/>
          <w:szCs w:val="22"/>
        </w:rPr>
        <w:t xml:space="preserve">μ_θ = A⁻¹ Φ r    [mean spectral weights from residuals r]</w:t>
      </w:r>
    </w:p>
    <w:p>
      <w:pPr>
        <w:spacing w:after="100" w:before="100"/>
        <w:ind w:left="360"/>
        <w:jc w:val="center"/>
      </w:pPr>
      <w:r>
        <w:rPr>
          <w:rFonts w:ascii="Cambria Math" w:cs="Cambria Math" w:eastAsia="Cambria Math" w:hAnsi="Cambria Math"/>
          <w:i/>
          <w:iCs/>
          <w:color w:val="1F4E79"/>
          <w:sz w:val="22"/>
          <w:szCs w:val="22"/>
        </w:rPr>
        <w:t xml:space="preserve">Σ_θ = σ²_n A⁻¹   [covariance of spectral weights]</w:t>
      </w:r>
    </w:p>
    <w:p>
      <w:pPr>
        <w:spacing w:after="100" w:before="100"/>
        <w:ind w:left="360"/>
        <w:jc w:val="center"/>
      </w:pPr>
      <w:r>
        <w:rPr>
          <w:rFonts w:ascii="Cambria Math" w:cs="Cambria Math" w:eastAsia="Cambria Math" w:hAnsi="Cambria Math"/>
          <w:i/>
          <w:iCs/>
          <w:color w:val="1F4E79"/>
          <w:sz w:val="22"/>
          <w:szCs w:val="22"/>
        </w:rPr>
        <w:t xml:space="preserve">θ_sp ~ N(μ_θ, Σ_θ)  [one Thompson sample]</w:t>
      </w:r>
    </w:p>
    <w:p>
      <w:pPr>
        <w:pStyle w:val="Heading3"/>
        <w:spacing w:after="120" w:before="240"/>
      </w:pPr>
      <w:r>
        <w:rPr>
          <w:rFonts w:ascii="Arial" w:cs="Arial" w:eastAsia="Arial" w:hAnsi="Arial"/>
          <w:b/>
          <w:bCs/>
          <w:color w:val="404040"/>
          <w:sz w:val="24"/>
          <w:szCs w:val="24"/>
        </w:rPr>
        <w:t xml:space="preserve">Evaluating the sample at test points x*</w:t>
      </w:r>
    </w:p>
    <w:p>
      <w:pPr>
        <w:spacing w:after="100" w:before="100"/>
        <w:ind w:left="360"/>
        <w:jc w:val="center"/>
      </w:pPr>
      <w:r>
        <w:rPr>
          <w:rFonts w:ascii="Cambria Math" w:cs="Cambria Math" w:eastAsia="Cambria Math" w:hAnsi="Cambria Math"/>
          <w:i/>
          <w:iCs/>
          <w:color w:val="1F4E79"/>
          <w:sz w:val="22"/>
          <w:szCs w:val="22"/>
        </w:rPr>
        <w:t xml:space="preserve">f(x*) = θ_sp · φ(x*) + (m̃(x*|θ) − mean(m̃_train)) / std(m̃_train)</w:t>
      </w:r>
    </w:p>
    <w:p>
      <w:pPr>
        <w:spacing w:after="100" w:before="60"/>
      </w:pPr>
      <w:r>
        <w:rPr>
          <w:rFonts w:ascii="Arial" w:cs="Arial" w:eastAsia="Arial" w:hAnsi="Arial"/>
          <w:sz w:val="22"/>
          <w:szCs w:val="22"/>
        </w:rPr>
        <w:t xml:space="preserve">The prior mean is added back inside the function handle using the same standardisation constants computed from the training set. This ensures that the Thompson sample represents a physically-informed prediction of the full standardised objective, not just the residual.</w:t>
      </w:r>
    </w:p>
    <w:p>
      <w:pPr>
        <w:pStyle w:val="Heading2"/>
        <w:spacing w:after="160" w:before="300"/>
      </w:pPr>
      <w:r>
        <w:rPr>
          <w:rFonts w:ascii="Arial" w:cs="Arial" w:eastAsia="Arial" w:hAnsi="Arial"/>
          <w:b/>
          <w:bCs/>
          <w:color w:val="2E75B6"/>
          <w:sz w:val="28"/>
          <w:szCs w:val="28"/>
        </w:rPr>
        <w:t xml:space="preserve">Consistency with Training</w:t>
      </w:r>
    </w:p>
    <w:p>
      <w:pPr>
        <w:spacing w:after="100" w:before="60"/>
      </w:pPr>
      <w:r>
        <w:rPr>
          <w:rFonts w:ascii="Arial" w:cs="Arial" w:eastAsia="Arial" w:hAnsi="Arial"/>
          <w:sz w:val="22"/>
          <w:szCs w:val="22"/>
        </w:rPr>
        <w:t xml:space="preserve">Both training (TrainingOfGP_piGP) and sampling operate on the same residuals r = Ynew − m̃_scaled. The prior is added back at evaluation time, not as a post-hoc offset. This is the key correctness improvement over the old prior scripts.</w:t>
      </w:r>
    </w:p>
    <w:p>
      <w:pPr>
        <w:pStyle w:val="Heading2"/>
        <w:spacing w:after="160" w:before="300"/>
      </w:pPr>
      <w:r>
        <w:rPr>
          <w:rFonts w:ascii="Arial" w:cs="Arial" w:eastAsia="Arial" w:hAnsi="Arial"/>
          <w:b/>
          <w:bCs/>
          <w:color w:val="2E75B6"/>
          <w:sz w:val="28"/>
          <w:szCs w:val="28"/>
        </w:rPr>
        <w:t xml:space="preserve">mean_sample_piGP</w:t>
      </w:r>
    </w:p>
    <w:p>
      <w:pPr>
        <w:spacing w:after="100" w:before="60"/>
      </w:pPr>
      <w:r>
        <w:rPr>
          <w:rFonts w:ascii="Arial" w:cs="Arial" w:eastAsia="Arial" w:hAnsi="Arial"/>
          <w:sz w:val="22"/>
          <w:szCs w:val="22"/>
        </w:rPr>
        <w:t xml:space="preserve">Same structure as posterior_sample_piGP but returns the deterministic posterior mean (using μ_θ, not a sample) and the posterior variance function. Used for the final GP Pareto front estimation at the end of the optimisation run.</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denoise_concentration.m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Physics-informed denoising of MIR/PLS concentration measurements. Operates upstream of the objective computation — on the raw concentrations c₁…c₅ rather than on the objectives Y. Blends each measured concentration with a physics prediction, with a blend weight learned from historical residuals. No explicit noise level is required.</w:t>
      </w:r>
    </w:p>
    <w:p>
      <w:pPr>
        <w:pStyle w:val="Heading2"/>
        <w:spacing w:after="160" w:before="300"/>
      </w:pPr>
      <w:r>
        <w:rPr>
          <w:rFonts w:ascii="Arial" w:cs="Arial" w:eastAsia="Arial" w:hAnsi="Arial"/>
          <w:b/>
          <w:bCs/>
          <w:color w:val="2E75B6"/>
          <w:sz w:val="28"/>
          <w:szCs w:val="28"/>
        </w:rPr>
        <w:t xml:space="preserve">Motivation</w:t>
      </w:r>
    </w:p>
    <w:p>
      <w:pPr>
        <w:spacing w:after="100" w:before="60"/>
      </w:pPr>
      <w:r>
        <w:rPr>
          <w:rFonts w:ascii="Arial" w:cs="Arial" w:eastAsia="Arial" w:hAnsi="Arial"/>
          <w:sz w:val="22"/>
          <w:szCs w:val="22"/>
        </w:rPr>
        <w:t xml:space="preserve">The GP noise hyperparameter σ_n handles measurement noise implicitly, but it treats all observations as equally noisy. When MIR/PLS noise is the dominant source of scatter (common at low concentrations), explicitly denoising the measurements before objective computation gives the GP cleaner training data and reduces posterior variance in the Pareto region.</w:t>
      </w:r>
    </w:p>
    <w:p>
      <w:pPr>
        <w:pStyle w:val="Heading2"/>
        <w:spacing w:after="160" w:before="300"/>
      </w:pPr>
      <w:r>
        <w:rPr>
          <w:rFonts w:ascii="Arial" w:cs="Arial" w:eastAsia="Arial" w:hAnsi="Arial"/>
          <w:b/>
          <w:bCs/>
          <w:color w:val="2E75B6"/>
          <w:sz w:val="28"/>
          <w:szCs w:val="28"/>
        </w:rPr>
        <w:t xml:space="preserve">Mathematics</w:t>
      </w:r>
    </w:p>
    <w:p>
      <w:pPr>
        <w:pStyle w:val="Heading3"/>
        <w:spacing w:after="120" w:before="240"/>
      </w:pPr>
      <w:r>
        <w:rPr>
          <w:rFonts w:ascii="Arial" w:cs="Arial" w:eastAsia="Arial" w:hAnsi="Arial"/>
          <w:b/>
          <w:bCs/>
          <w:color w:val="404040"/>
          <w:sz w:val="24"/>
          <w:szCs w:val="24"/>
        </w:rPr>
        <w:t xml:space="preserve">Physics concentration prediction</w:t>
      </w:r>
    </w:p>
    <w:p>
      <w:pPr>
        <w:spacing w:after="100" w:before="60"/>
      </w:pPr>
      <w:r>
        <w:rPr>
          <w:rFonts w:ascii="Arial" w:cs="Arial" w:eastAsia="Arial" w:hAnsi="Arial"/>
          <w:sz w:val="22"/>
          <w:szCs w:val="22"/>
        </w:rPr>
        <w:t xml:space="preserve">Uses the same Damköhler/Arrhenius model as piGP_prior_mean, but maps [τ, T] to individual concentrations rather than to objective values:</w:t>
      </w:r>
    </w:p>
    <w:p>
      <w:pPr>
        <w:spacing w:after="100" w:before="100"/>
        <w:ind w:left="360"/>
        <w:jc w:val="center"/>
      </w:pPr>
      <w:r>
        <w:rPr>
          <w:rFonts w:ascii="Cambria Math" w:cs="Cambria Math" w:eastAsia="Cambria Math" w:hAnsi="Cambria Math"/>
          <w:i/>
          <w:iCs/>
          <w:color w:val="1F4E79"/>
          <w:sz w:val="22"/>
          <w:szCs w:val="22"/>
        </w:rPr>
        <w:t xml:space="preserve">c₃_phys = α_S · SEL · (c₀ · X)      [ortho product C]</w:t>
      </w:r>
    </w:p>
    <w:p>
      <w:pPr>
        <w:spacing w:after="100" w:before="100"/>
        <w:ind w:left="360"/>
        <w:jc w:val="center"/>
      </w:pPr>
      <w:r>
        <w:rPr>
          <w:rFonts w:ascii="Cambria Math" w:cs="Cambria Math" w:eastAsia="Cambria Math" w:hAnsi="Cambria Math"/>
          <w:i/>
          <w:iCs/>
          <w:color w:val="1F4E79"/>
          <w:sz w:val="22"/>
          <w:szCs w:val="22"/>
        </w:rPr>
        <w:t xml:space="preserve">c₄_phys = α_S · (1−SEL) · 0.5 · (c₀ · X)  [para product D]</w:t>
      </w:r>
    </w:p>
    <w:p>
      <w:pPr>
        <w:spacing w:after="100" w:before="100"/>
        <w:ind w:left="360"/>
        <w:jc w:val="center"/>
      </w:pPr>
      <w:r>
        <w:rPr>
          <w:rFonts w:ascii="Cambria Math" w:cs="Cambria Math" w:eastAsia="Cambria Math" w:hAnsi="Cambria Math"/>
          <w:i/>
          <w:iCs/>
          <w:color w:val="1F4E79"/>
          <w:sz w:val="22"/>
          <w:szCs w:val="22"/>
        </w:rPr>
        <w:t xml:space="preserve">c₅_phys = 0.1 · Da_SEL²/(1+Da_SEL²) · (c₀ · X)  [bis-adduct E]</w:t>
      </w:r>
    </w:p>
    <w:p>
      <w:pPr>
        <w:spacing w:after="100" w:before="100"/>
        <w:ind w:left="360"/>
        <w:jc w:val="center"/>
      </w:pPr>
      <w:r>
        <w:rPr>
          <w:rFonts w:ascii="Cambria Math" w:cs="Cambria Math" w:eastAsia="Cambria Math" w:hAnsi="Cambria Math"/>
          <w:i/>
          <w:iCs/>
          <w:color w:val="1F4E79"/>
          <w:sz w:val="22"/>
          <w:szCs w:val="22"/>
        </w:rPr>
        <w:t xml:space="preserve">c₁_phys = c₁₀ − c₀ · X             [remaining DFNB]</w:t>
      </w:r>
    </w:p>
    <w:p>
      <w:pPr>
        <w:pStyle w:val="Heading3"/>
        <w:spacing w:after="120" w:before="240"/>
      </w:pPr>
      <w:r>
        <w:rPr>
          <w:rFonts w:ascii="Arial" w:cs="Arial" w:eastAsia="Arial" w:hAnsi="Arial"/>
          <w:b/>
          <w:bCs/>
          <w:color w:val="404040"/>
          <w:sz w:val="24"/>
          <w:szCs w:val="24"/>
        </w:rPr>
        <w:t xml:space="preserve">Blend</w:t>
      </w:r>
    </w:p>
    <w:p>
      <w:pPr>
        <w:spacing w:after="100" w:before="100"/>
        <w:ind w:left="360"/>
        <w:jc w:val="center"/>
      </w:pPr>
      <w:r>
        <w:rPr>
          <w:rFonts w:ascii="Cambria Math" w:cs="Cambria Math" w:eastAsia="Cambria Math" w:hAnsi="Cambria Math"/>
          <w:i/>
          <w:iCs/>
          <w:color w:val="1F4E79"/>
          <w:sz w:val="22"/>
          <w:szCs w:val="22"/>
        </w:rPr>
        <w:t xml:space="preserve">c_denoised,i = w · c_phys,i(τ, T | θ) + (1−w) · c_measured,i</w:t>
      </w:r>
    </w:p>
    <w:p>
      <w:pPr>
        <w:pStyle w:val="Heading3"/>
        <w:spacing w:after="120" w:before="240"/>
      </w:pPr>
      <w:r>
        <w:rPr>
          <w:rFonts w:ascii="Arial" w:cs="Arial" w:eastAsia="Arial" w:hAnsi="Arial"/>
          <w:b/>
          <w:bCs/>
          <w:color w:val="404040"/>
          <w:sz w:val="24"/>
          <w:szCs w:val="24"/>
        </w:rPr>
        <w:t xml:space="preserve">Learning the blend weight w</w:t>
      </w:r>
    </w:p>
    <w:p>
      <w:pPr>
        <w:spacing w:after="100" w:before="60"/>
      </w:pPr>
      <w:r>
        <w:rPr>
          <w:rFonts w:ascii="Arial" w:cs="Arial" w:eastAsia="Arial" w:hAnsi="Arial"/>
          <w:sz w:val="22"/>
          <w:szCs w:val="22"/>
        </w:rPr>
        <w:t xml:space="preserve">w ∈ [0, 0.8] is found by grid search minimising the leave-one-out cross-validation error over product components (c₃, c₄, c₅):</w:t>
      </w:r>
    </w:p>
    <w:p>
      <w:pPr>
        <w:spacing w:after="100" w:before="100"/>
        <w:ind w:left="360"/>
        <w:jc w:val="center"/>
      </w:pPr>
      <w:r>
        <w:rPr>
          <w:rFonts w:ascii="Cambria Math" w:cs="Cambria Math" w:eastAsia="Cambria Math" w:hAnsi="Cambria Math"/>
          <w:i/>
          <w:iCs/>
          <w:color w:val="1F4E79"/>
          <w:sz w:val="22"/>
          <w:szCs w:val="22"/>
        </w:rPr>
        <w:t xml:space="preserve">w* = argmin_w [ Σ_k Σ_{j∈{3,4,5}} (w·c_phys,k,j + (1−w)·c_meas,k,j − c_meas,k,j)² + 0.1·(w−w_prev)² ]</w:t>
      </w:r>
    </w:p>
    <w:p>
      <w:pPr>
        <w:spacing w:after="100" w:before="60"/>
      </w:pPr>
      <w:r>
        <w:rPr>
          <w:rFonts w:ascii="Arial" w:cs="Arial" w:eastAsia="Arial" w:hAnsi="Arial"/>
          <w:sz w:val="22"/>
          <w:szCs w:val="22"/>
        </w:rPr>
        <w:t xml:space="preserve">The regularisation term 0.1·(w−w_prev)² stabilises w across iterations. With no history (first experiment), w defaults to 0.3.</w:t>
      </w:r>
    </w:p>
    <w:p>
      <w:pPr>
        <w:pStyle w:val="Heading3"/>
        <w:spacing w:after="120" w:before="240"/>
      </w:pPr>
      <w:r>
        <w:rPr>
          <w:rFonts w:ascii="Arial" w:cs="Arial" w:eastAsia="Arial" w:hAnsi="Arial"/>
          <w:b/>
          <w:bCs/>
          <w:color w:val="404040"/>
          <w:sz w:val="24"/>
          <w:szCs w:val="24"/>
        </w:rPr>
        <w:t xml:space="preserve">Mass balance correction</w:t>
      </w:r>
    </w:p>
    <w:p>
      <w:pPr>
        <w:spacing w:after="100" w:before="100"/>
        <w:ind w:left="360"/>
        <w:jc w:val="center"/>
      </w:pPr>
      <w:r>
        <w:rPr>
          <w:rFonts w:ascii="Cambria Math" w:cs="Cambria Math" w:eastAsia="Cambria Math" w:hAnsi="Cambria Math"/>
          <w:i/>
          <w:iCs/>
          <w:color w:val="1F4E79"/>
          <w:sz w:val="22"/>
          <w:szCs w:val="22"/>
        </w:rPr>
        <w:t xml:space="preserve">scale = c₁₀ / (c₁ + c₃ + c₄ + 2·c₅)</w:t>
      </w:r>
    </w:p>
    <w:p>
      <w:pPr>
        <w:spacing w:after="100" w:before="60"/>
      </w:pPr>
      <w:r>
        <w:rPr>
          <w:rFonts w:ascii="Arial" w:cs="Arial" w:eastAsia="Arial" w:hAnsi="Arial"/>
          <w:sz w:val="22"/>
          <w:szCs w:val="22"/>
        </w:rPr>
        <w:t xml:space="preserve">Applied only if |scale − 1| &lt; 0.20 (soft correction, avoids over-correcting bad measurements). Enforces conservation of aromatic rings — each bis-adduct E contains two aromatic units from DFNB.</w:t>
      </w:r>
    </w:p>
    <w:p>
      <w:pPr>
        <w:pStyle w:val="Heading2"/>
        <w:spacing w:after="160" w:before="300"/>
      </w:pPr>
      <w:r>
        <w:rPr>
          <w:rFonts w:ascii="Arial" w:cs="Arial" w:eastAsia="Arial" w:hAnsi="Arial"/>
          <w:b/>
          <w:bCs/>
          <w:color w:val="2E75B6"/>
          <w:sz w:val="28"/>
          <w:szCs w:val="28"/>
        </w:rPr>
        <w:t xml:space="preserve">Key Design Choices</w:t>
      </w:r>
    </w:p>
    <w:p>
      <w:pPr>
        <w:pStyle w:val="ListParagraph"/>
        <w:numPr>
          <w:ilvl w:val="0"/>
          <w:numId w:val="2"/>
        </w:numPr>
        <w:spacing w:after="40" w:before="40"/>
      </w:pPr>
      <w:r>
        <w:rPr>
          <w:rFonts w:ascii="Arial" w:cs="Arial" w:eastAsia="Arial" w:hAnsi="Arial"/>
          <w:sz w:val="22"/>
          <w:szCs w:val="22"/>
        </w:rPr>
        <w:t xml:space="preserve">w capped at 0.8 maximum: the measurement always contributes at least 20%. Never fully overrides the real reactor signal.</w:t>
      </w:r>
    </w:p>
    <w:p>
      <w:pPr>
        <w:pStyle w:val="ListParagraph"/>
        <w:numPr>
          <w:ilvl w:val="0"/>
          <w:numId w:val="2"/>
        </w:numPr>
        <w:spacing w:after="40" w:before="40"/>
      </w:pPr>
      <w:r>
        <w:rPr>
          <w:rFonts w:ascii="Arial" w:cs="Arial" w:eastAsia="Arial" w:hAnsi="Arial"/>
          <w:sz w:val="22"/>
          <w:szCs w:val="22"/>
        </w:rPr>
        <w:t xml:space="preserve">History stores raw measurements: the denoiser learns from unfiltered data to prevent feedback loops.</w:t>
      </w:r>
    </w:p>
    <w:p>
      <w:pPr>
        <w:pStyle w:val="ListParagraph"/>
        <w:numPr>
          <w:ilvl w:val="0"/>
          <w:numId w:val="2"/>
        </w:numPr>
        <w:spacing w:after="40" w:before="40"/>
      </w:pPr>
      <w:r>
        <w:rPr>
          <w:rFonts w:ascii="Arial" w:cs="Arial" w:eastAsia="Arial" w:hAnsi="Arial"/>
          <w:sz w:val="22"/>
          <w:szCs w:val="22"/>
        </w:rPr>
        <w:t xml:space="preserve">θ shared with piGP: the same prior parameters that drive the GP prior mean also drive the denoiser. Both improve as data accumulates.</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TSEMO_V4_1a_OPC_piGP.m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Self-contained physics-informed TSEMO algorithm. Drop-in replacement for TSEMO_V4_1a_OPC.m. Contains the main optimisation loop, all modified GP functions (ScaleVariables, set_option_structure, mean_sample_piGP, mean_eval), and all unchanged TSEMO infrastructure subfunctions (create_log_file, update_log_file, Find_sample_pareto, hypervolume functions, etc.).</w:t>
      </w:r>
    </w:p>
    <w:p>
      <w:pPr>
        <w:pStyle w:val="Heading2"/>
        <w:spacing w:after="160" w:before="300"/>
      </w:pPr>
      <w:r>
        <w:rPr>
          <w:rFonts w:ascii="Arial" w:cs="Arial" w:eastAsia="Arial" w:hAnsi="Arial"/>
          <w:b/>
          <w:bCs/>
          <w:color w:val="2E75B6"/>
          <w:sz w:val="28"/>
          <w:szCs w:val="28"/>
        </w:rPr>
        <w:t xml:space="preserve">Algorithm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44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Changed from standard?</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1</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Scale variables: X→[0,1], Y→zero-mean/unit-var</w:t>
            </w:r>
          </w:p>
        </w:tc>
        <w:tc>
          <w:tcPr>
            <w:tcW w:type="dxa" w:w="444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Modified: also returns Y_mean, Y_std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Compute physics prior mean m̃(X|θ) at training points</w:t>
            </w:r>
          </w:p>
        </w:tc>
        <w:tc>
          <w:tcPr>
            <w:tcW w:type="dxa" w:w="4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3</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Form residuals r = Ynew − m̃_scaled</w:t>
            </w:r>
          </w:p>
        </w:tc>
        <w:tc>
          <w:tcPr>
            <w:tcW w:type="dxa" w:w="444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NEW</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Joint MAP: TrainingOfGP_piGP fits {λ₁,λ₂,σf,σn,k_ref,Ea,α,β}</w:t>
            </w:r>
          </w:p>
        </w:tc>
        <w:tc>
          <w:tcPr>
            <w:tcW w:type="dxa" w:w="4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 8 params vs 4</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5</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Draw spectral Thompson samples on residuals, add m̃(x*) back</w:t>
            </w:r>
          </w:p>
        </w:tc>
        <w:tc>
          <w:tcPr>
            <w:tcW w:type="dxa" w:w="444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NEW — posterior_sample_piGP</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Find Pareto of GP samples via NSGA-II</w:t>
            </w:r>
          </w:p>
        </w:tc>
        <w:tc>
          <w:tcPr>
            <w:tcW w:type="dxa" w:w="4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Unchanged</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7</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Select next point by max hypervolume improvement</w:t>
            </w:r>
          </w:p>
        </w:tc>
        <w:tc>
          <w:tcPr>
            <w:tcW w:type="dxa" w:w="444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Unchanged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Evaluate black-box / real reactor</w:t>
            </w:r>
          </w:p>
        </w:tc>
        <w:tc>
          <w:tcPr>
            <w:tcW w:type="dxa" w:w="4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Unchanged</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9</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Update dataset, log, display</w:t>
            </w:r>
          </w:p>
        </w:tc>
        <w:tc>
          <w:tcPr>
            <w:tcW w:type="dxa" w:w="444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Unchanged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 (final)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Pareto-subset back-transformation for GP Pareto</w:t>
            </w:r>
          </w:p>
        </w:tc>
        <w:tc>
          <w:tcPr>
            <w:tcW w:type="dxa" w:w="4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 fixes lagging GP Pareto</w:t>
            </w:r>
          </w:p>
        </w:tc>
      </w:tr>
    </w:tbl>
    <w:p>
      <w:pPr>
        <w:pStyle w:val="Heading2"/>
        <w:spacing w:after="160" w:before="300"/>
      </w:pPr>
      <w:r>
        <w:rPr>
          <w:rFonts w:ascii="Arial" w:cs="Arial" w:eastAsia="Arial" w:hAnsi="Arial"/>
          <w:b/>
          <w:bCs/>
          <w:color w:val="2E75B6"/>
          <w:sz w:val="28"/>
          <w:szCs w:val="28"/>
        </w:rPr>
        <w:t xml:space="preserve">Extra Output: theta_history</w:t>
      </w:r>
    </w:p>
    <w:p>
      <w:pPr>
        <w:spacing w:after="100" w:before="60"/>
      </w:pPr>
      <w:r>
        <w:rPr>
          <w:rFonts w:ascii="Arial" w:cs="Arial" w:eastAsia="Arial" w:hAnsi="Arial"/>
          <w:sz w:val="22"/>
          <w:szCs w:val="22"/>
        </w:rPr>
        <w:t xml:space="preserve">A [n_iter × 4 × 2] array recording the fitted prior parameters {log_kref, Ea, α, β} for both objectives at every iteration. Use this to diagnose prior convergence: if Ea converges to 15–80 kJ/mol and k_ref converges to a physically reasonable value, the prior is working correctly.</w:t>
      </w:r>
    </w:p>
    <w:p>
      <w:pPr>
        <w:pStyle w:val="Heading2"/>
        <w:spacing w:after="160" w:before="300"/>
      </w:pPr>
      <w:r>
        <w:rPr>
          <w:rFonts w:ascii="Arial" w:cs="Arial" w:eastAsia="Arial" w:hAnsi="Arial"/>
          <w:b/>
          <w:bCs/>
          <w:color w:val="2E75B6"/>
          <w:sz w:val="28"/>
          <w:szCs w:val="28"/>
        </w:rPr>
        <w:t xml:space="preserve">GP Pareto Back-Transformation Fix</w:t>
      </w:r>
    </w:p>
    <w:p>
      <w:pPr>
        <w:spacing w:after="100" w:before="60"/>
      </w:pPr>
      <w:r>
        <w:rPr>
          <w:rFonts w:ascii="Arial" w:cs="Arial" w:eastAsia="Arial" w:hAnsi="Arial"/>
          <w:sz w:val="22"/>
          <w:szCs w:val="22"/>
        </w:rPr>
        <w:t xml:space="preserve">The standard back-transformation uses global dataset statistics:</w:t>
      </w:r>
    </w:p>
    <w:p>
      <w:pPr>
        <w:spacing w:after="100" w:before="100"/>
        <w:ind w:left="360"/>
        <w:jc w:val="center"/>
      </w:pPr>
      <w:r>
        <w:rPr>
          <w:rFonts w:ascii="Cambria Math" w:cs="Cambria Math" w:eastAsia="Cambria Math" w:hAnsi="Cambria Math"/>
          <w:i/>
          <w:iCs/>
          <w:color w:val="1F4E79"/>
          <w:sz w:val="22"/>
          <w:szCs w:val="22"/>
        </w:rPr>
        <w:t xml:space="preserve">Y_GP,physical = Ŷ_GP,standardised · σ(Y_all) + μ(Y_all)</w:t>
      </w:r>
    </w:p>
    <w:p>
      <w:pPr>
        <w:spacing w:after="100" w:before="60"/>
      </w:pPr>
      <w:r>
        <w:rPr>
          <w:rFonts w:ascii="Arial" w:cs="Arial" w:eastAsia="Arial" w:hAnsi="Arial"/>
          <w:sz w:val="22"/>
          <w:szCs w:val="22"/>
        </w:rPr>
        <w:t xml:space="preserve">Because early LHD points have poor objective values, μ(Y_all) is biased toward worse performance, causing the GP Pareto to lag behind the true Pareto. The fix uses Pareto-subset statistics:</w:t>
      </w:r>
    </w:p>
    <w:p>
      <w:pPr>
        <w:spacing w:after="100" w:before="100"/>
        <w:ind w:left="360"/>
        <w:jc w:val="center"/>
      </w:pPr>
      <w:r>
        <w:rPr>
          <w:rFonts w:ascii="Cambria Math" w:cs="Cambria Math" w:eastAsia="Cambria Math" w:hAnsi="Cambria Math"/>
          <w:i/>
          <w:iCs/>
          <w:color w:val="1F4E79"/>
          <w:sz w:val="22"/>
          <w:szCs w:val="22"/>
        </w:rPr>
        <w:t xml:space="preserve">blend = min(n_Pareto / 2, 1)</w:t>
      </w:r>
    </w:p>
    <w:p>
      <w:pPr>
        <w:spacing w:after="100" w:before="100"/>
        <w:ind w:left="360"/>
        <w:jc w:val="center"/>
      </w:pPr>
      <w:r>
        <w:rPr>
          <w:rFonts w:ascii="Cambria Math" w:cs="Cambria Math" w:eastAsia="Cambria Math" w:hAnsi="Cambria Math"/>
          <w:i/>
          <w:iCs/>
          <w:color w:val="1F4E79"/>
          <w:sz w:val="22"/>
          <w:szCs w:val="22"/>
        </w:rPr>
        <w:t xml:space="preserve">μ_eff = blend · μ(Y_Pareto) + (1−blend) · μ(Y_all)</w:t>
      </w:r>
    </w:p>
    <w:p>
      <w:pPr>
        <w:spacing w:after="100" w:before="100"/>
        <w:ind w:left="360"/>
        <w:jc w:val="center"/>
      </w:pPr>
      <w:r>
        <w:rPr>
          <w:rFonts w:ascii="Cambria Math" w:cs="Cambria Math" w:eastAsia="Cambria Math" w:hAnsi="Cambria Math"/>
          <w:i/>
          <w:iCs/>
          <w:color w:val="1F4E79"/>
          <w:sz w:val="22"/>
          <w:szCs w:val="22"/>
        </w:rPr>
        <w:t xml:space="preserve">Y_GP,physical = Ŷ_GP · σ_eff + μ_eff</w:t>
      </w:r>
    </w:p>
    <w:p>
      <w:pPr>
        <w:spacing w:after="100" w:before="60"/>
      </w:pPr>
      <w:r>
        <w:rPr>
          <w:rFonts w:ascii="Arial" w:cs="Arial" w:eastAsia="Arial" w:hAnsi="Arial"/>
          <w:sz w:val="22"/>
          <w:szCs w:val="22"/>
        </w:rPr>
        <w:t xml:space="preserve">Once ≥2 Pareto points exist, local Pareto statistics fully dominate.</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TSEMO_OPC_2D_piGP.m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The main script you run. Controls the full experiment cycle: LHD generation, initial experiments, piGP-TSEMO optimisation, visualisation. Hardware blocks (OPC-UA + MIR) are commented out and replaced with simulation dummy for in-silico testing.</w:t>
      </w:r>
    </w:p>
    <w:p>
      <w:pPr>
        <w:pStyle w:val="Heading2"/>
        <w:spacing w:after="160" w:before="300"/>
      </w:pPr>
      <w:r>
        <w:rPr>
          <w:rFonts w:ascii="Arial" w:cs="Arial" w:eastAsia="Arial" w:hAnsi="Arial"/>
          <w:b/>
          <w:bCs/>
          <w:color w:val="2E75B6"/>
          <w:sz w:val="28"/>
          <w:szCs w:val="28"/>
        </w:rPr>
        <w:t xml:space="preserve">Key Parameters to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opt.maxeval</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Step 4</w:t>
            </w:r>
          </w:p>
        </w:tc>
        <w:tc>
          <w:tcPr>
            <w:tcW w:type="dxa" w:w="5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Number of optimisation experiments after LHD (default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dataset_size = no_inputs*2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Step 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LHD size (default 4 for 2 inputs)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gp_shift = [0, 0]</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Step 4</w:t>
            </w:r>
          </w:p>
        </w:tc>
        <w:tc>
          <w:tcPr>
            <w:tcW w:type="dxa" w:w="5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Shift GP Pareto front in −log units (negative = toward better)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c1_0, c2_0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 concentrations [mol/L]</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tau_min/max, T_min/max</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Top</w:t>
            </w:r>
          </w:p>
        </w:tc>
        <w:tc>
          <w:tcPr>
            <w:tcW w:type="dxa" w:w="5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Operating bounds</w:t>
            </w:r>
          </w:p>
        </w:tc>
      </w:tr>
    </w:tbl>
    <w:p>
      <w:pPr>
        <w:pStyle w:val="Heading2"/>
        <w:spacing w:after="160" w:before="300"/>
      </w:pPr>
      <w:r>
        <w:rPr>
          <w:rFonts w:ascii="Arial" w:cs="Arial" w:eastAsia="Arial" w:hAnsi="Arial"/>
          <w:b/>
          <w:bCs/>
          <w:color w:val="2E75B6"/>
          <w:sz w:val="28"/>
          <w:szCs w:val="28"/>
        </w:rPr>
        <w:t xml:space="preserve">Tunable: gp_shift</w:t>
      </w:r>
    </w:p>
    <w:p>
      <w:pPr>
        <w:spacing w:after="100" w:before="60"/>
      </w:pPr>
      <w:r>
        <w:rPr>
          <w:rFonts w:ascii="Arial" w:cs="Arial" w:eastAsia="Arial" w:hAnsi="Arial"/>
          <w:sz w:val="22"/>
          <w:szCs w:val="22"/>
        </w:rPr>
        <w:t xml:space="preserve">A [1×2] vector in −log objective units. A negative value shifts the GP Pareto front toward better performance. Useful when the GP Pareto consistently lags behind the true Pareto after the Pareto-subset fix. To calibrate: run once with [0,0], estimate the mean gap, set gp_shift = −gap.</w:t>
      </w:r>
    </w:p>
    <w:p>
      <w:pPr>
        <w:pStyle w:val="Heading2"/>
        <w:spacing w:after="160" w:before="300"/>
      </w:pPr>
      <w:r>
        <w:rPr>
          <w:rFonts w:ascii="Arial" w:cs="Arial" w:eastAsia="Arial" w:hAnsi="Arial"/>
          <w:b/>
          <w:bCs/>
          <w:color w:val="2E75B6"/>
          <w:sz w:val="28"/>
          <w:szCs w:val="28"/>
        </w:rPr>
        <w:t xml:space="preserve">Outputs Produced</w:t>
      </w:r>
    </w:p>
    <w:p>
      <w:pPr>
        <w:spacing w:after="100" w:before="60"/>
      </w:pPr>
      <w:r>
        <w:rPr>
          <w:rFonts w:ascii="Arial" w:cs="Arial" w:eastAsia="Arial" w:hAnsi="Arial"/>
          <w:sz w:val="22"/>
          <w:szCs w:val="22"/>
        </w:rPr>
        <w:t xml:space="preserve">Two figures: (1) Pareto front plot (data, algorithm, GP Pareto with error bars), (2) prior parameter evolution over iterations. A table of GP Pareto standard deviations.</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qNEHVI_piGP_Multiple_Runs_Different_Meval_and_DatasetSize.m</w:t>
      </w:r>
    </w:p>
    <w:p>
      <w:pPr>
        <w:pStyle w:val="Heading2"/>
        <w:spacing w:after="160" w:before="300"/>
      </w:pPr>
      <w:r>
        <w:rPr>
          <w:rFonts w:ascii="Arial" w:cs="Arial" w:eastAsia="Arial" w:hAnsi="Arial"/>
          <w:b/>
          <w:bCs/>
          <w:color w:val="2E75B6"/>
          <w:sz w:val="28"/>
          <w:szCs w:val="28"/>
        </w:rPr>
        <w:t xml:space="preserve">Purpose</w:t>
      </w:r>
    </w:p>
    <w:p>
      <w:pPr>
        <w:spacing w:after="100" w:before="60"/>
      </w:pPr>
      <w:r>
        <w:rPr>
          <w:rFonts w:ascii="Arial" w:cs="Arial" w:eastAsia="Arial" w:hAnsi="Arial"/>
          <w:sz w:val="22"/>
          <w:szCs w:val="22"/>
        </w:rPr>
        <w:t xml:space="preserve">Batch execution of physics-informed qNEHVI across multiple combinations of maxeval and initial dataset size, with parallel worker support (parfor). Results are saved per run and aggregated into a summary table.</w:t>
      </w:r>
    </w:p>
    <w:p>
      <w:pPr>
        <w:pStyle w:val="Heading2"/>
        <w:spacing w:after="160" w:before="300"/>
      </w:pPr>
      <w:r>
        <w:rPr>
          <w:rFonts w:ascii="Arial" w:cs="Arial" w:eastAsia="Arial" w:hAnsi="Arial"/>
          <w:b/>
          <w:bCs/>
          <w:color w:val="2E75B6"/>
          <w:sz w:val="28"/>
          <w:szCs w:val="28"/>
        </w:rPr>
        <w:t xml:space="preserve">qNEHVI Acquisition vs TSEMO</w:t>
      </w:r>
    </w:p>
    <w:p>
      <w:pPr>
        <w:spacing w:after="100" w:before="60"/>
      </w:pPr>
      <w:r>
        <w:rPr>
          <w:rFonts w:ascii="Arial" w:cs="Arial" w:eastAsia="Arial" w:hAnsi="Arial"/>
          <w:sz w:val="22"/>
          <w:szCs w:val="22"/>
        </w:rPr>
        <w:t xml:space="preserve">qNEHVI uses Monte Carlo approximation of the expected hypervolume improvement:</w:t>
      </w:r>
    </w:p>
    <w:p>
      <w:pPr>
        <w:spacing w:after="100" w:before="100"/>
        <w:ind w:left="360"/>
        <w:jc w:val="center"/>
      </w:pPr>
      <w:r>
        <w:rPr>
          <w:rFonts w:ascii="Cambria Math" w:cs="Cambria Math" w:eastAsia="Cambria Math" w:hAnsi="Cambria Math"/>
          <w:i/>
          <w:iCs/>
          <w:color w:val="1F4E79"/>
          <w:sz w:val="22"/>
          <w:szCs w:val="22"/>
        </w:rPr>
        <w:t xml:space="preserve">α_qNEHVI(x) = E[max(HV(P ∪ {ỹ}) − HV(P), 0)]  where  ỹ ~ GP(x)</w:t>
      </w:r>
    </w:p>
    <w:p>
      <w:pPr>
        <w:spacing w:after="100" w:before="60"/>
      </w:pPr>
      <w:r>
        <w:rPr>
          <w:rFonts w:ascii="Arial" w:cs="Arial" w:eastAsia="Arial" w:hAnsi="Arial"/>
          <w:sz w:val="22"/>
          <w:szCs w:val="22"/>
        </w:rPr>
        <w:t xml:space="preserve">This is approximated by drawing n_MC = 128 samples from the GP posterior at x, computing the HV improvement for each, and averaging. More principled than Thompson+HV (TSEMO) but computationally heavier per iteration.</w:t>
      </w:r>
    </w:p>
    <w:p>
      <w:pPr>
        <w:pStyle w:val="Heading2"/>
        <w:spacing w:after="160" w:before="300"/>
      </w:pPr>
      <w:r>
        <w:rPr>
          <w:rFonts w:ascii="Arial" w:cs="Arial" w:eastAsia="Arial" w:hAnsi="Arial"/>
          <w:b/>
          <w:bCs/>
          <w:color w:val="2E75B6"/>
          <w:sz w:val="28"/>
          <w:szCs w:val="28"/>
        </w:rPr>
        <w:t xml:space="preserve">Physics-Informed Changes vs Original qNEHVI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Original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piGP version</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train_GP_matern52_local</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4 params {λ₁,λ₂,σf,σn}</w:t>
            </w:r>
          </w:p>
        </w:tc>
        <w:tc>
          <w:tcPr>
            <w:tcW w:type="dxa" w:w="39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train_GP_piGP_local: 8 params + prior, trains on residuals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gp_nll_local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NLL on Ynorm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gp_nll_piGP_local: NLL on residuals + MAP priors on θ</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gp_predict_local</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Residual GP mean</w:t>
            </w:r>
          </w:p>
        </w:tc>
        <w:tc>
          <w:tcPr>
            <w:tcW w:type="dxa" w:w="39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gp_predict_piGP_local: residual + m̃(x*|θ) added 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qNEHVI_acq_local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Samples from full GP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qNEHVI_acq_piGP_local: samples from residual GP + prior</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Back-transform</w:t>
            </w:r>
          </w:p>
        </w:tc>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Global σ(Y), μ(Y)</w:t>
            </w:r>
          </w:p>
        </w:tc>
        <w:tc>
          <w:tcPr>
            <w:tcW w:type="dxa" w:w="39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8"/>
                <w:szCs w:val="18"/>
              </w:rPr>
              <w:t xml:space="preserve">Pareto-subset statistics (same fix as TSEMO)</w:t>
            </w:r>
          </w:p>
        </w:tc>
      </w:tr>
    </w:tbl>
    <w:p>
      <w:pPr>
        <w:pStyle w:val="Heading2"/>
        <w:spacing w:after="160" w:before="300"/>
      </w:pPr>
      <w:r>
        <w:rPr>
          <w:rFonts w:ascii="Arial" w:cs="Arial" w:eastAsia="Arial" w:hAnsi="Arial"/>
          <w:b/>
          <w:bCs/>
          <w:color w:val="2E75B6"/>
          <w:sz w:val="28"/>
          <w:szCs w:val="28"/>
        </w:rPr>
        <w:t xml:space="preserve">Batch Configuration</w:t>
      </w:r>
    </w:p>
    <w:p>
      <w:pPr>
        <w:spacing w:after="100" w:before="60"/>
      </w:pPr>
      <w:r>
        <w:rPr>
          <w:rFonts w:ascii="Arial" w:cs="Arial" w:eastAsia="Arial" w:hAnsi="Arial"/>
          <w:sz w:val="22"/>
          <w:szCs w:val="22"/>
        </w:rPr>
        <w:t xml:space="preserve">Edit the 'batches' matrix at the top of the script: each row is [maxeval, n_runs, initial_dataset_size]. Results are saved to dated folders with per-run workspace files and summary CSV.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2026-05-25T19:58:47.036Z</dcterms:created>
  <dcterms:modified xsi:type="dcterms:W3CDTF">2026-05-25T19:58:47.036Z</dcterms:modified>
</cp:coreProperties>
</file>

<file path=docProps/custom.xml><?xml version="1.0" encoding="utf-8"?>
<Properties xmlns="http://schemas.openxmlformats.org/officeDocument/2006/custom-properties" xmlns:vt="http://schemas.openxmlformats.org/officeDocument/2006/docPropsVTypes"/>
</file>