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Physics-Informed Bayesian Optimisation for SNAr Flow Reactor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5A5A5A"/>
          <w:sz w:val="28"/>
          <w:szCs w:val="28"/>
        </w:rPr>
        <w:t xml:space="preserve">Complete System Documentation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documentation covers physics-informed multi-objective Bayesian optimisation (MOBO) scripts for the autonomous optimisation of a continuous-flow SNAr (nucleophilic aromatic substitution) reaction system. Two optimisation algorithms are implemented: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TSEMO — Thompson Sampling for Efficient Multi-objective Optimisation (Bradford et al., 2018)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qNEHVI — q-Noisy Expected Hypervolume Improvement (Daulton et al., 2021)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Both are extended with a physics-informed Gaussian process (piGP) prior that encodes known chemical and reactor knowledge — specifically second-order bimolecular kinetics and approximate plug-flow reactor behaviour — without requiring fitted kinetic parameters. The prior mean parameters are learned jointly with the GP kernel hyperparameters via MAP estimation at every iteration.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 optional concentration denoiser (TSEMO only) further reduces MIR/PLS measurement noise by blending physics predictions with raw measurements before objective computation.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Reaction System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Chemistry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SNAr of 2,4-difluoronitrobenzene (DFNB, A) with pyrrolidine (B) in ethanol: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 + B  →  C   (ortho-substituted product, desired)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 + B  →  D   (para-substituted product, side product)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 + B  →  E   (bis-adduct, over-reaction)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 + B  →  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Reactor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Capillary flow reactor: V_R = 2 mL, diameter 1 mm, approximate plug-flow behaviour (PFR). Online measurement via MIR spectrometer + PLS regression gives concentrations c₁…c₅ at the outlet (~1–3% relative noise).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Decision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Bounds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τ (residence time)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 – 2.00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 (temperature)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°C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– 50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Objectives (both minimised)</w:t>
      </w:r>
    </w:p>
    <w:p>
      <w:pPr>
        <w:spacing w:after="100" w:before="100"/>
        <w:ind w:left="360"/>
        <w:jc w:val="center"/>
      </w:pPr>
      <w:r>
        <w:rPr>
          <w:rFonts w:ascii="Cambria Math" w:cs="Cambria Math" w:eastAsia="Cambria Math" w:hAnsi="Cambria Math"/>
          <w:i/>
          <w:iCs/>
          <w:color w:val="1F4E79"/>
          <w:sz w:val="22"/>
          <w:szCs w:val="22"/>
        </w:rPr>
        <w:t xml:space="preserve">Y₁ = −log(STY)  =  −log(M_C · c₃ / τ_sec)     [maximise space-time yield of C]</w:t>
      </w:r>
    </w:p>
    <w:p>
      <w:pPr>
        <w:spacing w:after="100" w:before="100"/>
        <w:ind w:left="360"/>
        <w:jc w:val="center"/>
      </w:pPr>
      <w:r>
        <w:rPr>
          <w:rFonts w:ascii="Cambria Math" w:cs="Cambria Math" w:eastAsia="Cambria Math" w:hAnsi="Cambria Math"/>
          <w:i/>
          <w:iCs/>
          <w:color w:val="1F4E79"/>
          <w:sz w:val="22"/>
          <w:szCs w:val="22"/>
        </w:rPr>
        <w:t xml:space="preserve">Y₂ = −log(SEL)  =  −log(c₃ / (c₃ + c₄ + c₅)) [maximise selectivity to C]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Objectives are in log-space because STY and SEL span multiple orders of magnitude and both are strictly positive. Minimising −log(f) is equivalent to maximising f.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File Structure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TSEMO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TSEMO_OPC_2D_piGP.m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script — run this for real or simulated experiments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TSEMO_V4_1a_OPC_piGP.m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Algorithm (self-contained with all subfunctions)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piGP_prior_mean.m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Physics prior mean m(x|θ) for both objectives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NLikelihood_piGP.m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Extended MAP likelihood (GP + prior params)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TrainingOfGP_piGP.m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Joint hyperparameter optimisation (DIRECT + fmincon)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posterior_sample_piGP.m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Spectral Thompson sampling + mean_sample_piGP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denoise_concentration.m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Optional: physics-informed concentration denoiser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qNEHVI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qNEHVI_piGP.m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Single-run piGP qNEHVI (multiple noise levels)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qNEHVI_piGP_Multiple_Runs_...m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Batch/parallel runs varying maxeval and dataset size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Old Prior Scripts (for comparison)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create_learn_from_LHC_priors.m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 polynomial prior from LHD 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create_learn_from_LHC_priors_quadratic.m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Quadratic/interaction polynomial prior from LHD 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TSEMO_V4_1a_OPC_with_prior_NoTic.m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TSEMO algorithm with old prior injection (has consistency bug)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TSEMO_Multiple_Runs_...WithPrior_Quadratic...m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runs with quadratic prior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Quick Start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For Real Experiments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hardware (thermostat, pumps, MIR spectrometer via OPC-UA)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parameters in TSEMO_OPC_2D_piGP.m: V_R, c1_0, c2_0, bounds, opt.maxeval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Uncomment the hardware blocks (OPC-UA + MIR timer sections)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Comment out the simulation dummy line (f_PFR_2nd_order)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TSEMO_OPC_2D_piGP.m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For In-Silico Testing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Run TSEMO_OPC_2D_piGP.m as-is. The simulation dummy (f_PFR_2nd_order + f_PFR_kinetics) is active by default.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MATLAB Path Requirements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Add to path: all piGP files listed above, plus the original TSEMO package files: invChol, paretofront, nsga2, Direct, hypervolume2D, hypervolume3D (mex files), and TSEMO_options.m.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The Physics-Informed Prior — Core Mathematics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Standard GP (zero prior)</w:t>
      </w:r>
    </w:p>
    <w:p>
      <w:pPr>
        <w:spacing w:after="100" w:before="100"/>
        <w:ind w:left="360"/>
        <w:jc w:val="center"/>
      </w:pPr>
      <w:r>
        <w:rPr>
          <w:rFonts w:ascii="Cambria Math" w:cs="Cambria Math" w:eastAsia="Cambria Math" w:hAnsi="Cambria Math"/>
          <w:i/>
          <w:iCs/>
          <w:color w:val="1F4E79"/>
          <w:sz w:val="22"/>
          <w:szCs w:val="22"/>
        </w:rPr>
        <w:t xml:space="preserve">μ*(x*) = K(x*, X) · K⁻¹ · 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GP must learn the entire objective landscape from 4–10 experiments. Posterior variance is high in unexplored regions.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Physics-Informed GP</w:t>
      </w:r>
    </w:p>
    <w:p>
      <w:pPr>
        <w:spacing w:after="100" w:before="100"/>
        <w:ind w:left="360"/>
        <w:jc w:val="center"/>
      </w:pPr>
      <w:r>
        <w:rPr>
          <w:rFonts w:ascii="Cambria Math" w:cs="Cambria Math" w:eastAsia="Cambria Math" w:hAnsi="Cambria Math"/>
          <w:i/>
          <w:iCs/>
          <w:color w:val="1F4E79"/>
          <w:sz w:val="22"/>
          <w:szCs w:val="22"/>
        </w:rPr>
        <w:t xml:space="preserve">μ*(x*) = m̃(x* | θ) + K(x*, X) · K⁻¹ · (y − m̃(X | θ))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prior mean m̃(x | θ) is the Damköhler-based physics prediction. The GP kernel models only the residual between physics and reality. θ = {log_kref, Ea, α, β} is learned from data at every iteration.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Damköhler Prior</w:t>
      </w:r>
    </w:p>
    <w:p>
      <w:pPr>
        <w:spacing w:after="100" w:before="100"/>
        <w:ind w:left="360"/>
        <w:jc w:val="center"/>
      </w:pPr>
      <w:r>
        <w:rPr>
          <w:rFonts w:ascii="Cambria Math" w:cs="Cambria Math" w:eastAsia="Cambria Math" w:hAnsi="Cambria Math"/>
          <w:i/>
          <w:iCs/>
          <w:color w:val="1F4E79"/>
          <w:sz w:val="22"/>
          <w:szCs w:val="22"/>
        </w:rPr>
        <w:t xml:space="preserve">Da(τ, T | θ) = k_ref · exp(−Eₐ/R · (1/T − 1/T_ref)) · c₀ · τ_sec</w:t>
      </w:r>
    </w:p>
    <w:p>
      <w:pPr>
        <w:spacing w:after="100" w:before="100"/>
        <w:ind w:left="360"/>
        <w:jc w:val="center"/>
      </w:pPr>
      <w:r>
        <w:rPr>
          <w:rFonts w:ascii="Cambria Math" w:cs="Cambria Math" w:eastAsia="Cambria Math" w:hAnsi="Cambria Math"/>
          <w:i/>
          <w:iCs/>
          <w:color w:val="1F4E79"/>
          <w:sz w:val="22"/>
          <w:szCs w:val="22"/>
        </w:rPr>
        <w:t xml:space="preserve">X = Da / (1 + Da)    [2nd-order equal-concentration PFR conversion]</w:t>
      </w:r>
    </w:p>
    <w:p>
      <w:pPr>
        <w:spacing w:after="100" w:before="100"/>
        <w:ind w:left="360"/>
        <w:jc w:val="center"/>
      </w:pPr>
      <w:r>
        <w:rPr>
          <w:rFonts w:ascii="Cambria Math" w:cs="Cambria Math" w:eastAsia="Cambria Math" w:hAnsi="Cambria Math"/>
          <w:i/>
          <w:iCs/>
          <w:color w:val="1F4E79"/>
          <w:sz w:val="22"/>
          <w:szCs w:val="22"/>
        </w:rPr>
        <w:t xml:space="preserve">m̃₁ = −log(α · c₀ · X · M_C / τ_sec + β)   [STY prior]</w:t>
      </w:r>
    </w:p>
    <w:p>
      <w:pPr>
        <w:spacing w:after="100" w:before="100"/>
        <w:ind w:left="360"/>
        <w:jc w:val="center"/>
      </w:pPr>
      <w:r>
        <w:rPr>
          <w:rFonts w:ascii="Cambria Math" w:cs="Cambria Math" w:eastAsia="Cambria Math" w:hAnsi="Cambria Math"/>
          <w:i/>
          <w:iCs/>
          <w:color w:val="1F4E79"/>
          <w:sz w:val="22"/>
          <w:szCs w:val="22"/>
        </w:rPr>
        <w:t xml:space="preserve">m̃₂ = −log(α / (1 + Da²) + β)              [SEL prior]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Separate {k_ref, Ea, α, β} are learned for each objective, because ortho-selectivity and bis-adduct formation have different temperature sensitivities.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Xpareto, Ypareto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Pareto set/front from actual experiments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inspect — ground truth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X, 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dataset (all experiments)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Post-analysis, debugging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XparetoGP, YparetoGP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GP-predicted Pareto set/front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as final result with noisy measurements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YparetoGPstd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 posterior std at each Pareto 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Uncertainty quantification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kernel hyperparameters [λ₁, λ₂, σf, σn]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Diagnose GP fit quality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theta_history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[n_iter×4×2] prior params per iteration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Diagnose prior convergence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Bradford, E., Schweidtmann, A. M., Lapkin, A. (2018). Efficient multiobjective optimization employing Gaussian processes, spectral sampling and a genetic algorithm. J. Global Optim., 71, 407–438.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Hone, C. A., Holmes, N., et al. (2017). Rapid multistep kinetic model generation from transient flow data. React. Chem. Eng., 2, 103–108.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Cross, E. J. et al. (2024). A spectrum of physics-informed Gaussian processes for regression in engineering. Data-Centric Engineering, 5, e8.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Ziatdinov, M. et al. (2022). Physics makes the difference: Bayesian optimization and active learning via augmented Gaussian process. Mach. Learn.: Sci. Technol., 3, 015003.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Boltz, T. et al. (2025). Leveraging prior mean models for faster Bayesian optimization of particle accelerators. Scientific Reports, 15, 12232.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2026-05-25T19:58:47.020Z</dcterms:created>
  <dcterms:modified xsi:type="dcterms:W3CDTF">2026-05-25T19:58:47.020Z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