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Results</w:t>
      </w:r>
    </w:p>
    <w:p>
      <w:pPr>
        <w:jc w:val="both"/>
      </w:pPr>
      <w:r>
        <w:rPr/>
        <w:t xml:space="preserve">All results use developer-grouped five-fold cross-validation unless stated otherwise, so apps from one developer never appear on both sides of a split. The positive class is </w:t>
      </w:r>
      <w:r>
        <w:rPr>
          <w:i/>
        </w:rPr>
        <w:t>unverified</w:t>
      </w:r>
      <w:r>
        <w:rPr/>
        <w:t>. We report PR-AUC (average precision) as the primary metric because the classes are imbalanced, together with ROC-AUC, recall at a 5% false-positive rate, and precision, recall and F1 for the unverified class (threshold chosen on the training folds). Values are mean ± standard deviation over folds.</w:t>
      </w:r>
    </w:p>
    <w:p>
      <w:pPr>
        <w:jc w:val="both"/>
      </w:pPr>
      <w:r>
        <w:rPr/>
        <w:t xml:space="preserve">Headline numbers are computed on </w:t>
      </w:r>
      <w:r>
        <w:rPr>
          <w:i/>
        </w:rPr>
        <w:t>organic</w:t>
      </w:r>
      <w:r>
        <w:rPr/>
        <w:t xml:space="preserve"> apps, i.e. apps discovered through Play Store search or similar-app links. Apps found through the Play links in the RBI directory itself are verified by construction, so including them would reward a model for recognising how an app was found rather than its risk. All models are trained on every labelled app; results on all apps are reported alongside for comparison.</w:t>
      </w:r>
    </w:p>
    <w:p>
      <w:pPr>
        <w:pStyle w:val="Heading2"/>
      </w:pPr>
      <w:r>
        <w:t>Dataset and labels</w:t>
      </w:r>
    </w:p>
    <w:p>
      <w:pPr>
        <w:jc w:val="both"/>
      </w:pPr>
      <w:r>
        <w:rPr/>
        <w:t>The RBI Digital Lending Apps directory snapshot (</w:t>
      </w:r>
      <w:r>
        <w:rPr/>
        <w:t>2026-10-08</w:t>
      </w:r>
      <w:r>
        <w:rPr/>
        <w:t xml:space="preserve">) contained </w:t>
      </w:r>
      <w:r>
        <w:rPr/>
        <w:t>2,869</w:t>
      </w:r>
      <w:r>
        <w:rPr/>
        <w:t xml:space="preserve"> entries from </w:t>
      </w:r>
      <w:r>
        <w:rPr/>
        <w:t>457</w:t>
      </w:r>
      <w:r>
        <w:rPr/>
        <w:t xml:space="preserve"> regulated entities, linking </w:t>
      </w:r>
      <w:r>
        <w:rPr/>
        <w:t>434</w:t>
      </w:r>
      <w:r>
        <w:rPr/>
        <w:t xml:space="preserve"> distinct Play Store apps. Play Store discovery produced </w:t>
      </w:r>
      <w:r>
        <w:rPr/>
        <w:t>1,149</w:t>
      </w:r>
      <w:r>
        <w:rPr/>
        <w:t xml:space="preserve"> candidate apps (</w:t>
      </w:r>
      <w:r>
        <w:rPr/>
        <w:t>345</w:t>
      </w:r>
      <w:r>
        <w:rPr/>
        <w:t xml:space="preserve"> from search, </w:t>
      </w:r>
      <w:r>
        <w:rPr/>
        <w:t>526</w:t>
      </w:r>
      <w:r>
        <w:rPr/>
        <w:t xml:space="preserve"> from similar-app links, </w:t>
      </w:r>
      <w:r>
        <w:rPr/>
        <w:t>278</w:t>
      </w:r>
      <w:r>
        <w:rPr/>
        <w:t xml:space="preserve"> from RBI-listed links), of which </w:t>
      </w:r>
      <w:r>
        <w:rPr/>
        <w:t>627</w:t>
      </w:r>
      <w:r>
        <w:rPr/>
        <w:t xml:space="preserve"> were Finance apps that mention lending. </w:t>
      </w:r>
      <w:r>
        <w:rPr/>
        <w:t>Table 1</w:t>
      </w:r>
      <w:r>
        <w:rPr/>
        <w:t xml:space="preserve"> summarises the labelled dataset.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1. </w:t>
      </w:r>
      <w:r>
        <w:rPr/>
        <w:t xml:space="preserve">Labelled dataset. </w:t>
      </w:r>
      <w:r>
        <w:rPr>
          <w:i/>
        </w:rPr>
        <w:t>Organic</w:t>
      </w:r>
      <w:r>
        <w:rPr/>
        <w:t xml:space="preserve"> apps were found by Play search or similar-app links.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554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68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All apps</w:t>
            </w:r>
          </w:p>
        </w:tc>
        <w:tc>
          <w:tcPr>
            <w:tcW w:type="dxa" w:w="102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Organic apps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Verified (listed in the RBI DLA directory)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351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163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Unverified (lends, not listed)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Base rate (share unverified)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0.071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0.142</w:t>
            </w:r>
          </w:p>
        </w:tc>
      </w:tr>
      <w:tr>
        <w:trPr>
          <w:cantSplit/>
        </w:trPr>
        <w:tc>
          <w:tcPr>
            <w:tcW w:type="dxa" w:w="5544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Developers</w:t>
            </w:r>
          </w:p>
        </w:tc>
        <w:tc>
          <w:tcPr>
            <w:tcW w:type="dxa" w:w="688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341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169</w:t>
            </w:r>
          </w:p>
        </w:tc>
      </w:tr>
      <w:tr>
        <w:trPr>
          <w:cantSplit/>
        </w:trPr>
        <w:tc>
          <w:tcPr>
            <w:tcW w:type="dxa" w:w="5544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Excluded (does not lend)</w:t>
            </w:r>
          </w:p>
        </w:tc>
        <w:tc>
          <w:tcPr>
            <w:tcW w:type="dxa" w:w="688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1024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5544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8"/>
              </w:rPr>
              <w:t>Unique reviews (labelled apps)</w:t>
            </w:r>
          </w:p>
        </w:tc>
        <w:tc>
          <w:tcPr>
            <w:tcW w:type="dxa" w:w="688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44,064</w:t>
            </w:r>
          </w:p>
        </w:tc>
        <w:tc>
          <w:tcPr>
            <w:tcW w:type="dxa" w:w="1024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pPr>
        <w:jc w:val="both"/>
      </w:pPr>
      <w:r>
        <w:rPr/>
        <w:t xml:space="preserve">Automatic matching against the RBI directory labelled </w:t>
      </w:r>
      <w:r>
        <w:rPr/>
        <w:t>378</w:t>
      </w:r>
      <w:r>
        <w:rPr/>
        <w:t xml:space="preserve"> apps: </w:t>
      </w:r>
      <w:r>
        <w:rPr/>
        <w:t>341</w:t>
      </w:r>
      <w:r>
        <w:rPr/>
        <w:t xml:space="preserve"> verified by an exact Play package match, </w:t>
      </w:r>
      <w:r>
        <w:rPr/>
        <w:t>10</w:t>
      </w:r>
      <w:r>
        <w:rPr/>
        <w:t xml:space="preserve"> verified by app-name and developer match, and </w:t>
      </w:r>
      <w:r>
        <w:rPr/>
        <w:t>27</w:t>
      </w:r>
      <w:r>
        <w:rPr/>
        <w:t xml:space="preserve"> unverified because they offer credit but match no directory entry. A further </w:t>
      </w:r>
      <w:r>
        <w:rPr/>
        <w:t>0</w:t>
      </w:r>
      <w:r>
        <w:rPr/>
        <w:t xml:space="preserve"> came from the flagged-app seed list and </w:t>
      </w:r>
      <w:r>
        <w:rPr/>
        <w:t>0</w:t>
      </w:r>
      <w:r>
        <w:rPr/>
        <w:t xml:space="preserve"> from manual review. Two annotators independently labelled the </w:t>
      </w:r>
      <w:r>
        <w:rPr/>
        <w:t>130</w:t>
      </w:r>
      <w:r>
        <w:rPr/>
        <w:t xml:space="preserve">-app review queue, with Cohen's κ = </w:t>
      </w:r>
      <w:r>
        <w:rPr>
          <w:i w:val="0"/>
          <w:color w:val="C01F1F"/>
        </w:rPr>
        <w:t>[data.kappa]</w:t>
      </w:r>
      <w:r>
        <w:rPr/>
        <w:t xml:space="preserve"> (</w:t>
      </w:r>
      <w:r>
        <w:rPr>
          <w:i w:val="0"/>
          <w:color w:val="C01F1F"/>
        </w:rPr>
        <w:t>[data.agreement]</w:t>
      </w:r>
      <w:r>
        <w:rPr/>
        <w:t xml:space="preserve"> raw agreement). Unverified apps are markedly newer: </w:t>
      </w:r>
      <w:r>
        <w:rPr/>
        <w:t>15</w:t>
      </w:r>
      <w:r>
        <w:rPr/>
        <w:t xml:space="preserve"> of the </w:t>
      </w:r>
      <w:r>
        <w:rPr/>
        <w:t>27</w:t>
      </w:r>
      <w:r>
        <w:rPr/>
        <w:t xml:space="preserve"> were released in 2026, consistent with Google Play's removal of unlisted loan apps from January 2026.</w:t>
      </w:r>
    </w:p>
    <w:p>
      <w:pPr>
        <w:pStyle w:val="Heading2"/>
      </w:pPr>
      <w:r>
        <w:t>Model comparison</w:t>
      </w:r>
    </w:p>
    <w:p>
      <w:pPr>
        <w:jc w:val="both"/>
      </w:pPr>
      <w:r>
        <w:rPr/>
        <w:t>Table 2</w:t>
      </w:r>
      <w:r>
        <w:rPr/>
        <w:t xml:space="preserve"> compares the tabular, text and fusion models on organic apps; </w:t>
      </w:r>
      <w:r>
        <w:rPr/>
        <w:t>Fig. 1</w:t>
      </w:r>
      <w:r>
        <w:rPr/>
        <w:t xml:space="preserve"> and </w:t>
      </w:r>
      <w:r>
        <w:rPr/>
        <w:t>Fig. 2</w:t>
      </w:r>
      <w:r>
        <w:rPr/>
        <w:t xml:space="preserve"> show their precision–recall curves and confusion matrices. The best tabular model was </w:t>
      </w:r>
      <w:r>
        <w:rPr/>
        <w:t>Random forest</w:t>
      </w:r>
      <w:r>
        <w:rPr/>
        <w:t xml:space="preserve"> and the best text model </w:t>
      </w:r>
      <w:r>
        <w:rPr/>
        <w:t>TF-IDF + SVM</w:t>
      </w:r>
      <w:r>
        <w:rPr/>
        <w:t>; the fusion model stacks the two.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2. </w:t>
      </w:r>
      <w:r>
        <w:rPr/>
        <w:t xml:space="preserve">Developer-grouped 5-fold CV on organic apps (base rate </w:t>
      </w:r>
      <w:r>
        <w:rPr/>
        <w:t>0.142</w:t>
      </w:r>
      <w:r>
        <w:rPr/>
        <w:t xml:space="preserve">). The last column gives PR-AUC on all apps (base rate </w:t>
      </w:r>
      <w:r>
        <w:rPr/>
        <w:t>0.071</w:t>
      </w:r>
      <w:r>
        <w:rPr/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78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6"/>
              </w:rPr>
              <w:t>Model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PR-AUC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type="dxa" w:w="1142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Rec@5%FPR</w:t>
            </w:r>
          </w:p>
        </w:tc>
        <w:tc>
          <w:tcPr>
            <w:tcW w:type="dxa" w:w="1142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Recall</w:t>
            </w:r>
          </w:p>
        </w:tc>
        <w:tc>
          <w:tcPr>
            <w:tcW w:type="dxa" w:w="99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6"/>
              </w:rPr>
              <w:t>PR-AUC (all)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Tabular</w:t>
            </w: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Logistic regression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0.58 ± 0.17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0.83 ± 0.08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0.33 ± 0.20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0.35 ± 0.24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0.37 ± 0.27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0.31 ± 0.15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0.62 ± 0.18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0.79 ± 0.15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0.43 ± 0.24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0.81 ± 0.17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0.43 ± 0.24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0.41 ± 0.20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XGBoost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0.54 ± 0.16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0.74 ± 0.15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0.39 ± 0.26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0.80 ± 0.27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0.37 ± 0.18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0.37 ± 0.13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LightGBM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0.59 ± 0.19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0.78 ± 0.15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0.43 ± 0.24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0.52 ± 0.28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0.41 ± 0.23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0.38 ± 0.22</w:t>
            </w:r>
          </w:p>
        </w:tc>
      </w:tr>
      <w:tr>
        <w:trPr>
          <w:cantSplit/>
        </w:trPr>
        <w:tc>
          <w:tcPr>
            <w:tcW w:type="dxa" w:w="786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Text</w:t>
            </w:r>
          </w:p>
        </w:tc>
        <w:tc>
          <w:tcPr>
            <w:tcW w:type="dxa" w:w="2014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TF-IDF + LR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0.38 ± 0.20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0.62 ± 0.15</w:t>
            </w:r>
          </w:p>
        </w:tc>
        <w:tc>
          <w:tcPr>
            <w:tcW w:type="dxa" w:w="1142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0.32 ± 0.26</w:t>
            </w:r>
          </w:p>
        </w:tc>
        <w:tc>
          <w:tcPr>
            <w:tcW w:type="dxa" w:w="1142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0.30 ± 0.31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0.27 ± 0.22</w:t>
            </w:r>
          </w:p>
        </w:tc>
        <w:tc>
          <w:tcPr>
            <w:tcW w:type="dxa" w:w="997"/>
            <w:tcBorders>
              <w:top w:val="single" w:sz="4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0.20 ± 0.09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TF-IDF + SVM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0.41 ± 0.22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0.62 ± 0.16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0.34 ± 0.23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0.14 ± 0.14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0.35 ± 0.35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sz w:val="16"/>
              </w:rPr>
              <w:t>0.20 ± 0.09</w:t>
            </w:r>
          </w:p>
        </w:tc>
      </w:tr>
      <w:tr>
        <w:trPr>
          <w:cantSplit/>
        </w:trPr>
        <w:tc>
          <w:tcPr>
            <w:tcW w:type="dxa" w:w="786"/>
          </w:tcPr>
          <w:p>
            <w:pPr>
              <w:keepNext/>
              <w:spacing w:after="20"/>
              <w:jc w:val="left"/>
            </w:pPr>
          </w:p>
        </w:tc>
        <w:tc>
          <w:tcPr>
            <w:tcW w:type="dxa" w:w="2014"/>
          </w:tcPr>
          <w:p>
            <w:pPr>
              <w:keepNext/>
              <w:spacing w:after="20"/>
              <w:jc w:val="left"/>
            </w:pPr>
            <w:r>
              <w:rPr>
                <w:sz w:val="16"/>
              </w:rPr>
              <w:t>MuRIL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1142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  <w:tc>
          <w:tcPr>
            <w:tcW w:type="dxa" w:w="997"/>
          </w:tcPr>
          <w:p>
            <w:pPr>
              <w:keepNext/>
              <w:spacing w:after="20"/>
              <w:jc w:val="center"/>
            </w:pPr>
            <w:r>
              <w:rPr>
                <w:i w:val="0"/>
                <w:color w:val="C01F1F"/>
                <w:sz w:val="16"/>
              </w:rPr>
              <w:t>[TBD]</w:t>
            </w:r>
          </w:p>
        </w:tc>
      </w:tr>
      <w:tr>
        <w:trPr>
          <w:cantSplit/>
        </w:trPr>
        <w:tc>
          <w:tcPr>
            <w:tcW w:type="dxa" w:w="786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6"/>
              </w:rPr>
              <w:t>Fusion</w:t>
            </w:r>
          </w:p>
        </w:tc>
        <w:tc>
          <w:tcPr>
            <w:tcW w:type="dxa" w:w="2014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6"/>
              </w:rPr>
              <w:t>Random forest + TF-IDF + SVM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0.60 ± 0.17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0.77 ± 0.12</w:t>
            </w:r>
          </w:p>
        </w:tc>
        <w:tc>
          <w:tcPr>
            <w:tcW w:type="dxa" w:w="1142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0.43 ± 0.24</w:t>
            </w:r>
          </w:p>
        </w:tc>
        <w:tc>
          <w:tcPr>
            <w:tcW w:type="dxa" w:w="1142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0.47 ± 0.36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0.31 ± 0.22</w:t>
            </w:r>
          </w:p>
        </w:tc>
        <w:tc>
          <w:tcPr>
            <w:tcW w:type="dxa" w:w="997"/>
            <w:tcBorders>
              <w:top w:val="single" w:sz="4" w:space="0" w:color="000000"/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6"/>
              </w:rPr>
              <w:t>0.31 ± 0.16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Compare the best model with the logistic-regression baseline and with the base rate; say whether tree models, text models or fusion help, and whether the fold standard deviations make the differences meaningful.]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71200" cy="2805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_curves_grou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200" cy="280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1. </w:t>
      </w:r>
      <w:r>
        <w:rPr/>
        <w:t>Precision–recall curves on organic apps (out-of-fold scores; dashed line = base rate).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group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2. </w:t>
      </w:r>
      <w:r>
        <w:rPr/>
        <w:t>Confusion matrices on organic apps, summed over folds (threshold chosen on the training folds).</w:t>
      </w:r>
    </w:p>
    <w:p>
      <w:pPr>
        <w:pStyle w:val="Heading2"/>
      </w:pPr>
      <w:r>
        <w:t>Generalisation to newer apps</w:t>
      </w:r>
    </w:p>
    <w:p>
      <w:pPr>
        <w:jc w:val="both"/>
      </w:pPr>
      <w:r>
        <w:rPr/>
        <w:t xml:space="preserve">To test whether models trained on older apps flag newly released ones, we trained on apps released before </w:t>
      </w:r>
      <w:r>
        <w:rPr/>
        <w:t>2025-11-20</w:t>
      </w:r>
      <w:r>
        <w:rPr/>
        <w:t xml:space="preserve"> (</w:t>
      </w:r>
      <w:r>
        <w:rPr/>
        <w:t>278</w:t>
      </w:r>
      <w:r>
        <w:rPr/>
        <w:t xml:space="preserve"> apps, </w:t>
      </w:r>
      <w:r>
        <w:rPr/>
        <w:t>12</w:t>
      </w:r>
      <w:r>
        <w:rPr/>
        <w:t xml:space="preserve"> unverified) and tested on later releases (</w:t>
      </w:r>
      <w:r>
        <w:rPr/>
        <w:t>33</w:t>
      </w:r>
      <w:r>
        <w:rPr/>
        <w:t xml:space="preserve"> organic apps, </w:t>
      </w:r>
      <w:r>
        <w:rPr/>
        <w:t>15</w:t>
      </w:r>
      <w:r>
        <w:rPr/>
        <w:t xml:space="preserve"> unverified; base rate </w:t>
      </w:r>
      <w:r>
        <w:rPr/>
        <w:t>0.455</w:t>
      </w:r>
      <w:r>
        <w:rPr/>
        <w:t xml:space="preserve">). </w:t>
      </w:r>
      <w:r>
        <w:rPr/>
        <w:t>Table 3</w:t>
      </w:r>
      <w:r>
        <w:rPr/>
        <w:t xml:space="preserve"> reports the three best models.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3. </w:t>
      </w:r>
      <w:r>
        <w:rPr/>
        <w:t xml:space="preserve">Temporal hold-out on organic apps released on or after </w:t>
      </w:r>
      <w:r>
        <w:rPr/>
        <w:t>2025-11-20</w:t>
      </w:r>
      <w:r>
        <w:rPr/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5880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90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PR-AUC</w:t>
            </w:r>
          </w:p>
        </w:tc>
        <w:tc>
          <w:tcPr>
            <w:tcW w:type="dxa" w:w="102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ROC-AUC</w:t>
            </w:r>
          </w:p>
        </w:tc>
        <w:tc>
          <w:tcPr>
            <w:tcW w:type="dxa" w:w="1260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Rec@5%FPR</w:t>
            </w:r>
          </w:p>
        </w:tc>
      </w:tr>
      <w:tr>
        <w:trPr>
          <w:cantSplit/>
        </w:trPr>
        <w:tc>
          <w:tcPr>
            <w:tcW w:type="dxa" w:w="5880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90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0.45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0.45</w:t>
            </w:r>
          </w:p>
        </w:tc>
        <w:tc>
          <w:tcPr>
            <w:tcW w:type="dxa" w:w="1260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0.00</w:t>
            </w:r>
          </w:p>
        </w:tc>
      </w:tr>
      <w:tr>
        <w:trPr>
          <w:cantSplit/>
        </w:trPr>
        <w:tc>
          <w:tcPr>
            <w:tcW w:type="dxa" w:w="5880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90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0.43</w:t>
            </w:r>
          </w:p>
        </w:tc>
        <w:tc>
          <w:tcPr>
            <w:tcW w:type="dxa" w:w="1024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0.37</w:t>
            </w:r>
          </w:p>
        </w:tc>
        <w:tc>
          <w:tcPr>
            <w:tcW w:type="dxa" w:w="1260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0.07</w:t>
            </w:r>
          </w:p>
        </w:tc>
      </w:tr>
      <w:tr>
        <w:trPr>
          <w:cantSplit/>
        </w:trPr>
        <w:tc>
          <w:tcPr>
            <w:tcW w:type="dxa" w:w="5880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90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0.56</w:t>
            </w:r>
          </w:p>
        </w:tc>
        <w:tc>
          <w:tcPr>
            <w:tcW w:type="dxa" w:w="1024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0.47</w:t>
            </w:r>
          </w:p>
        </w:tc>
        <w:tc>
          <w:tcPr>
            <w:tcW w:type="dxa" w:w="1260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0.20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Compare with the grouped-CV results. If performance drops, relate it to the change in the unverified population after the January 2026 Play removal (older and newer unverified apps differ).]</w:t>
      </w:r>
    </w:p>
    <w:p>
      <w:pPr>
        <w:pStyle w:val="Heading2"/>
      </w:pPr>
      <w:r>
        <w:t>Feature-group ablation</w:t>
      </w:r>
    </w:p>
    <w:p>
      <w:pPr>
        <w:jc w:val="both"/>
      </w:pPr>
      <w:r>
        <w:rPr/>
        <w:t xml:space="preserve">Removing one feature group at a time from </w:t>
      </w:r>
      <w:r>
        <w:rPr/>
        <w:t>Random forest</w:t>
      </w:r>
      <w:r>
        <w:rPr/>
        <w:t xml:space="preserve"> (full model PR-AUC </w:t>
      </w:r>
      <w:r>
        <w:rPr/>
        <w:t>0.62</w:t>
      </w:r>
      <w:r>
        <w:rPr/>
        <w:t xml:space="preserve">) changed PR-AUC by </w:t>
      </w:r>
      <w:r>
        <w:rPr/>
        <w:t>−0.031</w:t>
      </w:r>
      <w:r>
        <w:rPr/>
        <w:t xml:space="preserve"> (metadata), </w:t>
      </w:r>
      <w:r>
        <w:rPr/>
        <w:t>+0.017</w:t>
      </w:r>
      <w:r>
        <w:rPr/>
        <w:t xml:space="preserve"> (developer), </w:t>
      </w:r>
      <w:r>
        <w:rPr/>
        <w:t>+0.004</w:t>
      </w:r>
      <w:r>
        <w:rPr/>
        <w:t xml:space="preserve"> (permissions), </w:t>
      </w:r>
      <w:r>
        <w:rPr/>
        <w:t>−0.091</w:t>
      </w:r>
      <w:r>
        <w:rPr/>
        <w:t xml:space="preserve"> (listing text) and </w:t>
      </w:r>
      <w:r>
        <w:rPr/>
        <w:t>+0.002</w:t>
      </w:r>
      <w:r>
        <w:rPr/>
        <w:t xml:space="preserve"> (review text) (</w:t>
      </w:r>
      <w:r>
        <w:rPr/>
        <w:t>Fig. 3</w:t>
      </w:r>
      <w:r>
        <w:rPr/>
        <w:t xml:space="preserve">). The largest drop came from removing </w:t>
      </w:r>
      <w:r>
        <w:rPr/>
        <w:t>listing text</w:t>
      </w:r>
      <w:r>
        <w:rPr/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221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3. </w:t>
      </w:r>
      <w:r>
        <w:rPr/>
        <w:t>Change in PR-AUC on organic apps when each feature group is removed (error bars: fold standard deviation).</w:t>
      </w:r>
    </w:p>
    <w:p>
      <w:pPr>
        <w:pStyle w:val="Heading2"/>
      </w:pPr>
      <w:r>
        <w:t>Early detection</w:t>
      </w:r>
    </w:p>
    <w:p>
      <w:pPr>
        <w:jc w:val="both"/>
      </w:pPr>
      <w:r>
        <w:rPr/>
        <w:t xml:space="preserve">Using only information available in an app's first 14 days (no install counts, ratings or age, and reviews from the first two weeks only), </w:t>
      </w:r>
      <w:r>
        <w:rPr/>
        <w:t>Random forest</w:t>
      </w:r>
      <w:r>
        <w:rPr/>
        <w:t xml:space="preserve"> reached a PR-AUC of </w:t>
      </w:r>
      <w:r>
        <w:rPr/>
        <w:t>0.70 ± 0.10</w:t>
      </w:r>
      <w:r>
        <w:rPr/>
        <w:t xml:space="preserve"> (ROC-AUC </w:t>
      </w:r>
      <w:r>
        <w:rPr/>
        <w:t>0.83 ± 0.08</w:t>
      </w:r>
      <w:r>
        <w:rPr/>
        <w:t xml:space="preserve">), against </w:t>
      </w:r>
      <w:r>
        <w:rPr/>
        <w:t>0.62 ± 0.18</w:t>
      </w:r>
      <w:r>
        <w:rPr/>
        <w:t xml:space="preserve"> (ROC-AUC </w:t>
      </w:r>
      <w:r>
        <w:rPr/>
        <w:t>0.79 ± 0.15</w:t>
      </w:r>
      <w:r>
        <w:rPr/>
        <w:t xml:space="preserve">) with full snapshot features. Only </w:t>
      </w:r>
      <w:r>
        <w:rPr/>
        <w:t>26</w:t>
      </w:r>
      <w:r>
        <w:rPr/>
        <w:t xml:space="preserve"> labelled apps had any review in their first 14 days, because reviews were collected newest-first, so the early setting relies mainly on listing text and permissions.</w:t>
      </w:r>
    </w:p>
    <w:p>
      <w:pPr>
        <w:jc w:val="both"/>
      </w:pPr>
      <w:r>
        <w:rPr>
          <w:i/>
          <w:color w:val="C01F1F"/>
        </w:rPr>
        <w:t>[AUTHOR: State whether early detection is practical and which signals carry it.]</w:t>
      </w:r>
    </w:p>
    <w:p>
      <w:pPr>
        <w:pStyle w:val="Heading2"/>
      </w:pPr>
      <w:r>
        <w:t>Class imbalance and leakage checks</w:t>
      </w:r>
    </w:p>
    <w:p>
      <w:pPr>
        <w:jc w:val="both"/>
      </w:pPr>
      <w:r>
        <w:rPr/>
        <w:t>Table 4</w:t>
      </w:r>
      <w:r>
        <w:rPr/>
        <w:t xml:space="preserve"> compares class weighting with SMOTE oversampling (applied inside training folds only), and random with developer-grouped splits. A positive gap means random splitting overstates performance because near-identical apps from one developer leak across folds.</w:t>
      </w:r>
    </w:p>
    <w:p>
      <w:pPr>
        <w:pStyle w:val="Caption"/>
        <w:keepNext/>
        <w:spacing w:before="0" w:after="80"/>
        <w:jc w:val="center"/>
      </w:pPr>
      <w:r>
        <w:rPr>
          <w:b/>
        </w:rPr>
        <w:t xml:space="preserve">Table 4. </w:t>
      </w:r>
      <w:r>
        <w:rPr/>
        <w:t>PR-AUC on organic apps: class weights vs SMOTE, and random vs developer-grouped CV.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407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left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Weights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SMOTE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Grouped CV</w:t>
            </w:r>
          </w:p>
        </w:tc>
        <w:tc>
          <w:tcPr>
            <w:tcW w:type="dxa" w:w="109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Random CV</w:t>
            </w:r>
          </w:p>
        </w:tc>
        <w:tc>
          <w:tcPr>
            <w:tcW w:type="dxa" w:w="607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keepNext/>
              <w:spacing w:after="20"/>
              <w:jc w:val="center"/>
            </w:pPr>
            <w:r>
              <w:rPr>
                <w:b/>
                <w:sz w:val="18"/>
              </w:rPr>
              <w:t>Gap</w:t>
            </w:r>
          </w:p>
        </w:tc>
      </w:tr>
      <w:tr>
        <w:trPr>
          <w:cantSplit/>
        </w:trPr>
        <w:tc>
          <w:tcPr>
            <w:tcW w:type="dxa" w:w="4078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0.58 ± 0.17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0.54 ± 0.17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0.58 ± 0.17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0.55 ± 0.12</w:t>
            </w:r>
          </w:p>
        </w:tc>
        <w:tc>
          <w:tcPr>
            <w:tcW w:type="dxa" w:w="607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−0.02</w:t>
            </w:r>
          </w:p>
        </w:tc>
      </w:tr>
      <w:tr>
        <w:trPr>
          <w:cantSplit/>
        </w:trPr>
        <w:tc>
          <w:tcPr>
            <w:tcW w:type="dxa" w:w="4078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Random forest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0.62 ± 0.18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0.63 ± 0.18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0.62 ± 0.18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0.62 ± 0.11</w:t>
            </w:r>
          </w:p>
        </w:tc>
        <w:tc>
          <w:tcPr>
            <w:tcW w:type="dxa" w:w="607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0.00</w:t>
            </w:r>
          </w:p>
        </w:tc>
      </w:tr>
      <w:tr>
        <w:trPr>
          <w:cantSplit/>
        </w:trPr>
        <w:tc>
          <w:tcPr>
            <w:tcW w:type="dxa" w:w="4078"/>
          </w:tcPr>
          <w:p>
            <w:pPr>
              <w:keepNext/>
              <w:spacing w:after="20"/>
              <w:jc w:val="left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0.54 ± 0.16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0.61 ± 0.17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0.54 ± 0.16</w:t>
            </w:r>
          </w:p>
        </w:tc>
        <w:tc>
          <w:tcPr>
            <w:tcW w:type="dxa" w:w="1096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0.47 ± 0.10</w:t>
            </w:r>
          </w:p>
        </w:tc>
        <w:tc>
          <w:tcPr>
            <w:tcW w:type="dxa" w:w="607"/>
          </w:tcPr>
          <w:p>
            <w:pPr>
              <w:keepNext/>
              <w:spacing w:after="20"/>
              <w:jc w:val="center"/>
            </w:pPr>
            <w:r>
              <w:rPr>
                <w:sz w:val="18"/>
              </w:rPr>
              <w:t>−0.07</w:t>
            </w:r>
          </w:p>
        </w:tc>
      </w:tr>
      <w:tr>
        <w:trPr>
          <w:cantSplit/>
        </w:trPr>
        <w:tc>
          <w:tcPr>
            <w:tcW w:type="dxa" w:w="4078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left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0.59 ± 0.19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0.61 ± 0.19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0.59 ± 0.19</w:t>
            </w:r>
          </w:p>
        </w:tc>
        <w:tc>
          <w:tcPr>
            <w:tcW w:type="dxa" w:w="1096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0.53 ± 0.19</w:t>
            </w:r>
          </w:p>
        </w:tc>
        <w:tc>
          <w:tcPr>
            <w:tcW w:type="dxa" w:w="607"/>
            <w:tcBorders>
              <w:bottom w:val="single" w:sz="12" w:space="0" w:color="000000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sz w:val="18"/>
              </w:rPr>
              <w:t>−0.06</w:t>
            </w:r>
          </w:p>
        </w:tc>
      </w:tr>
    </w:tbl>
    <w:p>
      <w:pPr>
        <w:spacing w:after="40"/>
      </w:pPr>
    </w:p>
    <w:p>
      <w:pPr>
        <w:jc w:val="both"/>
      </w:pPr>
      <w:r>
        <w:rPr>
          <w:i/>
          <w:color w:val="C01F1F"/>
        </w:rPr>
        <w:t>[AUTHOR: One sentence on each comparison: does SMOTE help, and how large is the leakage effect?]</w:t>
      </w:r>
    </w:p>
    <w:p>
      <w:pPr>
        <w:pStyle w:val="Heading2"/>
      </w:pPr>
      <w:r>
        <w:t>Explanations</w:t>
      </w:r>
    </w:p>
    <w:p>
      <w:pPr>
        <w:jc w:val="both"/>
      </w:pPr>
      <w:r>
        <w:rPr/>
        <w:t>Fig. 4</w:t>
      </w:r>
      <w:r>
        <w:rPr/>
        <w:t xml:space="preserve"> shows SHAP values for </w:t>
      </w:r>
      <w:r>
        <w:rPr/>
        <w:t>Random forest</w:t>
      </w:r>
      <w:r>
        <w:rPr/>
        <w:t xml:space="preserve"> fitted on all </w:t>
      </w:r>
      <w:r>
        <w:rPr/>
        <w:t>378</w:t>
      </w:r>
      <w:r>
        <w:rPr/>
        <w:t xml:space="preserve"> labelled apps. The five most influential features were </w:t>
      </w:r>
      <w:r>
        <w:rPr/>
        <w:t>app age (days)</w:t>
      </w:r>
      <w:r>
        <w:rPr/>
        <w:t xml:space="preserve">, </w:t>
      </w:r>
      <w:r>
        <w:rPr/>
        <w:t>names a lending partner</w:t>
      </w:r>
      <w:r>
        <w:rPr/>
        <w:t xml:space="preserve">, </w:t>
      </w:r>
      <w:r>
        <w:rPr/>
        <w:t>number of ratings (log)</w:t>
      </w:r>
      <w:r>
        <w:rPr/>
        <w:t xml:space="preserve">, </w:t>
      </w:r>
      <w:r>
        <w:rPr/>
        <w:t>states tenure</w:t>
      </w:r>
      <w:r>
        <w:rPr/>
        <w:t xml:space="preserve"> and </w:t>
      </w:r>
      <w:r>
        <w:rPr/>
        <w:t>description length (log)</w:t>
      </w:r>
      <w:r>
        <w:rPr/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31999" cy="3691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beeswa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691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4. </w:t>
      </w:r>
      <w:r>
        <w:rPr/>
        <w:t xml:space="preserve">SHAP summary for </w:t>
      </w:r>
      <w:r>
        <w:rPr/>
        <w:t>Random forest</w:t>
      </w:r>
      <w:r>
        <w:rPr/>
        <w:t xml:space="preserve">. Points to the right push the prediction toward </w:t>
      </w:r>
      <w:r>
        <w:rPr>
          <w:i/>
        </w:rPr>
        <w:t>unverified</w:t>
      </w:r>
      <w:r>
        <w:rPr/>
        <w:t>; colour shows the feature value.</w:t>
      </w:r>
    </w:p>
    <w:p>
      <w:pPr>
        <w:jc w:val="both"/>
      </w:pPr>
      <w:r>
        <w:rPr>
          <w:i/>
          <w:color w:val="C01F1F"/>
        </w:rPr>
        <w:t>[AUTHOR: Interpret the top features. Expected from EDA: unverified apps less often name an NBFC/bank partner or state the tenure, use free email addresses more often, and are newer; RBI-listed lenders request SMS access more often. Note that app age may partly reflect survivorship after the Play removal.]</w:t>
      </w:r>
    </w:p>
    <w:p>
      <w:pPr>
        <w:jc w:val="both"/>
      </w:pPr>
      <w:r>
        <w:rPr/>
        <w:t xml:space="preserve">For the review-text model, the n-grams most associated with unverified apps included </w:t>
      </w:r>
      <w:r>
        <w:rPr/>
        <w:t>“no personal”, “credit card”, “kuhoo”, “smooth app”, “how much”</w:t>
      </w:r>
      <w:r>
        <w:rPr/>
        <w:t xml:space="preserve">, and those most associated with verified apps included </w:t>
      </w:r>
      <w:r>
        <w:rPr/>
        <w:t>“instant loan”, “fast loan”, “good working”, “10”, “super fast”</w:t>
      </w:r>
      <w:r>
        <w:rPr/>
        <w:t xml:space="preserve"> (</w:t>
      </w:r>
      <w:r>
        <w:rPr/>
        <w:t>Fig. 5</w:t>
      </w:r>
      <w:r>
        <w:rPr/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31999" cy="3684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text_top_ter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68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80" w:after="200"/>
        <w:jc w:val="center"/>
      </w:pPr>
      <w:r>
        <w:rPr>
          <w:b/>
        </w:rPr>
        <w:t xml:space="preserve">Fig. 5. </w:t>
      </w:r>
      <w:r>
        <w:rPr/>
        <w:t>Review n-grams with the largest logistic-regression weights toward each class.</w:t>
      </w:r>
    </w:p>
    <w:p>
      <w:pPr>
        <w:jc w:val="both"/>
      </w:pPr>
      <w:r>
        <w:rPr>
          <w:i/>
          <w:color w:val="C01F1F"/>
        </w:rPr>
        <w:t>[AUTHOR: Comment on whether these are risk terms or app/product names (the preliminary run showed app names such as "kuhoo", which means the text model partly memorises apps).]</w:t>
      </w:r>
    </w:p>
    <w:p>
      <w:pPr>
        <w:pStyle w:val="Heading2"/>
      </w:pPr>
      <w:r>
        <w:t>Summary</w:t>
      </w:r>
    </w:p>
    <w:p>
      <w:pPr>
        <w:jc w:val="both"/>
      </w:pPr>
      <w:r>
        <w:rPr>
          <w:i/>
          <w:color w:val="C01F1F"/>
        </w:rPr>
        <w:t>[AUTHOR: Three or four sentences: best model and its organic PR-AUC versus the base rate; what the temporal and early-detection results say about flagging new apps; the most informative signals; the main caveat (labels mean "not in the RBI list", not "illegal").]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